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DC032" w14:textId="5F69A9EE" w:rsidR="00D373AC" w:rsidRDefault="00647A16" w:rsidP="00FC7E61">
      <w:pPr>
        <w:keepNext/>
        <w:keepLines/>
        <w:widowControl w:val="0"/>
        <w:pBdr>
          <w:top w:val="nil"/>
          <w:left w:val="nil"/>
          <w:bottom w:val="nil"/>
          <w:right w:val="nil"/>
          <w:between w:val="nil"/>
        </w:pBdr>
        <w:spacing w:before="240" w:after="240" w:line="320" w:lineRule="atLeast"/>
        <w:jc w:val="both"/>
        <w:outlineLvl w:val="0"/>
        <w:rPr>
          <w:rFonts w:ascii="Times New Roman" w:eastAsia="Calibri" w:hAnsi="Times New Roman" w:cs="Times New Roman"/>
          <w:sz w:val="24"/>
          <w:szCs w:val="24"/>
        </w:rPr>
      </w:pPr>
      <w:commentRangeStart w:id="0"/>
      <w:commentRangeStart w:id="1"/>
      <w:proofErr w:type="spellStart"/>
      <w:r>
        <w:rPr>
          <w:rFonts w:ascii="Times New Roman" w:eastAsia="Calibri" w:hAnsi="Times New Roman" w:cs="Times New Roman"/>
          <w:sz w:val="24"/>
          <w:szCs w:val="24"/>
        </w:rPr>
        <w:t>Title</w:t>
      </w:r>
      <w:commentRangeEnd w:id="1"/>
      <w:proofErr w:type="spellEnd"/>
      <w:r w:rsidR="00484C43">
        <w:rPr>
          <w:rStyle w:val="CommentReference"/>
        </w:rPr>
        <w:commentReference w:id="1"/>
      </w:r>
      <w:r>
        <w:rPr>
          <w:rFonts w:ascii="Times New Roman" w:eastAsia="Calibri" w:hAnsi="Times New Roman" w:cs="Times New Roman"/>
          <w:sz w:val="24"/>
          <w:szCs w:val="24"/>
        </w:rPr>
        <w:t>:</w:t>
      </w:r>
      <w:commentRangeEnd w:id="0"/>
      <w:r w:rsidR="002168C9">
        <w:rPr>
          <w:rStyle w:val="CommentReference"/>
        </w:rPr>
        <w:commentReference w:id="0"/>
      </w:r>
      <w:r>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Identifying</w:t>
      </w:r>
      <w:proofErr w:type="spellEnd"/>
      <w:r w:rsidRPr="000D3917">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priority</w:t>
      </w:r>
      <w:proofErr w:type="spellEnd"/>
      <w:r w:rsidRPr="000D3917">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double-duty</w:t>
      </w:r>
      <w:proofErr w:type="spellEnd"/>
      <w:r w:rsidRPr="000D3917">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actions</w:t>
      </w:r>
      <w:proofErr w:type="spellEnd"/>
      <w:r w:rsidRPr="000D3917">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to</w:t>
      </w:r>
      <w:proofErr w:type="spellEnd"/>
      <w:r w:rsidRPr="000D3917">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tackle</w:t>
      </w:r>
      <w:proofErr w:type="spellEnd"/>
      <w:r w:rsidRPr="000D3917">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multiple</w:t>
      </w:r>
      <w:proofErr w:type="spellEnd"/>
      <w:r w:rsidRPr="000D3917">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forms</w:t>
      </w:r>
      <w:proofErr w:type="spellEnd"/>
      <w:r w:rsidRPr="000D3917">
        <w:rPr>
          <w:rFonts w:ascii="Times New Roman" w:eastAsia="Calibri" w:hAnsi="Times New Roman" w:cs="Times New Roman"/>
          <w:sz w:val="24"/>
          <w:szCs w:val="24"/>
        </w:rPr>
        <w:t xml:space="preserve"> of </w:t>
      </w:r>
      <w:proofErr w:type="spellStart"/>
      <w:r w:rsidRPr="000D3917">
        <w:rPr>
          <w:rFonts w:ascii="Times New Roman" w:eastAsia="Calibri" w:hAnsi="Times New Roman" w:cs="Times New Roman"/>
          <w:sz w:val="24"/>
          <w:szCs w:val="24"/>
        </w:rPr>
        <w:t>malnutrition</w:t>
      </w:r>
      <w:proofErr w:type="spellEnd"/>
      <w:r w:rsidRPr="000D3917">
        <w:rPr>
          <w:rFonts w:ascii="Times New Roman" w:eastAsia="Calibri" w:hAnsi="Times New Roman" w:cs="Times New Roman"/>
          <w:sz w:val="24"/>
          <w:szCs w:val="24"/>
        </w:rPr>
        <w:t xml:space="preserve"> in </w:t>
      </w:r>
      <w:proofErr w:type="spellStart"/>
      <w:r w:rsidRPr="000D3917">
        <w:rPr>
          <w:rFonts w:ascii="Times New Roman" w:eastAsia="Calibri" w:hAnsi="Times New Roman" w:cs="Times New Roman"/>
          <w:sz w:val="24"/>
          <w:szCs w:val="24"/>
        </w:rPr>
        <w:t>infants</w:t>
      </w:r>
      <w:proofErr w:type="spellEnd"/>
      <w:r w:rsidRPr="000D3917">
        <w:rPr>
          <w:rFonts w:ascii="Times New Roman" w:eastAsia="Calibri" w:hAnsi="Times New Roman" w:cs="Times New Roman"/>
          <w:sz w:val="24"/>
          <w:szCs w:val="24"/>
        </w:rPr>
        <w:t xml:space="preserve"> and </w:t>
      </w:r>
      <w:proofErr w:type="spellStart"/>
      <w:r w:rsidRPr="000D3917">
        <w:rPr>
          <w:rFonts w:ascii="Times New Roman" w:eastAsia="Calibri" w:hAnsi="Times New Roman" w:cs="Times New Roman"/>
          <w:sz w:val="24"/>
          <w:szCs w:val="24"/>
        </w:rPr>
        <w:t>young</w:t>
      </w:r>
      <w:proofErr w:type="spellEnd"/>
      <w:r w:rsidRPr="000D3917">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children</w:t>
      </w:r>
      <w:proofErr w:type="spellEnd"/>
      <w:r w:rsidRPr="000D3917">
        <w:rPr>
          <w:rFonts w:ascii="Times New Roman" w:eastAsia="Calibri" w:hAnsi="Times New Roman" w:cs="Times New Roman"/>
          <w:sz w:val="24"/>
          <w:szCs w:val="24"/>
        </w:rPr>
        <w:t xml:space="preserve"> in </w:t>
      </w:r>
      <w:proofErr w:type="spellStart"/>
      <w:r w:rsidRPr="000D3917">
        <w:rPr>
          <w:rFonts w:ascii="Times New Roman" w:eastAsia="Calibri" w:hAnsi="Times New Roman" w:cs="Times New Roman"/>
          <w:sz w:val="24"/>
          <w:szCs w:val="24"/>
        </w:rPr>
        <w:t>Peru</w:t>
      </w:r>
      <w:proofErr w:type="spellEnd"/>
      <w:r w:rsidRPr="000D3917">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Assessment</w:t>
      </w:r>
      <w:proofErr w:type="spellEnd"/>
      <w:r w:rsidRPr="000D3917">
        <w:rPr>
          <w:rFonts w:ascii="Times New Roman" w:eastAsia="Calibri" w:hAnsi="Times New Roman" w:cs="Times New Roman"/>
          <w:sz w:val="24"/>
          <w:szCs w:val="24"/>
        </w:rPr>
        <w:t xml:space="preserve"> and </w:t>
      </w:r>
      <w:proofErr w:type="spellStart"/>
      <w:r w:rsidRPr="000D3917">
        <w:rPr>
          <w:rFonts w:ascii="Times New Roman" w:eastAsia="Calibri" w:hAnsi="Times New Roman" w:cs="Times New Roman"/>
          <w:sz w:val="24"/>
          <w:szCs w:val="24"/>
        </w:rPr>
        <w:t>prioritisation</w:t>
      </w:r>
      <w:proofErr w:type="spellEnd"/>
      <w:r w:rsidRPr="000D3917">
        <w:rPr>
          <w:rFonts w:ascii="Times New Roman" w:eastAsia="Calibri" w:hAnsi="Times New Roman" w:cs="Times New Roman"/>
          <w:sz w:val="24"/>
          <w:szCs w:val="24"/>
        </w:rPr>
        <w:t xml:space="preserve"> of </w:t>
      </w:r>
      <w:proofErr w:type="spellStart"/>
      <w:r w:rsidRPr="000D3917">
        <w:rPr>
          <w:rFonts w:ascii="Times New Roman" w:eastAsia="Calibri" w:hAnsi="Times New Roman" w:cs="Times New Roman"/>
          <w:sz w:val="24"/>
          <w:szCs w:val="24"/>
        </w:rPr>
        <w:t>government</w:t>
      </w:r>
      <w:proofErr w:type="spellEnd"/>
      <w:r w:rsidRPr="000D3917">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actions</w:t>
      </w:r>
      <w:proofErr w:type="spellEnd"/>
      <w:r w:rsidRPr="000D3917">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by</w:t>
      </w:r>
      <w:proofErr w:type="spellEnd"/>
      <w:r w:rsidRPr="000D3917">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national</w:t>
      </w:r>
      <w:proofErr w:type="spellEnd"/>
      <w:r w:rsidRPr="000D3917">
        <w:rPr>
          <w:rFonts w:ascii="Times New Roman" w:eastAsia="Calibri" w:hAnsi="Times New Roman" w:cs="Times New Roman"/>
          <w:sz w:val="24"/>
          <w:szCs w:val="24"/>
        </w:rPr>
        <w:t xml:space="preserve"> </w:t>
      </w:r>
      <w:proofErr w:type="spellStart"/>
      <w:r w:rsidRPr="000D3917">
        <w:rPr>
          <w:rFonts w:ascii="Times New Roman" w:eastAsia="Calibri" w:hAnsi="Times New Roman" w:cs="Times New Roman"/>
          <w:sz w:val="24"/>
          <w:szCs w:val="24"/>
        </w:rPr>
        <w:t>experts</w:t>
      </w:r>
      <w:proofErr w:type="spellEnd"/>
    </w:p>
    <w:p w14:paraId="40615E29" w14:textId="77777777" w:rsidR="00647A16" w:rsidRDefault="00647A16" w:rsidP="00FC7E61">
      <w:pPr>
        <w:keepNext/>
        <w:keepLines/>
        <w:widowControl w:val="0"/>
        <w:pBdr>
          <w:top w:val="nil"/>
          <w:left w:val="nil"/>
          <w:bottom w:val="nil"/>
          <w:right w:val="nil"/>
          <w:between w:val="nil"/>
        </w:pBdr>
        <w:spacing w:before="240" w:after="240" w:line="320" w:lineRule="atLeast"/>
        <w:jc w:val="both"/>
        <w:outlineLvl w:val="0"/>
        <w:rPr>
          <w:rFonts w:ascii="Times New Roman" w:eastAsia="Calibri" w:hAnsi="Times New Roman" w:cs="Times New Roman"/>
          <w:sz w:val="24"/>
          <w:szCs w:val="24"/>
        </w:rPr>
      </w:pPr>
    </w:p>
    <w:p w14:paraId="3912D828" w14:textId="2281AA39" w:rsidR="00647A16" w:rsidRDefault="00647A16" w:rsidP="00FC7E61">
      <w:pPr>
        <w:keepNext/>
        <w:keepLines/>
        <w:widowControl w:val="0"/>
        <w:pBdr>
          <w:top w:val="nil"/>
          <w:left w:val="nil"/>
          <w:bottom w:val="nil"/>
          <w:right w:val="nil"/>
          <w:between w:val="nil"/>
        </w:pBdr>
        <w:spacing w:before="240" w:after="240" w:line="320" w:lineRule="atLeast"/>
        <w:jc w:val="both"/>
        <w:outlineLvl w:val="0"/>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Contributors</w:t>
      </w:r>
      <w:proofErr w:type="spellEnd"/>
      <w:r>
        <w:rPr>
          <w:rFonts w:ascii="Times New Roman" w:eastAsia="Calibri" w:hAnsi="Times New Roman" w:cs="Times New Roman"/>
          <w:sz w:val="24"/>
          <w:szCs w:val="24"/>
        </w:rPr>
        <w:t xml:space="preserve">:  </w:t>
      </w:r>
      <w:r w:rsidR="006F42D9" w:rsidRPr="000D3917">
        <w:rPr>
          <w:rFonts w:ascii="Times New Roman" w:eastAsia="Calibri" w:hAnsi="Times New Roman" w:cs="Times New Roman"/>
          <w:sz w:val="24"/>
          <w:szCs w:val="24"/>
        </w:rPr>
        <w:t xml:space="preserve">Violeta Magdalena Rojas Huayta, </w:t>
      </w:r>
      <w:r w:rsidR="006F42D9">
        <w:rPr>
          <w:rFonts w:ascii="Times New Roman" w:eastAsia="Calibri" w:hAnsi="Times New Roman" w:cs="Times New Roman"/>
          <w:sz w:val="24"/>
          <w:szCs w:val="24"/>
        </w:rPr>
        <w:t>R</w:t>
      </w:r>
      <w:r w:rsidR="006F42D9" w:rsidRPr="000D3917">
        <w:rPr>
          <w:rFonts w:ascii="Times New Roman" w:eastAsia="Calibri" w:hAnsi="Times New Roman" w:cs="Times New Roman"/>
          <w:sz w:val="24"/>
          <w:szCs w:val="24"/>
        </w:rPr>
        <w:t>ebecca Pradeilles, Hilary M Creed-</w:t>
      </w:r>
      <w:proofErr w:type="spellStart"/>
      <w:r w:rsidR="006F42D9" w:rsidRPr="000D3917">
        <w:rPr>
          <w:rFonts w:ascii="Times New Roman" w:eastAsia="Calibri" w:hAnsi="Times New Roman" w:cs="Times New Roman"/>
          <w:sz w:val="24"/>
          <w:szCs w:val="24"/>
        </w:rPr>
        <w:t>Kanashiro</w:t>
      </w:r>
      <w:proofErr w:type="spellEnd"/>
      <w:r w:rsidR="006F42D9" w:rsidRPr="000D3917">
        <w:rPr>
          <w:rFonts w:ascii="Times New Roman" w:eastAsia="Calibri" w:hAnsi="Times New Roman" w:cs="Times New Roman"/>
          <w:sz w:val="24"/>
          <w:szCs w:val="24"/>
        </w:rPr>
        <w:t>, Emily Rousham, Doris Delgado, Rossina Pareja, Edwige Landais, Nervo Verdezoto, Emma Haycraft, Michelle Holdsworth</w:t>
      </w:r>
      <w:r w:rsidR="006F42D9">
        <w:rPr>
          <w:rFonts w:ascii="Times New Roman" w:eastAsia="Calibri" w:hAnsi="Times New Roman" w:cs="Times New Roman"/>
          <w:sz w:val="24"/>
          <w:szCs w:val="24"/>
        </w:rPr>
        <w:t>.</w:t>
      </w:r>
    </w:p>
    <w:p w14:paraId="5213970F" w14:textId="675F8923" w:rsidR="00647A16" w:rsidRPr="006F42D9" w:rsidRDefault="00647A16" w:rsidP="00FC7E61">
      <w:pPr>
        <w:keepNext/>
        <w:keepLines/>
        <w:widowControl w:val="0"/>
        <w:pBdr>
          <w:top w:val="nil"/>
          <w:left w:val="nil"/>
          <w:bottom w:val="nil"/>
          <w:right w:val="nil"/>
          <w:between w:val="nil"/>
        </w:pBdr>
        <w:spacing w:before="240" w:after="240" w:line="320" w:lineRule="atLeast"/>
        <w:jc w:val="both"/>
        <w:outlineLvl w:val="0"/>
        <w:rPr>
          <w:rFonts w:ascii="Times New Roman" w:eastAsia="PT Sans Narrow" w:hAnsi="Times New Roman" w:cs="Times New Roman"/>
          <w:b/>
          <w:color w:val="FF9900"/>
          <w:sz w:val="28"/>
          <w:szCs w:val="28"/>
          <w:lang w:eastAsia="en-GB"/>
        </w:rPr>
        <w:sectPr w:rsidR="00647A16" w:rsidRPr="006F42D9" w:rsidSect="00FC7E61">
          <w:footerReference w:type="default" r:id="rId13"/>
          <w:pgSz w:w="11906" w:h="16838"/>
          <w:pgMar w:top="1134" w:right="1701" w:bottom="1134" w:left="1701" w:header="709" w:footer="709" w:gutter="0"/>
          <w:cols w:space="708"/>
          <w:docGrid w:linePitch="360"/>
        </w:sectPr>
      </w:pPr>
      <w:r>
        <w:rPr>
          <w:rFonts w:ascii="Times New Roman" w:eastAsia="Calibri" w:hAnsi="Times New Roman" w:cs="Times New Roman"/>
          <w:sz w:val="24"/>
          <w:szCs w:val="24"/>
        </w:rPr>
        <w:br/>
      </w:r>
      <w:commentRangeStart w:id="2"/>
      <w:r>
        <w:rPr>
          <w:rFonts w:ascii="Times New Roman" w:eastAsia="Calibri" w:hAnsi="Times New Roman" w:cs="Times New Roman"/>
          <w:sz w:val="24"/>
          <w:szCs w:val="24"/>
        </w:rPr>
        <w:t>Date</w:t>
      </w:r>
      <w:commentRangeEnd w:id="2"/>
      <w:r w:rsidR="002168C9">
        <w:rPr>
          <w:rStyle w:val="CommentReference"/>
        </w:rPr>
        <w:commentReference w:id="2"/>
      </w:r>
      <w:r>
        <w:rPr>
          <w:rFonts w:ascii="Times New Roman" w:eastAsia="Calibri" w:hAnsi="Times New Roman" w:cs="Times New Roman"/>
          <w:sz w:val="24"/>
          <w:szCs w:val="24"/>
        </w:rPr>
        <w:t>:</w:t>
      </w:r>
      <w:r w:rsidR="004D16CA">
        <w:rPr>
          <w:rFonts w:ascii="Times New Roman" w:eastAsia="Calibri" w:hAnsi="Times New Roman" w:cs="Times New Roman"/>
          <w:sz w:val="24"/>
          <w:szCs w:val="24"/>
        </w:rPr>
        <w:t xml:space="preserve"> </w:t>
      </w:r>
      <w:proofErr w:type="spellStart"/>
      <w:r w:rsidR="004D16CA">
        <w:rPr>
          <w:rFonts w:ascii="Times New Roman" w:eastAsia="Calibri" w:hAnsi="Times New Roman" w:cs="Times New Roman"/>
          <w:sz w:val="24"/>
          <w:szCs w:val="24"/>
        </w:rPr>
        <w:t>December</w:t>
      </w:r>
      <w:proofErr w:type="spellEnd"/>
      <w:r w:rsidR="004D16CA">
        <w:rPr>
          <w:rFonts w:ascii="Times New Roman" w:eastAsia="Calibri" w:hAnsi="Times New Roman" w:cs="Times New Roman"/>
          <w:sz w:val="24"/>
          <w:szCs w:val="24"/>
        </w:rPr>
        <w:t xml:space="preserve"> 2021</w:t>
      </w:r>
      <w:r w:rsidR="00484C43">
        <w:rPr>
          <w:rFonts w:ascii="Times New Roman" w:eastAsia="Calibri" w:hAnsi="Times New Roman" w:cs="Times New Roman"/>
          <w:sz w:val="24"/>
          <w:szCs w:val="24"/>
        </w:rPr>
        <w:t>?</w:t>
      </w:r>
    </w:p>
    <w:p w14:paraId="4530B548" w14:textId="77777777" w:rsidR="00FC7E61" w:rsidRPr="006F42D9" w:rsidRDefault="00FC7E61" w:rsidP="00FC7E61">
      <w:pPr>
        <w:keepNext/>
        <w:keepLines/>
        <w:widowControl w:val="0"/>
        <w:pBdr>
          <w:top w:val="nil"/>
          <w:left w:val="nil"/>
          <w:bottom w:val="nil"/>
          <w:right w:val="nil"/>
          <w:between w:val="nil"/>
        </w:pBdr>
        <w:spacing w:before="240" w:after="240" w:line="320" w:lineRule="atLeast"/>
        <w:jc w:val="both"/>
        <w:outlineLvl w:val="0"/>
        <w:rPr>
          <w:rFonts w:ascii="Times New Roman" w:eastAsia="PT Sans Narrow" w:hAnsi="Times New Roman" w:cs="Times New Roman"/>
          <w:b/>
          <w:color w:val="FF9900"/>
          <w:sz w:val="28"/>
          <w:szCs w:val="28"/>
          <w:lang w:eastAsia="en-GB"/>
        </w:rPr>
      </w:pPr>
      <w:r w:rsidRPr="006F42D9">
        <w:rPr>
          <w:rFonts w:ascii="Times New Roman" w:eastAsia="PT Sans Narrow" w:hAnsi="Times New Roman" w:cs="Times New Roman"/>
          <w:b/>
          <w:color w:val="FF9900"/>
          <w:sz w:val="28"/>
          <w:szCs w:val="28"/>
          <w:lang w:eastAsia="en-GB"/>
        </w:rPr>
        <w:lastRenderedPageBreak/>
        <w:t xml:space="preserve">1. </w:t>
      </w:r>
      <w:commentRangeStart w:id="3"/>
      <w:r w:rsidRPr="006F42D9">
        <w:rPr>
          <w:rFonts w:ascii="Times New Roman" w:eastAsia="PT Sans Narrow" w:hAnsi="Times New Roman" w:cs="Times New Roman"/>
          <w:b/>
          <w:color w:val="FF9900"/>
          <w:sz w:val="28"/>
          <w:szCs w:val="28"/>
          <w:lang w:eastAsia="en-GB"/>
        </w:rPr>
        <w:t>INTRODUCTION</w:t>
      </w:r>
      <w:commentRangeEnd w:id="3"/>
      <w:r w:rsidR="008C6BD7">
        <w:rPr>
          <w:rStyle w:val="CommentReference"/>
        </w:rPr>
        <w:commentReference w:id="3"/>
      </w:r>
    </w:p>
    <w:p w14:paraId="6057F8E5" w14:textId="77777777" w:rsidR="00CF65BD" w:rsidRPr="000D3917" w:rsidRDefault="00CF65BD" w:rsidP="00CF65BD">
      <w:pPr>
        <w:shd w:val="clear" w:color="auto" w:fill="FFFFFF"/>
        <w:spacing w:beforeAutospacing="1" w:after="0" w:afterAutospacing="1" w:line="360" w:lineRule="auto"/>
        <w:textAlignment w:val="baseline"/>
        <w:rPr>
          <w:rFonts w:ascii="Times New Roman" w:eastAsia="Times New Roman" w:hAnsi="Times New Roman" w:cs="Times New Roman"/>
          <w:color w:val="2A2A2A"/>
          <w:sz w:val="24"/>
          <w:szCs w:val="24"/>
          <w:lang w:eastAsia="en-GB"/>
        </w:rPr>
      </w:pPr>
      <w:bookmarkStart w:id="4" w:name="_Hlk120796702"/>
      <w:r w:rsidRPr="000D3917">
        <w:rPr>
          <w:rFonts w:ascii="Times New Roman" w:eastAsia="Times New Roman" w:hAnsi="Times New Roman" w:cs="Times New Roman"/>
          <w:color w:val="2A2A2A"/>
          <w:sz w:val="24"/>
          <w:szCs w:val="24"/>
          <w:lang w:eastAsia="en-GB"/>
        </w:rPr>
        <w:t xml:space="preserve">The </w:t>
      </w:r>
      <w:proofErr w:type="spellStart"/>
      <w:r w:rsidRPr="000D3917">
        <w:rPr>
          <w:rFonts w:ascii="Times New Roman" w:eastAsia="Times New Roman" w:hAnsi="Times New Roman" w:cs="Times New Roman"/>
          <w:color w:val="2A2A2A"/>
          <w:sz w:val="24"/>
          <w:szCs w:val="24"/>
          <w:lang w:eastAsia="en-GB"/>
        </w:rPr>
        <w:t>double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burden</w:t>
      </w:r>
      <w:proofErr w:type="spellEnd"/>
      <w:r w:rsidRPr="000D3917">
        <w:rPr>
          <w:rFonts w:ascii="Times New Roman" w:eastAsia="Times New Roman" w:hAnsi="Times New Roman" w:cs="Times New Roman"/>
          <w:color w:val="2A2A2A"/>
          <w:sz w:val="24"/>
          <w:szCs w:val="24"/>
          <w:lang w:eastAsia="en-GB"/>
        </w:rPr>
        <w:t xml:space="preserve"> of </w:t>
      </w:r>
      <w:proofErr w:type="spellStart"/>
      <w:r w:rsidRPr="000D3917">
        <w:rPr>
          <w:rFonts w:ascii="Times New Roman" w:eastAsia="Times New Roman" w:hAnsi="Times New Roman" w:cs="Times New Roman"/>
          <w:color w:val="2A2A2A"/>
          <w:sz w:val="24"/>
          <w:szCs w:val="24"/>
          <w:lang w:eastAsia="en-GB"/>
        </w:rPr>
        <w:t>malnutrition</w:t>
      </w:r>
      <w:proofErr w:type="spellEnd"/>
      <w:r w:rsidRPr="000D3917">
        <w:rPr>
          <w:rFonts w:ascii="Times New Roman" w:eastAsia="Times New Roman" w:hAnsi="Times New Roman" w:cs="Times New Roman"/>
          <w:color w:val="2A2A2A"/>
          <w:sz w:val="24"/>
          <w:szCs w:val="24"/>
          <w:lang w:eastAsia="en-GB"/>
        </w:rPr>
        <w:t xml:space="preserve"> (DBM) </w:t>
      </w:r>
      <w:proofErr w:type="spellStart"/>
      <w:r w:rsidRPr="000D3917">
        <w:rPr>
          <w:rFonts w:ascii="Times New Roman" w:eastAsia="Times New Roman" w:hAnsi="Times New Roman" w:cs="Times New Roman"/>
          <w:color w:val="2A2A2A"/>
          <w:sz w:val="24"/>
          <w:szCs w:val="24"/>
          <w:lang w:eastAsia="en-GB"/>
        </w:rPr>
        <w:t>is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defined</w:t>
      </w:r>
      <w:proofErr w:type="spellEnd"/>
      <w:r w:rsidRPr="000D3917">
        <w:rPr>
          <w:rFonts w:ascii="Times New Roman" w:eastAsia="Times New Roman" w:hAnsi="Times New Roman" w:cs="Times New Roman"/>
          <w:color w:val="2A2A2A"/>
          <w:sz w:val="24"/>
          <w:szCs w:val="24"/>
          <w:lang w:eastAsia="en-GB"/>
        </w:rPr>
        <w:t xml:space="preserve"> as </w:t>
      </w:r>
      <w:proofErr w:type="spellStart"/>
      <w:r w:rsidRPr="000D3917">
        <w:rPr>
          <w:rFonts w:ascii="Times New Roman" w:eastAsia="Times New Roman" w:hAnsi="Times New Roman" w:cs="Times New Roman"/>
          <w:color w:val="2A2A2A"/>
          <w:sz w:val="24"/>
          <w:szCs w:val="24"/>
          <w:lang w:eastAsia="en-GB"/>
        </w:rPr>
        <w:t>the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coexistence</w:t>
      </w:r>
      <w:proofErr w:type="spellEnd"/>
      <w:r w:rsidRPr="000D3917">
        <w:rPr>
          <w:rFonts w:ascii="Times New Roman" w:eastAsia="Times New Roman" w:hAnsi="Times New Roman" w:cs="Times New Roman"/>
          <w:color w:val="2A2A2A"/>
          <w:sz w:val="24"/>
          <w:szCs w:val="24"/>
          <w:lang w:eastAsia="en-GB"/>
        </w:rPr>
        <w:t xml:space="preserve"> of </w:t>
      </w:r>
      <w:proofErr w:type="spellStart"/>
      <w:r w:rsidRPr="000D3917">
        <w:rPr>
          <w:rFonts w:ascii="Times New Roman" w:eastAsia="Times New Roman" w:hAnsi="Times New Roman" w:cs="Times New Roman"/>
          <w:color w:val="2A2A2A"/>
          <w:sz w:val="24"/>
          <w:szCs w:val="24"/>
          <w:lang w:eastAsia="en-GB"/>
        </w:rPr>
        <w:t>malnutrition</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due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to</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deficiency</w:t>
      </w:r>
      <w:proofErr w:type="spellEnd"/>
      <w:r w:rsidRPr="000D3917">
        <w:rPr>
          <w:rFonts w:ascii="Times New Roman" w:eastAsia="Times New Roman" w:hAnsi="Times New Roman" w:cs="Times New Roman"/>
          <w:color w:val="2A2A2A"/>
          <w:sz w:val="24"/>
          <w:szCs w:val="24"/>
          <w:lang w:eastAsia="en-GB"/>
        </w:rPr>
        <w:t xml:space="preserve"> (i.e., </w:t>
      </w:r>
      <w:proofErr w:type="spellStart"/>
      <w:r w:rsidRPr="000D3917">
        <w:rPr>
          <w:rFonts w:ascii="Times New Roman" w:eastAsia="Times New Roman" w:hAnsi="Times New Roman" w:cs="Times New Roman"/>
          <w:color w:val="2A2A2A"/>
          <w:sz w:val="24"/>
          <w:szCs w:val="24"/>
          <w:lang w:eastAsia="en-GB"/>
        </w:rPr>
        <w:t>micronutrient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deficiencies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underweight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childhood</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stunting</w:t>
      </w:r>
      <w:proofErr w:type="spellEnd"/>
      <w:r w:rsidRPr="000D3917">
        <w:rPr>
          <w:rFonts w:ascii="Times New Roman" w:eastAsia="Times New Roman" w:hAnsi="Times New Roman" w:cs="Times New Roman"/>
          <w:color w:val="2A2A2A"/>
          <w:sz w:val="24"/>
          <w:szCs w:val="24"/>
          <w:lang w:eastAsia="en-GB"/>
        </w:rPr>
        <w:t xml:space="preserve"> and </w:t>
      </w:r>
      <w:proofErr w:type="spellStart"/>
      <w:r w:rsidRPr="000D3917">
        <w:rPr>
          <w:rFonts w:ascii="Times New Roman" w:eastAsia="Times New Roman" w:hAnsi="Times New Roman" w:cs="Times New Roman"/>
          <w:color w:val="2A2A2A"/>
          <w:sz w:val="24"/>
          <w:szCs w:val="24"/>
          <w:lang w:eastAsia="en-GB"/>
        </w:rPr>
        <w:t>wasting</w:t>
      </w:r>
      <w:proofErr w:type="spellEnd"/>
      <w:r w:rsidRPr="000D3917">
        <w:rPr>
          <w:rFonts w:ascii="Times New Roman" w:eastAsia="Times New Roman" w:hAnsi="Times New Roman" w:cs="Times New Roman"/>
          <w:color w:val="2A2A2A"/>
          <w:sz w:val="24"/>
          <w:szCs w:val="24"/>
          <w:lang w:eastAsia="en-GB"/>
        </w:rPr>
        <w:t xml:space="preserve">) and </w:t>
      </w:r>
      <w:proofErr w:type="spellStart"/>
      <w:r w:rsidRPr="000D3917">
        <w:rPr>
          <w:rFonts w:ascii="Times New Roman" w:eastAsia="Times New Roman" w:hAnsi="Times New Roman" w:cs="Times New Roman"/>
          <w:color w:val="2A2A2A"/>
          <w:sz w:val="24"/>
          <w:szCs w:val="24"/>
          <w:lang w:eastAsia="en-GB"/>
        </w:rPr>
        <w:t>excess</w:t>
      </w:r>
      <w:proofErr w:type="spellEnd"/>
      <w:r w:rsidRPr="000D3917">
        <w:rPr>
          <w:rFonts w:ascii="Times New Roman" w:eastAsia="Times New Roman" w:hAnsi="Times New Roman" w:cs="Times New Roman"/>
          <w:color w:val="2A2A2A"/>
          <w:sz w:val="24"/>
          <w:szCs w:val="24"/>
          <w:lang w:eastAsia="en-GB"/>
        </w:rPr>
        <w:t xml:space="preserve"> (i.e., </w:t>
      </w:r>
      <w:proofErr w:type="spellStart"/>
      <w:r w:rsidRPr="000D3917">
        <w:rPr>
          <w:rFonts w:ascii="Times New Roman" w:eastAsia="Times New Roman" w:hAnsi="Times New Roman" w:cs="Times New Roman"/>
          <w:color w:val="2A2A2A"/>
          <w:sz w:val="24"/>
          <w:szCs w:val="24"/>
          <w:lang w:eastAsia="en-GB"/>
        </w:rPr>
        <w:t>overweight</w:t>
      </w:r>
      <w:proofErr w:type="spellEnd"/>
      <w:r w:rsidRPr="000D3917">
        <w:rPr>
          <w:rFonts w:ascii="Times New Roman" w:eastAsia="Times New Roman" w:hAnsi="Times New Roman" w:cs="Times New Roman"/>
          <w:color w:val="2A2A2A"/>
          <w:sz w:val="24"/>
          <w:szCs w:val="24"/>
          <w:lang w:eastAsia="en-GB"/>
        </w:rPr>
        <w:t>/</w:t>
      </w:r>
      <w:proofErr w:type="spellStart"/>
      <w:r w:rsidRPr="000D3917">
        <w:rPr>
          <w:rFonts w:ascii="Times New Roman" w:eastAsia="Times New Roman" w:hAnsi="Times New Roman" w:cs="Times New Roman"/>
          <w:color w:val="2A2A2A"/>
          <w:sz w:val="24"/>
          <w:szCs w:val="24"/>
          <w:lang w:eastAsia="en-GB"/>
        </w:rPr>
        <w:t>obesity</w:t>
      </w:r>
      <w:proofErr w:type="spellEnd"/>
      <w:r w:rsidRPr="000D3917">
        <w:rPr>
          <w:rFonts w:ascii="Times New Roman" w:eastAsia="Times New Roman" w:hAnsi="Times New Roman" w:cs="Times New Roman"/>
          <w:color w:val="2A2A2A"/>
          <w:sz w:val="24"/>
          <w:szCs w:val="24"/>
          <w:lang w:eastAsia="en-GB"/>
        </w:rPr>
        <w:t xml:space="preserve"> and </w:t>
      </w:r>
      <w:proofErr w:type="spellStart"/>
      <w:r w:rsidRPr="000D3917">
        <w:rPr>
          <w:rFonts w:ascii="Times New Roman" w:eastAsia="Times New Roman" w:hAnsi="Times New Roman" w:cs="Times New Roman"/>
          <w:color w:val="2A2A2A"/>
          <w:sz w:val="24"/>
          <w:szCs w:val="24"/>
          <w:lang w:eastAsia="en-GB"/>
        </w:rPr>
        <w:t>diet-related</w:t>
      </w:r>
      <w:proofErr w:type="spellEnd"/>
      <w:r w:rsidRPr="000D3917">
        <w:rPr>
          <w:rFonts w:ascii="Times New Roman" w:eastAsia="Times New Roman" w:hAnsi="Times New Roman" w:cs="Times New Roman"/>
          <w:color w:val="2A2A2A"/>
          <w:sz w:val="24"/>
          <w:szCs w:val="24"/>
          <w:lang w:eastAsia="en-GB"/>
        </w:rPr>
        <w:t xml:space="preserve"> non-</w:t>
      </w:r>
      <w:proofErr w:type="spellStart"/>
      <w:r w:rsidRPr="000D3917">
        <w:rPr>
          <w:rFonts w:ascii="Times New Roman" w:eastAsia="Times New Roman" w:hAnsi="Times New Roman" w:cs="Times New Roman"/>
          <w:color w:val="2A2A2A"/>
          <w:sz w:val="24"/>
          <w:szCs w:val="24"/>
          <w:lang w:eastAsia="en-GB"/>
        </w:rPr>
        <w:t>communicable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diseases</w:t>
      </w:r>
      <w:proofErr w:type="spellEnd"/>
      <w:r w:rsidRPr="000D3917">
        <w:rPr>
          <w:rFonts w:ascii="Times New Roman" w:eastAsia="Times New Roman" w:hAnsi="Times New Roman" w:cs="Times New Roman"/>
          <w:color w:val="2A2A2A"/>
          <w:sz w:val="24"/>
          <w:szCs w:val="24"/>
          <w:lang w:eastAsia="en-GB"/>
        </w:rPr>
        <w:t>- DR-</w:t>
      </w:r>
      <w:proofErr w:type="spellStart"/>
      <w:r w:rsidRPr="000D3917">
        <w:rPr>
          <w:rFonts w:ascii="Times New Roman" w:eastAsia="Times New Roman" w:hAnsi="Times New Roman" w:cs="Times New Roman"/>
          <w:color w:val="2A2A2A"/>
          <w:sz w:val="24"/>
          <w:szCs w:val="24"/>
          <w:lang w:eastAsia="en-GB"/>
        </w:rPr>
        <w:t>NCDs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which</w:t>
      </w:r>
      <w:proofErr w:type="spellEnd"/>
      <w:r w:rsidRPr="000D3917">
        <w:rPr>
          <w:rFonts w:ascii="Times New Roman" w:eastAsia="Times New Roman" w:hAnsi="Times New Roman" w:cs="Times New Roman"/>
          <w:color w:val="2A2A2A"/>
          <w:sz w:val="24"/>
          <w:szCs w:val="24"/>
          <w:lang w:eastAsia="en-GB"/>
        </w:rPr>
        <w:t xml:space="preserve"> can </w:t>
      </w:r>
      <w:proofErr w:type="spellStart"/>
      <w:r w:rsidRPr="000D3917">
        <w:rPr>
          <w:rFonts w:ascii="Times New Roman" w:eastAsia="Times New Roman" w:hAnsi="Times New Roman" w:cs="Times New Roman"/>
          <w:color w:val="2A2A2A"/>
          <w:sz w:val="24"/>
          <w:szCs w:val="24"/>
          <w:lang w:eastAsia="en-GB"/>
        </w:rPr>
        <w:t>affect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countries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households</w:t>
      </w:r>
      <w:proofErr w:type="spellEnd"/>
      <w:r w:rsidRPr="000D3917">
        <w:rPr>
          <w:rFonts w:ascii="Times New Roman" w:eastAsia="Times New Roman" w:hAnsi="Times New Roman" w:cs="Times New Roman"/>
          <w:color w:val="2A2A2A"/>
          <w:sz w:val="24"/>
          <w:szCs w:val="24"/>
          <w:lang w:eastAsia="en-GB"/>
        </w:rPr>
        <w:t xml:space="preserve">, and </w:t>
      </w:r>
      <w:proofErr w:type="spellStart"/>
      <w:r w:rsidRPr="000D3917">
        <w:rPr>
          <w:rFonts w:ascii="Times New Roman" w:eastAsia="Times New Roman" w:hAnsi="Times New Roman" w:cs="Times New Roman"/>
          <w:color w:val="2A2A2A"/>
          <w:sz w:val="24"/>
          <w:szCs w:val="24"/>
          <w:lang w:eastAsia="en-GB"/>
        </w:rPr>
        <w:t>individuals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Popkin</w:t>
      </w:r>
      <w:proofErr w:type="spellEnd"/>
      <w:r w:rsidRPr="000D3917">
        <w:rPr>
          <w:rFonts w:ascii="Times New Roman" w:eastAsia="Times New Roman" w:hAnsi="Times New Roman" w:cs="Times New Roman"/>
          <w:color w:val="2A2A2A"/>
          <w:sz w:val="24"/>
          <w:szCs w:val="24"/>
          <w:lang w:eastAsia="en-GB"/>
        </w:rPr>
        <w:t xml:space="preserve"> et al. 2020). </w:t>
      </w:r>
      <w:proofErr w:type="spellStart"/>
      <w:r w:rsidRPr="000D3917">
        <w:rPr>
          <w:rFonts w:ascii="Times New Roman" w:eastAsia="Times New Roman" w:hAnsi="Times New Roman" w:cs="Times New Roman"/>
          <w:color w:val="2A2A2A"/>
          <w:sz w:val="24"/>
          <w:szCs w:val="24"/>
          <w:lang w:eastAsia="en-GB"/>
        </w:rPr>
        <w:t>Both</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undernutrition</w:t>
      </w:r>
      <w:proofErr w:type="spellEnd"/>
      <w:r w:rsidRPr="000D3917">
        <w:rPr>
          <w:rFonts w:ascii="Times New Roman" w:eastAsia="Times New Roman" w:hAnsi="Times New Roman" w:cs="Times New Roman"/>
          <w:color w:val="2A2A2A"/>
          <w:sz w:val="24"/>
          <w:szCs w:val="24"/>
          <w:lang w:eastAsia="en-GB"/>
        </w:rPr>
        <w:t xml:space="preserve"> and </w:t>
      </w:r>
      <w:proofErr w:type="spellStart"/>
      <w:r w:rsidRPr="000D3917">
        <w:rPr>
          <w:rFonts w:ascii="Times New Roman" w:eastAsia="Times New Roman" w:hAnsi="Times New Roman" w:cs="Times New Roman"/>
          <w:color w:val="2A2A2A"/>
          <w:sz w:val="24"/>
          <w:szCs w:val="24"/>
          <w:lang w:eastAsia="en-GB"/>
        </w:rPr>
        <w:t>overweight</w:t>
      </w:r>
      <w:proofErr w:type="spellEnd"/>
      <w:r w:rsidRPr="000D3917">
        <w:rPr>
          <w:rFonts w:ascii="Times New Roman" w:eastAsia="Times New Roman" w:hAnsi="Times New Roman" w:cs="Times New Roman"/>
          <w:color w:val="2A2A2A"/>
          <w:sz w:val="24"/>
          <w:szCs w:val="24"/>
          <w:lang w:eastAsia="en-GB"/>
        </w:rPr>
        <w:t>/</w:t>
      </w:r>
      <w:proofErr w:type="spellStart"/>
      <w:r w:rsidRPr="000D3917">
        <w:rPr>
          <w:rFonts w:ascii="Times New Roman" w:eastAsia="Times New Roman" w:hAnsi="Times New Roman" w:cs="Times New Roman"/>
          <w:color w:val="2A2A2A"/>
          <w:sz w:val="24"/>
          <w:szCs w:val="24"/>
          <w:lang w:eastAsia="en-GB"/>
        </w:rPr>
        <w:t>obesity</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have</w:t>
      </w:r>
      <w:proofErr w:type="spellEnd"/>
      <w:r w:rsidRPr="000D3917">
        <w:rPr>
          <w:rFonts w:ascii="Times New Roman" w:eastAsia="Times New Roman" w:hAnsi="Times New Roman" w:cs="Times New Roman"/>
          <w:color w:val="2A2A2A"/>
          <w:sz w:val="24"/>
          <w:szCs w:val="24"/>
          <w:lang w:eastAsia="en-GB"/>
        </w:rPr>
        <w:t xml:space="preserve">, for a </w:t>
      </w:r>
      <w:proofErr w:type="spellStart"/>
      <w:r w:rsidRPr="000D3917">
        <w:rPr>
          <w:rFonts w:ascii="Times New Roman" w:eastAsia="Times New Roman" w:hAnsi="Times New Roman" w:cs="Times New Roman"/>
          <w:color w:val="2A2A2A"/>
          <w:sz w:val="24"/>
          <w:szCs w:val="24"/>
          <w:lang w:eastAsia="en-GB"/>
        </w:rPr>
        <w:t>long</w:t>
      </w:r>
      <w:proofErr w:type="spellEnd"/>
      <w:r w:rsidRPr="000D3917">
        <w:rPr>
          <w:rFonts w:ascii="Times New Roman" w:eastAsia="Times New Roman" w:hAnsi="Times New Roman" w:cs="Times New Roman"/>
          <w:color w:val="2A2A2A"/>
          <w:sz w:val="24"/>
          <w:szCs w:val="24"/>
          <w:lang w:eastAsia="en-GB"/>
        </w:rPr>
        <w:t xml:space="preserve"> time, </w:t>
      </w:r>
      <w:proofErr w:type="spellStart"/>
      <w:r w:rsidRPr="000D3917">
        <w:rPr>
          <w:rFonts w:ascii="Times New Roman" w:eastAsia="Times New Roman" w:hAnsi="Times New Roman" w:cs="Times New Roman"/>
          <w:color w:val="2A2A2A"/>
          <w:sz w:val="24"/>
          <w:szCs w:val="24"/>
          <w:lang w:eastAsia="en-GB"/>
        </w:rPr>
        <w:t>been</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addressed</w:t>
      </w:r>
      <w:proofErr w:type="spellEnd"/>
      <w:r w:rsidRPr="000D3917">
        <w:rPr>
          <w:rFonts w:ascii="Times New Roman" w:eastAsia="Times New Roman" w:hAnsi="Times New Roman" w:cs="Times New Roman"/>
          <w:color w:val="2A2A2A"/>
          <w:sz w:val="24"/>
          <w:szCs w:val="24"/>
          <w:lang w:eastAsia="en-GB"/>
        </w:rPr>
        <w:t xml:space="preserve"> as </w:t>
      </w:r>
      <w:proofErr w:type="spellStart"/>
      <w:r w:rsidRPr="000D3917">
        <w:rPr>
          <w:rFonts w:ascii="Times New Roman" w:eastAsia="Times New Roman" w:hAnsi="Times New Roman" w:cs="Times New Roman"/>
          <w:color w:val="2A2A2A"/>
          <w:sz w:val="24"/>
          <w:szCs w:val="24"/>
          <w:lang w:eastAsia="en-GB"/>
        </w:rPr>
        <w:t>separate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public</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health</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problems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requiring</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different</w:t>
      </w:r>
      <w:proofErr w:type="spellEnd"/>
      <w:r w:rsidRPr="000D3917">
        <w:rPr>
          <w:rFonts w:ascii="Times New Roman" w:eastAsia="Times New Roman" w:hAnsi="Times New Roman" w:cs="Times New Roman"/>
          <w:color w:val="2A2A2A"/>
          <w:sz w:val="24"/>
          <w:szCs w:val="24"/>
          <w:lang w:eastAsia="en-GB"/>
        </w:rPr>
        <w:t xml:space="preserve"> sets of </w:t>
      </w:r>
      <w:proofErr w:type="spellStart"/>
      <w:r w:rsidRPr="000D3917">
        <w:rPr>
          <w:rFonts w:ascii="Times New Roman" w:eastAsia="Times New Roman" w:hAnsi="Times New Roman" w:cs="Times New Roman"/>
          <w:color w:val="2A2A2A"/>
          <w:sz w:val="24"/>
          <w:szCs w:val="24"/>
          <w:lang w:eastAsia="en-GB"/>
        </w:rPr>
        <w:t>solutions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However</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the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current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nutrition</w:t>
      </w:r>
      <w:proofErr w:type="spellEnd"/>
      <w:r w:rsidRPr="000D3917">
        <w:rPr>
          <w:rFonts w:ascii="Times New Roman" w:eastAsia="Times New Roman" w:hAnsi="Times New Roman" w:cs="Times New Roman"/>
          <w:color w:val="2A2A2A"/>
          <w:sz w:val="24"/>
          <w:szCs w:val="24"/>
          <w:lang w:eastAsia="en-GB"/>
        </w:rPr>
        <w:t xml:space="preserve"> </w:t>
      </w:r>
      <w:proofErr w:type="spellStart"/>
      <w:proofErr w:type="gramStart"/>
      <w:r w:rsidRPr="000D3917">
        <w:rPr>
          <w:rFonts w:ascii="Times New Roman" w:eastAsia="Times New Roman" w:hAnsi="Times New Roman" w:cs="Times New Roman"/>
          <w:color w:val="2A2A2A"/>
          <w:sz w:val="24"/>
          <w:szCs w:val="24"/>
          <w:lang w:eastAsia="en-GB"/>
        </w:rPr>
        <w:t>reality</w:t>
      </w:r>
      <w:proofErr w:type="spellEnd"/>
      <w:r w:rsidRPr="000D3917">
        <w:rPr>
          <w:rFonts w:ascii="Times New Roman" w:eastAsia="Times New Roman" w:hAnsi="Times New Roman" w:cs="Times New Roman"/>
          <w:color w:val="2A2A2A"/>
          <w:sz w:val="24"/>
          <w:szCs w:val="24"/>
          <w:lang w:eastAsia="en-GB"/>
        </w:rPr>
        <w:t xml:space="preserve"> shows</w:t>
      </w:r>
      <w:proofErr w:type="gram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that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both</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coexist</w:t>
      </w:r>
      <w:proofErr w:type="spellEnd"/>
      <w:r w:rsidRPr="000D3917">
        <w:rPr>
          <w:rFonts w:ascii="Times New Roman" w:eastAsia="Times New Roman" w:hAnsi="Times New Roman" w:cs="Times New Roman"/>
          <w:color w:val="2A2A2A"/>
          <w:sz w:val="24"/>
          <w:szCs w:val="24"/>
          <w:lang w:eastAsia="en-GB"/>
        </w:rPr>
        <w:t xml:space="preserve"> and are </w:t>
      </w:r>
      <w:proofErr w:type="spellStart"/>
      <w:r w:rsidRPr="000D3917">
        <w:rPr>
          <w:rFonts w:ascii="Times New Roman" w:eastAsia="Times New Roman" w:hAnsi="Times New Roman" w:cs="Times New Roman"/>
          <w:color w:val="2A2A2A"/>
          <w:sz w:val="24"/>
          <w:szCs w:val="24"/>
          <w:lang w:eastAsia="en-GB"/>
        </w:rPr>
        <w:t>interconnected</w:t>
      </w:r>
      <w:proofErr w:type="spellEnd"/>
      <w:r w:rsidRPr="000D3917">
        <w:rPr>
          <w:rFonts w:ascii="Times New Roman" w:eastAsia="Times New Roman" w:hAnsi="Times New Roman" w:cs="Times New Roman"/>
          <w:color w:val="2A2A2A"/>
          <w:sz w:val="24"/>
          <w:szCs w:val="24"/>
          <w:lang w:eastAsia="en-GB"/>
        </w:rPr>
        <w:t xml:space="preserve"> and </w:t>
      </w:r>
      <w:proofErr w:type="spellStart"/>
      <w:r w:rsidRPr="000D3917">
        <w:rPr>
          <w:rFonts w:ascii="Times New Roman" w:eastAsia="Times New Roman" w:hAnsi="Times New Roman" w:cs="Times New Roman"/>
          <w:color w:val="2A2A2A"/>
          <w:sz w:val="24"/>
          <w:szCs w:val="24"/>
          <w:lang w:eastAsia="en-GB"/>
        </w:rPr>
        <w:t>hence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require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public</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health</w:t>
      </w:r>
      <w:proofErr w:type="spellEnd"/>
      <w:r w:rsidRPr="000D3917">
        <w:rPr>
          <w:rFonts w:ascii="Times New Roman" w:eastAsia="Times New Roman" w:hAnsi="Times New Roman" w:cs="Times New Roman"/>
          <w:color w:val="2A2A2A"/>
          <w:sz w:val="24"/>
          <w:szCs w:val="24"/>
          <w:lang w:eastAsia="en-GB"/>
        </w:rPr>
        <w:t xml:space="preserve"> and </w:t>
      </w:r>
      <w:proofErr w:type="spellStart"/>
      <w:r w:rsidRPr="000D3917">
        <w:rPr>
          <w:rFonts w:ascii="Times New Roman" w:eastAsia="Times New Roman" w:hAnsi="Times New Roman" w:cs="Times New Roman"/>
          <w:color w:val="2A2A2A"/>
          <w:sz w:val="24"/>
          <w:szCs w:val="24"/>
          <w:lang w:eastAsia="en-GB"/>
        </w:rPr>
        <w:t>nutrition</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interventions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to</w:t>
      </w:r>
      <w:proofErr w:type="spellEnd"/>
      <w:r w:rsidRPr="000D3917">
        <w:rPr>
          <w:rFonts w:ascii="Times New Roman" w:eastAsia="Times New Roman" w:hAnsi="Times New Roman" w:cs="Times New Roman"/>
          <w:color w:val="2A2A2A"/>
          <w:sz w:val="24"/>
          <w:szCs w:val="24"/>
          <w:lang w:eastAsia="en-GB"/>
        </w:rPr>
        <w:t xml:space="preserve"> be </w:t>
      </w:r>
      <w:proofErr w:type="spellStart"/>
      <w:r w:rsidRPr="000D3917">
        <w:rPr>
          <w:rFonts w:ascii="Times New Roman" w:eastAsia="Times New Roman" w:hAnsi="Times New Roman" w:cs="Times New Roman"/>
          <w:color w:val="2A2A2A"/>
          <w:sz w:val="24"/>
          <w:szCs w:val="24"/>
          <w:lang w:eastAsia="en-GB"/>
        </w:rPr>
        <w:t>reshaped</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to</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address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multiple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forms</w:t>
      </w:r>
      <w:proofErr w:type="spellEnd"/>
      <w:r w:rsidRPr="000D3917">
        <w:rPr>
          <w:rFonts w:ascii="Times New Roman" w:eastAsia="Times New Roman" w:hAnsi="Times New Roman" w:cs="Times New Roman"/>
          <w:color w:val="2A2A2A"/>
          <w:sz w:val="24"/>
          <w:szCs w:val="24"/>
          <w:lang w:eastAsia="en-GB"/>
        </w:rPr>
        <w:t xml:space="preserve"> of </w:t>
      </w:r>
      <w:proofErr w:type="spellStart"/>
      <w:r w:rsidRPr="000D3917">
        <w:rPr>
          <w:rFonts w:ascii="Times New Roman" w:eastAsia="Times New Roman" w:hAnsi="Times New Roman" w:cs="Times New Roman"/>
          <w:color w:val="2A2A2A"/>
          <w:sz w:val="24"/>
          <w:szCs w:val="24"/>
          <w:lang w:eastAsia="en-GB"/>
        </w:rPr>
        <w:t>malnutrition</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simultaneously</w:t>
      </w:r>
      <w:proofErr w:type="spellEnd"/>
      <w:r w:rsidRPr="000D3917">
        <w:rPr>
          <w:rFonts w:ascii="Times New Roman" w:eastAsia="Times New Roman" w:hAnsi="Times New Roman" w:cs="Times New Roman"/>
          <w:color w:val="2A2A2A"/>
          <w:sz w:val="24"/>
          <w:szCs w:val="24"/>
          <w:lang w:eastAsia="en-GB"/>
        </w:rPr>
        <w:t xml:space="preserve"> (Hawkes et al. 2020).</w:t>
      </w:r>
    </w:p>
    <w:p w14:paraId="29F449C7" w14:textId="77777777" w:rsidR="00CF65BD" w:rsidRPr="000D3917" w:rsidRDefault="00CF65BD" w:rsidP="00CF65BD">
      <w:pPr>
        <w:shd w:val="clear" w:color="auto" w:fill="FFFFFF"/>
        <w:spacing w:beforeAutospacing="1" w:after="0" w:afterAutospacing="1" w:line="360" w:lineRule="auto"/>
        <w:textAlignment w:val="baseline"/>
        <w:rPr>
          <w:rFonts w:ascii="Times New Roman" w:eastAsia="Times New Roman" w:hAnsi="Times New Roman" w:cs="Times New Roman"/>
          <w:color w:val="2A2A2A"/>
          <w:sz w:val="24"/>
          <w:szCs w:val="24"/>
          <w:lang w:eastAsia="en-GB"/>
        </w:rPr>
      </w:pPr>
      <w:bookmarkStart w:id="5" w:name="_Hlk120796838"/>
      <w:bookmarkEnd w:id="4"/>
      <w:r w:rsidRPr="008A07FC">
        <w:rPr>
          <w:rFonts w:ascii="Times New Roman" w:eastAsia="Times New Roman" w:hAnsi="Times New Roman" w:cs="Times New Roman"/>
          <w:color w:val="2A2A2A"/>
          <w:sz w:val="24"/>
          <w:szCs w:val="24"/>
          <w:lang w:eastAsia="en-GB"/>
        </w:rPr>
        <w:t xml:space="preserve">To </w:t>
      </w:r>
      <w:proofErr w:type="spellStart"/>
      <w:r w:rsidRPr="008A07FC">
        <w:rPr>
          <w:rFonts w:ascii="Times New Roman" w:eastAsia="Times New Roman" w:hAnsi="Times New Roman" w:cs="Times New Roman"/>
          <w:color w:val="2A2A2A"/>
          <w:sz w:val="24"/>
          <w:szCs w:val="24"/>
          <w:lang w:eastAsia="en-GB"/>
        </w:rPr>
        <w:t>address</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the</w:t>
      </w:r>
      <w:proofErr w:type="spellEnd"/>
      <w:r w:rsidRPr="008A07FC">
        <w:rPr>
          <w:rFonts w:ascii="Times New Roman" w:eastAsia="Times New Roman" w:hAnsi="Times New Roman" w:cs="Times New Roman"/>
          <w:color w:val="2A2A2A"/>
          <w:sz w:val="24"/>
          <w:szCs w:val="24"/>
          <w:lang w:eastAsia="en-GB"/>
        </w:rPr>
        <w:t xml:space="preserve"> DBM, so </w:t>
      </w:r>
      <w:proofErr w:type="spellStart"/>
      <w:r w:rsidRPr="008A07FC">
        <w:rPr>
          <w:rFonts w:ascii="Times New Roman" w:eastAsia="Times New Roman" w:hAnsi="Times New Roman" w:cs="Times New Roman"/>
          <w:color w:val="2A2A2A"/>
          <w:sz w:val="24"/>
          <w:szCs w:val="24"/>
          <w:lang w:eastAsia="en-GB"/>
        </w:rPr>
        <w:t>called</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double-duty</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actions</w:t>
      </w:r>
      <w:proofErr w:type="spellEnd"/>
      <w:r w:rsidRPr="008A07FC">
        <w:rPr>
          <w:rFonts w:ascii="Times New Roman" w:eastAsia="Times New Roman" w:hAnsi="Times New Roman" w:cs="Times New Roman"/>
          <w:color w:val="2A2A2A"/>
          <w:sz w:val="24"/>
          <w:szCs w:val="24"/>
          <w:lang w:eastAsia="en-GB"/>
        </w:rPr>
        <w:t>’ (</w:t>
      </w:r>
      <w:proofErr w:type="spellStart"/>
      <w:r w:rsidRPr="008A07FC">
        <w:rPr>
          <w:rFonts w:ascii="Times New Roman" w:eastAsia="Times New Roman" w:hAnsi="Times New Roman" w:cs="Times New Roman"/>
          <w:color w:val="2A2A2A"/>
          <w:sz w:val="24"/>
          <w:szCs w:val="24"/>
          <w:lang w:eastAsia="en-GB"/>
        </w:rPr>
        <w:t>DDAs</w:t>
      </w:r>
      <w:proofErr w:type="spellEnd"/>
      <w:r w:rsidRPr="008A07FC">
        <w:rPr>
          <w:rFonts w:ascii="Times New Roman" w:eastAsia="Times New Roman" w:hAnsi="Times New Roman" w:cs="Times New Roman"/>
          <w:color w:val="2A2A2A"/>
          <w:sz w:val="24"/>
          <w:szCs w:val="24"/>
          <w:lang w:eastAsia="en-GB"/>
        </w:rPr>
        <w:t xml:space="preserve">), i.e., </w:t>
      </w:r>
      <w:proofErr w:type="spellStart"/>
      <w:r w:rsidRPr="008A07FC">
        <w:rPr>
          <w:rFonts w:ascii="Times New Roman" w:eastAsia="Times New Roman" w:hAnsi="Times New Roman" w:cs="Times New Roman"/>
          <w:color w:val="2A2A2A"/>
          <w:sz w:val="24"/>
          <w:szCs w:val="24"/>
          <w:lang w:eastAsia="en-GB"/>
        </w:rPr>
        <w:t>interventions</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programmes</w:t>
      </w:r>
      <w:proofErr w:type="spellEnd"/>
      <w:r w:rsidRPr="008A07FC">
        <w:rPr>
          <w:rFonts w:ascii="Times New Roman" w:eastAsia="Times New Roman" w:hAnsi="Times New Roman" w:cs="Times New Roman"/>
          <w:color w:val="2A2A2A"/>
          <w:sz w:val="24"/>
          <w:szCs w:val="24"/>
          <w:lang w:eastAsia="en-GB"/>
        </w:rPr>
        <w:t xml:space="preserve">, and </w:t>
      </w:r>
      <w:proofErr w:type="spellStart"/>
      <w:r w:rsidRPr="008A07FC">
        <w:rPr>
          <w:rFonts w:ascii="Times New Roman" w:eastAsia="Times New Roman" w:hAnsi="Times New Roman" w:cs="Times New Roman"/>
          <w:color w:val="2A2A2A"/>
          <w:sz w:val="24"/>
          <w:szCs w:val="24"/>
          <w:lang w:eastAsia="en-GB"/>
        </w:rPr>
        <w:t>policies</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with</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the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potential</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to</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simultaneously</w:t>
      </w:r>
      <w:proofErr w:type="spellEnd"/>
      <w:r w:rsidRPr="008A07FC">
        <w:rPr>
          <w:rFonts w:ascii="Times New Roman" w:eastAsia="Times New Roman" w:hAnsi="Times New Roman" w:cs="Times New Roman"/>
          <w:color w:val="2A2A2A"/>
          <w:sz w:val="24"/>
          <w:szCs w:val="24"/>
          <w:lang w:eastAsia="en-GB"/>
        </w:rPr>
        <w:t xml:space="preserve"> reduce </w:t>
      </w:r>
      <w:proofErr w:type="spellStart"/>
      <w:r w:rsidRPr="008A07FC">
        <w:rPr>
          <w:rFonts w:ascii="Times New Roman" w:eastAsia="Times New Roman" w:hAnsi="Times New Roman" w:cs="Times New Roman"/>
          <w:color w:val="2A2A2A"/>
          <w:sz w:val="24"/>
          <w:szCs w:val="24"/>
          <w:lang w:eastAsia="en-GB"/>
        </w:rPr>
        <w:t>the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risk</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or</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burden</w:t>
      </w:r>
      <w:proofErr w:type="spellEnd"/>
      <w:r w:rsidRPr="008A07FC">
        <w:rPr>
          <w:rFonts w:ascii="Times New Roman" w:eastAsia="Times New Roman" w:hAnsi="Times New Roman" w:cs="Times New Roman"/>
          <w:color w:val="2A2A2A"/>
          <w:sz w:val="24"/>
          <w:szCs w:val="24"/>
          <w:lang w:eastAsia="en-GB"/>
        </w:rPr>
        <w:t xml:space="preserve"> of </w:t>
      </w:r>
      <w:proofErr w:type="spellStart"/>
      <w:r w:rsidRPr="008A07FC">
        <w:rPr>
          <w:rFonts w:ascii="Times New Roman" w:eastAsia="Times New Roman" w:hAnsi="Times New Roman" w:cs="Times New Roman"/>
          <w:color w:val="2A2A2A"/>
          <w:sz w:val="24"/>
          <w:szCs w:val="24"/>
          <w:lang w:eastAsia="en-GB"/>
        </w:rPr>
        <w:t>undernutrition</w:t>
      </w:r>
      <w:proofErr w:type="spellEnd"/>
      <w:r w:rsidRPr="008A07FC">
        <w:rPr>
          <w:rFonts w:ascii="Times New Roman" w:eastAsia="Times New Roman" w:hAnsi="Times New Roman" w:cs="Times New Roman"/>
          <w:color w:val="2A2A2A"/>
          <w:sz w:val="24"/>
          <w:szCs w:val="24"/>
          <w:lang w:eastAsia="en-GB"/>
        </w:rPr>
        <w:t xml:space="preserve"> and </w:t>
      </w:r>
      <w:proofErr w:type="spellStart"/>
      <w:r w:rsidRPr="008A07FC">
        <w:rPr>
          <w:rFonts w:ascii="Times New Roman" w:eastAsia="Times New Roman" w:hAnsi="Times New Roman" w:cs="Times New Roman"/>
          <w:color w:val="2A2A2A"/>
          <w:sz w:val="24"/>
          <w:szCs w:val="24"/>
          <w:lang w:eastAsia="en-GB"/>
        </w:rPr>
        <w:t>overnutrition</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have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been</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proposed</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by</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the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World</w:t>
      </w:r>
      <w:proofErr w:type="spellEnd"/>
      <w:r w:rsidRPr="008A07FC">
        <w:rPr>
          <w:rFonts w:ascii="Times New Roman" w:eastAsia="Times New Roman" w:hAnsi="Times New Roman" w:cs="Times New Roman"/>
          <w:color w:val="2A2A2A"/>
          <w:sz w:val="24"/>
          <w:szCs w:val="24"/>
          <w:lang w:eastAsia="en-GB"/>
        </w:rPr>
        <w:t xml:space="preserve"> Health </w:t>
      </w:r>
      <w:proofErr w:type="spellStart"/>
      <w:r w:rsidRPr="008A07FC">
        <w:rPr>
          <w:rFonts w:ascii="Times New Roman" w:eastAsia="Times New Roman" w:hAnsi="Times New Roman" w:cs="Times New Roman"/>
          <w:color w:val="2A2A2A"/>
          <w:sz w:val="24"/>
          <w:szCs w:val="24"/>
          <w:lang w:eastAsia="en-GB"/>
        </w:rPr>
        <w:t>Organization</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World</w:t>
      </w:r>
      <w:proofErr w:type="spellEnd"/>
      <w:r w:rsidRPr="008A07FC">
        <w:rPr>
          <w:rFonts w:ascii="Times New Roman" w:eastAsia="Times New Roman" w:hAnsi="Times New Roman" w:cs="Times New Roman"/>
          <w:color w:val="2A2A2A"/>
          <w:sz w:val="24"/>
          <w:szCs w:val="24"/>
          <w:lang w:eastAsia="en-GB"/>
        </w:rPr>
        <w:t xml:space="preserve"> Health </w:t>
      </w:r>
      <w:proofErr w:type="spellStart"/>
      <w:r w:rsidRPr="008A07FC">
        <w:rPr>
          <w:rFonts w:ascii="Times New Roman" w:eastAsia="Times New Roman" w:hAnsi="Times New Roman" w:cs="Times New Roman"/>
          <w:color w:val="2A2A2A"/>
          <w:sz w:val="24"/>
          <w:szCs w:val="24"/>
          <w:lang w:eastAsia="en-GB"/>
        </w:rPr>
        <w:t>Organization</w:t>
      </w:r>
      <w:proofErr w:type="spellEnd"/>
      <w:r w:rsidRPr="008A07FC">
        <w:rPr>
          <w:rFonts w:ascii="Times New Roman" w:eastAsia="Times New Roman" w:hAnsi="Times New Roman" w:cs="Times New Roman"/>
          <w:color w:val="2A2A2A"/>
          <w:sz w:val="24"/>
          <w:szCs w:val="24"/>
          <w:lang w:eastAsia="en-GB"/>
        </w:rPr>
        <w:t xml:space="preserve">, 2017). </w:t>
      </w:r>
      <w:proofErr w:type="spellStart"/>
      <w:r w:rsidRPr="008A07FC">
        <w:rPr>
          <w:rFonts w:ascii="Times New Roman" w:eastAsia="Times New Roman" w:hAnsi="Times New Roman" w:cs="Times New Roman"/>
          <w:color w:val="2A2A2A"/>
          <w:sz w:val="24"/>
          <w:szCs w:val="24"/>
          <w:lang w:eastAsia="en-GB"/>
        </w:rPr>
        <w:t>These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include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initiatives</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to</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promote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or</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implement</w:t>
      </w:r>
      <w:proofErr w:type="spellEnd"/>
      <w:r w:rsidRPr="008A07FC">
        <w:rPr>
          <w:rFonts w:ascii="Times New Roman" w:eastAsia="Times New Roman" w:hAnsi="Times New Roman" w:cs="Times New Roman"/>
          <w:color w:val="2A2A2A"/>
          <w:sz w:val="24"/>
          <w:szCs w:val="24"/>
          <w:lang w:eastAsia="en-GB"/>
        </w:rPr>
        <w:t xml:space="preserve">: exclusive </w:t>
      </w:r>
      <w:proofErr w:type="spellStart"/>
      <w:r w:rsidRPr="008A07FC">
        <w:rPr>
          <w:rFonts w:ascii="Times New Roman" w:eastAsia="Times New Roman" w:hAnsi="Times New Roman" w:cs="Times New Roman"/>
          <w:color w:val="2A2A2A"/>
          <w:sz w:val="24"/>
          <w:szCs w:val="24"/>
          <w:lang w:eastAsia="en-GB"/>
        </w:rPr>
        <w:t>breastfeeding</w:t>
      </w:r>
      <w:proofErr w:type="spellEnd"/>
      <w:r w:rsidRPr="008A07FC">
        <w:rPr>
          <w:rFonts w:ascii="Times New Roman" w:eastAsia="Times New Roman" w:hAnsi="Times New Roman" w:cs="Times New Roman"/>
          <w:color w:val="2A2A2A"/>
          <w:sz w:val="24"/>
          <w:szCs w:val="24"/>
          <w:lang w:eastAsia="en-GB"/>
        </w:rPr>
        <w:t xml:space="preserve"> in </w:t>
      </w:r>
      <w:proofErr w:type="spellStart"/>
      <w:r w:rsidRPr="008A07FC">
        <w:rPr>
          <w:rFonts w:ascii="Times New Roman" w:eastAsia="Times New Roman" w:hAnsi="Times New Roman" w:cs="Times New Roman"/>
          <w:color w:val="2A2A2A"/>
          <w:sz w:val="24"/>
          <w:szCs w:val="24"/>
          <w:lang w:eastAsia="en-GB"/>
        </w:rPr>
        <w:t>the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first</w:t>
      </w:r>
      <w:proofErr w:type="spellEnd"/>
      <w:r w:rsidRPr="008A07FC">
        <w:rPr>
          <w:rFonts w:ascii="Times New Roman" w:eastAsia="Times New Roman" w:hAnsi="Times New Roman" w:cs="Times New Roman"/>
          <w:color w:val="2A2A2A"/>
          <w:sz w:val="24"/>
          <w:szCs w:val="24"/>
          <w:lang w:eastAsia="en-GB"/>
        </w:rPr>
        <w:t xml:space="preserve"> 6 </w:t>
      </w:r>
      <w:proofErr w:type="spellStart"/>
      <w:r w:rsidRPr="008A07FC">
        <w:rPr>
          <w:rFonts w:ascii="Times New Roman" w:eastAsia="Times New Roman" w:hAnsi="Times New Roman" w:cs="Times New Roman"/>
          <w:color w:val="2A2A2A"/>
          <w:sz w:val="24"/>
          <w:szCs w:val="24"/>
          <w:lang w:eastAsia="en-GB"/>
        </w:rPr>
        <w:t>months</w:t>
      </w:r>
      <w:proofErr w:type="spellEnd"/>
      <w:r w:rsidRPr="008A07FC">
        <w:rPr>
          <w:rFonts w:ascii="Times New Roman" w:eastAsia="Times New Roman" w:hAnsi="Times New Roman" w:cs="Times New Roman"/>
          <w:color w:val="2A2A2A"/>
          <w:sz w:val="24"/>
          <w:szCs w:val="24"/>
          <w:lang w:eastAsia="en-GB"/>
        </w:rPr>
        <w:t xml:space="preserve"> and </w:t>
      </w:r>
      <w:proofErr w:type="spellStart"/>
      <w:r w:rsidRPr="008A07FC">
        <w:rPr>
          <w:rFonts w:ascii="Times New Roman" w:eastAsia="Times New Roman" w:hAnsi="Times New Roman" w:cs="Times New Roman"/>
          <w:color w:val="2A2A2A"/>
          <w:sz w:val="24"/>
          <w:szCs w:val="24"/>
          <w:lang w:eastAsia="en-GB"/>
        </w:rPr>
        <w:t>continued</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breastfeeding</w:t>
      </w:r>
      <w:proofErr w:type="spellEnd"/>
      <w:r w:rsidRPr="008A07FC">
        <w:rPr>
          <w:rFonts w:ascii="Times New Roman" w:eastAsia="Times New Roman" w:hAnsi="Times New Roman" w:cs="Times New Roman"/>
          <w:color w:val="2A2A2A"/>
          <w:sz w:val="24"/>
          <w:szCs w:val="24"/>
          <w:lang w:eastAsia="en-GB"/>
        </w:rPr>
        <w:t xml:space="preserve"> up </w:t>
      </w:r>
      <w:proofErr w:type="spellStart"/>
      <w:r w:rsidRPr="008A07FC">
        <w:rPr>
          <w:rFonts w:ascii="Times New Roman" w:eastAsia="Times New Roman" w:hAnsi="Times New Roman" w:cs="Times New Roman"/>
          <w:color w:val="2A2A2A"/>
          <w:sz w:val="24"/>
          <w:szCs w:val="24"/>
          <w:lang w:eastAsia="en-GB"/>
        </w:rPr>
        <w:t>to</w:t>
      </w:r>
      <w:proofErr w:type="spellEnd"/>
      <w:r w:rsidRPr="008A07FC">
        <w:rPr>
          <w:rFonts w:ascii="Times New Roman" w:eastAsia="Times New Roman" w:hAnsi="Times New Roman" w:cs="Times New Roman"/>
          <w:color w:val="2A2A2A"/>
          <w:sz w:val="24"/>
          <w:szCs w:val="24"/>
          <w:lang w:eastAsia="en-GB"/>
        </w:rPr>
        <w:t xml:space="preserve"> 2 </w:t>
      </w:r>
      <w:proofErr w:type="spellStart"/>
      <w:r w:rsidRPr="008A07FC">
        <w:rPr>
          <w:rFonts w:ascii="Times New Roman" w:eastAsia="Times New Roman" w:hAnsi="Times New Roman" w:cs="Times New Roman"/>
          <w:color w:val="2A2A2A"/>
          <w:sz w:val="24"/>
          <w:szCs w:val="24"/>
          <w:lang w:eastAsia="en-GB"/>
        </w:rPr>
        <w:t>years</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adequate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complementary</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feeding</w:t>
      </w:r>
      <w:proofErr w:type="spellEnd"/>
      <w:r w:rsidRPr="008A07FC">
        <w:rPr>
          <w:rFonts w:ascii="Times New Roman" w:eastAsia="Times New Roman" w:hAnsi="Times New Roman" w:cs="Times New Roman"/>
          <w:color w:val="2A2A2A"/>
          <w:sz w:val="24"/>
          <w:szCs w:val="24"/>
          <w:lang w:eastAsia="en-GB"/>
        </w:rPr>
        <w:t xml:space="preserve"> in </w:t>
      </w:r>
      <w:proofErr w:type="spellStart"/>
      <w:r w:rsidRPr="008A07FC">
        <w:rPr>
          <w:rFonts w:ascii="Times New Roman" w:eastAsia="Times New Roman" w:hAnsi="Times New Roman" w:cs="Times New Roman"/>
          <w:color w:val="2A2A2A"/>
          <w:sz w:val="24"/>
          <w:szCs w:val="24"/>
          <w:lang w:eastAsia="en-GB"/>
        </w:rPr>
        <w:t>infants</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from</w:t>
      </w:r>
      <w:proofErr w:type="spellEnd"/>
      <w:r w:rsidRPr="008A07FC">
        <w:rPr>
          <w:rFonts w:ascii="Times New Roman" w:eastAsia="Times New Roman" w:hAnsi="Times New Roman" w:cs="Times New Roman"/>
          <w:color w:val="2A2A2A"/>
          <w:sz w:val="24"/>
          <w:szCs w:val="24"/>
          <w:lang w:eastAsia="en-GB"/>
        </w:rPr>
        <w:t xml:space="preserve"> 6 </w:t>
      </w:r>
      <w:proofErr w:type="spellStart"/>
      <w:r w:rsidRPr="008A07FC">
        <w:rPr>
          <w:rFonts w:ascii="Times New Roman" w:eastAsia="Times New Roman" w:hAnsi="Times New Roman" w:cs="Times New Roman"/>
          <w:color w:val="2A2A2A"/>
          <w:sz w:val="24"/>
          <w:szCs w:val="24"/>
          <w:lang w:eastAsia="en-GB"/>
        </w:rPr>
        <w:t>months</w:t>
      </w:r>
      <w:proofErr w:type="spellEnd"/>
      <w:r w:rsidRPr="008A07FC">
        <w:rPr>
          <w:rFonts w:ascii="Times New Roman" w:eastAsia="Times New Roman" w:hAnsi="Times New Roman" w:cs="Times New Roman"/>
          <w:color w:val="2A2A2A"/>
          <w:sz w:val="24"/>
          <w:szCs w:val="24"/>
          <w:lang w:eastAsia="en-GB"/>
        </w:rPr>
        <w:t xml:space="preserve">; maternal </w:t>
      </w:r>
      <w:proofErr w:type="spellStart"/>
      <w:r w:rsidRPr="008A07FC">
        <w:rPr>
          <w:rFonts w:ascii="Times New Roman" w:eastAsia="Times New Roman" w:hAnsi="Times New Roman" w:cs="Times New Roman"/>
          <w:color w:val="2A2A2A"/>
          <w:sz w:val="24"/>
          <w:szCs w:val="24"/>
          <w:lang w:eastAsia="en-GB"/>
        </w:rPr>
        <w:t>nutrition</w:t>
      </w:r>
      <w:proofErr w:type="spellEnd"/>
      <w:r w:rsidRPr="008A07FC">
        <w:rPr>
          <w:rFonts w:ascii="Times New Roman" w:eastAsia="Times New Roman" w:hAnsi="Times New Roman" w:cs="Times New Roman"/>
          <w:color w:val="2A2A2A"/>
          <w:sz w:val="24"/>
          <w:szCs w:val="24"/>
          <w:lang w:eastAsia="en-GB"/>
        </w:rPr>
        <w:t xml:space="preserve"> and prenatal care </w:t>
      </w:r>
      <w:proofErr w:type="spellStart"/>
      <w:r w:rsidRPr="008A07FC">
        <w:rPr>
          <w:rFonts w:ascii="Times New Roman" w:eastAsia="Times New Roman" w:hAnsi="Times New Roman" w:cs="Times New Roman"/>
          <w:color w:val="2A2A2A"/>
          <w:sz w:val="24"/>
          <w:szCs w:val="24"/>
          <w:lang w:eastAsia="en-GB"/>
        </w:rPr>
        <w:t>programmes</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school</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feeding</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policies</w:t>
      </w:r>
      <w:proofErr w:type="spellEnd"/>
      <w:r w:rsidRPr="008A07FC">
        <w:rPr>
          <w:rFonts w:ascii="Times New Roman" w:eastAsia="Times New Roman" w:hAnsi="Times New Roman" w:cs="Times New Roman"/>
          <w:color w:val="2A2A2A"/>
          <w:sz w:val="24"/>
          <w:szCs w:val="24"/>
          <w:lang w:eastAsia="en-GB"/>
        </w:rPr>
        <w:t xml:space="preserve"> and </w:t>
      </w:r>
      <w:proofErr w:type="spellStart"/>
      <w:r w:rsidRPr="008A07FC">
        <w:rPr>
          <w:rFonts w:ascii="Times New Roman" w:eastAsia="Times New Roman" w:hAnsi="Times New Roman" w:cs="Times New Roman"/>
          <w:color w:val="2A2A2A"/>
          <w:sz w:val="24"/>
          <w:szCs w:val="24"/>
          <w:lang w:eastAsia="en-GB"/>
        </w:rPr>
        <w:t>programmes</w:t>
      </w:r>
      <w:proofErr w:type="spellEnd"/>
      <w:r w:rsidRPr="008A07FC">
        <w:rPr>
          <w:rFonts w:ascii="Times New Roman" w:eastAsia="Times New Roman" w:hAnsi="Times New Roman" w:cs="Times New Roman"/>
          <w:color w:val="2A2A2A"/>
          <w:sz w:val="24"/>
          <w:szCs w:val="24"/>
          <w:lang w:eastAsia="en-GB"/>
        </w:rPr>
        <w:t xml:space="preserve">; and marketing </w:t>
      </w:r>
      <w:proofErr w:type="spellStart"/>
      <w:r w:rsidRPr="008A07FC">
        <w:rPr>
          <w:rFonts w:ascii="Times New Roman" w:eastAsia="Times New Roman" w:hAnsi="Times New Roman" w:cs="Times New Roman"/>
          <w:color w:val="2A2A2A"/>
          <w:sz w:val="24"/>
          <w:szCs w:val="24"/>
          <w:lang w:eastAsia="en-GB"/>
        </w:rPr>
        <w:t>regulations</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These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actions</w:t>
      </w:r>
      <w:proofErr w:type="spellEnd"/>
      <w:r w:rsidRPr="008A07FC">
        <w:rPr>
          <w:rFonts w:ascii="Times New Roman" w:eastAsia="Times New Roman" w:hAnsi="Times New Roman" w:cs="Times New Roman"/>
          <w:color w:val="2A2A2A"/>
          <w:sz w:val="24"/>
          <w:szCs w:val="24"/>
          <w:lang w:eastAsia="en-GB"/>
        </w:rPr>
        <w:t xml:space="preserve"> are </w:t>
      </w:r>
      <w:proofErr w:type="spellStart"/>
      <w:r w:rsidRPr="008A07FC">
        <w:rPr>
          <w:rFonts w:ascii="Times New Roman" w:eastAsia="Times New Roman" w:hAnsi="Times New Roman" w:cs="Times New Roman"/>
          <w:color w:val="2A2A2A"/>
          <w:sz w:val="24"/>
          <w:szCs w:val="24"/>
          <w:lang w:eastAsia="en-GB"/>
        </w:rPr>
        <w:t>not</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necessarily</w:t>
      </w:r>
      <w:proofErr w:type="spellEnd"/>
      <w:r w:rsidRPr="008A07FC">
        <w:rPr>
          <w:rFonts w:ascii="Times New Roman" w:eastAsia="Times New Roman" w:hAnsi="Times New Roman" w:cs="Times New Roman"/>
          <w:color w:val="2A2A2A"/>
          <w:sz w:val="24"/>
          <w:szCs w:val="24"/>
          <w:lang w:eastAsia="en-GB"/>
        </w:rPr>
        <w:t xml:space="preserve"> new </w:t>
      </w:r>
      <w:proofErr w:type="spellStart"/>
      <w:r w:rsidRPr="008A07FC">
        <w:rPr>
          <w:rFonts w:ascii="Times New Roman" w:eastAsia="Times New Roman" w:hAnsi="Times New Roman" w:cs="Times New Roman"/>
          <w:color w:val="2A2A2A"/>
          <w:sz w:val="24"/>
          <w:szCs w:val="24"/>
          <w:lang w:eastAsia="en-GB"/>
        </w:rPr>
        <w:t>actions</w:t>
      </w:r>
      <w:proofErr w:type="spellEnd"/>
      <w:r w:rsidRPr="008A07FC">
        <w:rPr>
          <w:rFonts w:ascii="Times New Roman" w:eastAsia="Times New Roman" w:hAnsi="Times New Roman" w:cs="Times New Roman"/>
          <w:color w:val="2A2A2A"/>
          <w:sz w:val="24"/>
          <w:szCs w:val="24"/>
          <w:lang w:eastAsia="en-GB"/>
        </w:rPr>
        <w:t xml:space="preserve">, as </w:t>
      </w:r>
      <w:proofErr w:type="spellStart"/>
      <w:r w:rsidRPr="008A07FC">
        <w:rPr>
          <w:rFonts w:ascii="Times New Roman" w:eastAsia="Times New Roman" w:hAnsi="Times New Roman" w:cs="Times New Roman"/>
          <w:color w:val="2A2A2A"/>
          <w:sz w:val="24"/>
          <w:szCs w:val="24"/>
          <w:lang w:eastAsia="en-GB"/>
        </w:rPr>
        <w:t>they</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may</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include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those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that</w:t>
      </w:r>
      <w:proofErr w:type="spellEnd"/>
      <w:r w:rsidRPr="008A07FC">
        <w:rPr>
          <w:rFonts w:ascii="Times New Roman" w:eastAsia="Times New Roman" w:hAnsi="Times New Roman" w:cs="Times New Roman"/>
          <w:color w:val="2A2A2A"/>
          <w:sz w:val="24"/>
          <w:szCs w:val="24"/>
          <w:lang w:eastAsia="en-GB"/>
        </w:rPr>
        <w:t xml:space="preserve"> are </w:t>
      </w:r>
      <w:proofErr w:type="spellStart"/>
      <w:r w:rsidRPr="008A07FC">
        <w:rPr>
          <w:rFonts w:ascii="Times New Roman" w:eastAsia="Times New Roman" w:hAnsi="Times New Roman" w:cs="Times New Roman"/>
          <w:color w:val="2A2A2A"/>
          <w:sz w:val="24"/>
          <w:szCs w:val="24"/>
          <w:lang w:eastAsia="en-GB"/>
        </w:rPr>
        <w:t>already</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used</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to</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address</w:t>
      </w:r>
      <w:proofErr w:type="spellEnd"/>
      <w:r w:rsidRPr="008A07FC">
        <w:rPr>
          <w:rFonts w:ascii="Times New Roman" w:eastAsia="Times New Roman" w:hAnsi="Times New Roman" w:cs="Times New Roman"/>
          <w:color w:val="2A2A2A"/>
          <w:sz w:val="24"/>
          <w:szCs w:val="24"/>
          <w:lang w:eastAsia="en-GB"/>
        </w:rPr>
        <w:t xml:space="preserve"> individual </w:t>
      </w:r>
      <w:proofErr w:type="spellStart"/>
      <w:r w:rsidRPr="008A07FC">
        <w:rPr>
          <w:rFonts w:ascii="Times New Roman" w:eastAsia="Times New Roman" w:hAnsi="Times New Roman" w:cs="Times New Roman"/>
          <w:color w:val="2A2A2A"/>
          <w:sz w:val="24"/>
          <w:szCs w:val="24"/>
          <w:lang w:eastAsia="en-GB"/>
        </w:rPr>
        <w:t>forms</w:t>
      </w:r>
      <w:proofErr w:type="spellEnd"/>
      <w:r w:rsidRPr="008A07FC">
        <w:rPr>
          <w:rFonts w:ascii="Times New Roman" w:eastAsia="Times New Roman" w:hAnsi="Times New Roman" w:cs="Times New Roman"/>
          <w:color w:val="2A2A2A"/>
          <w:sz w:val="24"/>
          <w:szCs w:val="24"/>
          <w:lang w:eastAsia="en-GB"/>
        </w:rPr>
        <w:t xml:space="preserve"> of </w:t>
      </w:r>
      <w:proofErr w:type="spellStart"/>
      <w:r w:rsidRPr="008A07FC">
        <w:rPr>
          <w:rFonts w:ascii="Times New Roman" w:eastAsia="Times New Roman" w:hAnsi="Times New Roman" w:cs="Times New Roman"/>
          <w:color w:val="2A2A2A"/>
          <w:sz w:val="24"/>
          <w:szCs w:val="24"/>
          <w:lang w:eastAsia="en-GB"/>
        </w:rPr>
        <w:t>malnutrition</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but</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that</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have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the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potential</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to</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become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DDAs</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that</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provide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integrated</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strategies</w:t>
      </w:r>
      <w:proofErr w:type="spellEnd"/>
      <w:r w:rsidRPr="008A07FC">
        <w:rPr>
          <w:rFonts w:ascii="Times New Roman" w:eastAsia="Times New Roman" w:hAnsi="Times New Roman" w:cs="Times New Roman"/>
          <w:color w:val="2A2A2A"/>
          <w:sz w:val="24"/>
          <w:szCs w:val="24"/>
          <w:lang w:eastAsia="en-GB"/>
        </w:rPr>
        <w:t xml:space="preserve"> for </w:t>
      </w:r>
      <w:proofErr w:type="spellStart"/>
      <w:r w:rsidRPr="008A07FC">
        <w:rPr>
          <w:rFonts w:ascii="Times New Roman" w:eastAsia="Times New Roman" w:hAnsi="Times New Roman" w:cs="Times New Roman"/>
          <w:color w:val="2A2A2A"/>
          <w:sz w:val="24"/>
          <w:szCs w:val="24"/>
          <w:lang w:eastAsia="en-GB"/>
        </w:rPr>
        <w:t>multiple</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forms</w:t>
      </w:r>
      <w:proofErr w:type="spellEnd"/>
      <w:r w:rsidRPr="008A07FC">
        <w:rPr>
          <w:rFonts w:ascii="Times New Roman" w:eastAsia="Times New Roman" w:hAnsi="Times New Roman" w:cs="Times New Roman"/>
          <w:color w:val="2A2A2A"/>
          <w:sz w:val="24"/>
          <w:szCs w:val="24"/>
          <w:lang w:eastAsia="en-GB"/>
        </w:rPr>
        <w:t xml:space="preserve"> of </w:t>
      </w:r>
      <w:proofErr w:type="spellStart"/>
      <w:r w:rsidRPr="008A07FC">
        <w:rPr>
          <w:rFonts w:ascii="Times New Roman" w:eastAsia="Times New Roman" w:hAnsi="Times New Roman" w:cs="Times New Roman"/>
          <w:color w:val="2A2A2A"/>
          <w:sz w:val="24"/>
          <w:szCs w:val="24"/>
          <w:lang w:eastAsia="en-GB"/>
        </w:rPr>
        <w:t>malnutrition</w:t>
      </w:r>
      <w:proofErr w:type="spellEnd"/>
      <w:r w:rsidRPr="008A07FC">
        <w:rPr>
          <w:rFonts w:ascii="Times New Roman" w:eastAsia="Times New Roman" w:hAnsi="Times New Roman" w:cs="Times New Roman"/>
          <w:color w:val="2A2A2A"/>
          <w:sz w:val="24"/>
          <w:szCs w:val="24"/>
          <w:lang w:eastAsia="en-GB"/>
        </w:rPr>
        <w:t xml:space="preserve"> (</w:t>
      </w:r>
      <w:proofErr w:type="spellStart"/>
      <w:r w:rsidRPr="008A07FC">
        <w:rPr>
          <w:rFonts w:ascii="Times New Roman" w:eastAsia="Times New Roman" w:hAnsi="Times New Roman" w:cs="Times New Roman"/>
          <w:color w:val="2A2A2A"/>
          <w:sz w:val="24"/>
          <w:szCs w:val="24"/>
          <w:lang w:eastAsia="en-GB"/>
        </w:rPr>
        <w:t>World</w:t>
      </w:r>
      <w:proofErr w:type="spellEnd"/>
      <w:r w:rsidRPr="008A07FC">
        <w:rPr>
          <w:rFonts w:ascii="Times New Roman" w:eastAsia="Times New Roman" w:hAnsi="Times New Roman" w:cs="Times New Roman"/>
          <w:color w:val="2A2A2A"/>
          <w:sz w:val="24"/>
          <w:szCs w:val="24"/>
          <w:lang w:eastAsia="en-GB"/>
        </w:rPr>
        <w:t xml:space="preserve"> Health </w:t>
      </w:r>
      <w:proofErr w:type="spellStart"/>
      <w:r w:rsidRPr="008A07FC">
        <w:rPr>
          <w:rFonts w:ascii="Times New Roman" w:eastAsia="Times New Roman" w:hAnsi="Times New Roman" w:cs="Times New Roman"/>
          <w:color w:val="2A2A2A"/>
          <w:sz w:val="24"/>
          <w:szCs w:val="24"/>
          <w:lang w:eastAsia="en-GB"/>
        </w:rPr>
        <w:t>Organization</w:t>
      </w:r>
      <w:proofErr w:type="spellEnd"/>
      <w:r w:rsidRPr="008A07FC">
        <w:rPr>
          <w:rFonts w:ascii="Times New Roman" w:eastAsia="Times New Roman" w:hAnsi="Times New Roman" w:cs="Times New Roman"/>
          <w:color w:val="2A2A2A"/>
          <w:sz w:val="24"/>
          <w:szCs w:val="24"/>
          <w:lang w:eastAsia="en-GB"/>
        </w:rPr>
        <w:t>, 2017; Pradeilles et al. 2019; Hawkes et al. 2020).</w:t>
      </w:r>
      <w:r w:rsidRPr="000D3917">
        <w:rPr>
          <w:rFonts w:ascii="Times New Roman" w:eastAsia="Times New Roman" w:hAnsi="Times New Roman" w:cs="Times New Roman"/>
          <w:color w:val="2A2A2A"/>
          <w:sz w:val="24"/>
          <w:szCs w:val="24"/>
          <w:lang w:eastAsia="en-GB"/>
        </w:rPr>
        <w:t xml:space="preserve"> </w:t>
      </w:r>
    </w:p>
    <w:bookmarkEnd w:id="5"/>
    <w:p w14:paraId="1BBF0FF1" w14:textId="6AA4F771" w:rsidR="00CF65BD" w:rsidRPr="000D3917" w:rsidRDefault="00CF65BD" w:rsidP="00CF65BD">
      <w:pPr>
        <w:shd w:val="clear" w:color="auto" w:fill="FFFFFF"/>
        <w:spacing w:beforeAutospacing="1" w:after="0" w:afterAutospacing="1" w:line="360" w:lineRule="auto"/>
        <w:textAlignment w:val="baseline"/>
        <w:rPr>
          <w:rFonts w:ascii="Times New Roman" w:eastAsia="Times New Roman" w:hAnsi="Times New Roman" w:cs="Times New Roman"/>
          <w:color w:val="2A2A2A"/>
          <w:sz w:val="24"/>
          <w:szCs w:val="24"/>
          <w:lang w:eastAsia="en-GB"/>
        </w:rPr>
      </w:pPr>
      <w:proofErr w:type="spellStart"/>
      <w:r w:rsidRPr="000D3917">
        <w:rPr>
          <w:rFonts w:ascii="Times New Roman" w:eastAsia="Times New Roman" w:hAnsi="Times New Roman" w:cs="Times New Roman"/>
          <w:color w:val="2A2A2A"/>
          <w:sz w:val="24"/>
          <w:szCs w:val="24"/>
          <w:lang w:eastAsia="en-GB"/>
        </w:rPr>
        <w:t>Globally</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the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most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prevalent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forms</w:t>
      </w:r>
      <w:proofErr w:type="spellEnd"/>
      <w:r w:rsidRPr="000D3917">
        <w:rPr>
          <w:rFonts w:ascii="Times New Roman" w:eastAsia="Times New Roman" w:hAnsi="Times New Roman" w:cs="Times New Roman"/>
          <w:color w:val="2A2A2A"/>
          <w:sz w:val="24"/>
          <w:szCs w:val="24"/>
          <w:lang w:eastAsia="en-GB"/>
        </w:rPr>
        <w:t xml:space="preserve"> of </w:t>
      </w:r>
      <w:proofErr w:type="spellStart"/>
      <w:r w:rsidRPr="000D3917">
        <w:rPr>
          <w:rFonts w:ascii="Times New Roman" w:eastAsia="Times New Roman" w:hAnsi="Times New Roman" w:cs="Times New Roman"/>
          <w:color w:val="2A2A2A"/>
          <w:sz w:val="24"/>
          <w:szCs w:val="24"/>
          <w:lang w:eastAsia="en-GB"/>
        </w:rPr>
        <w:t>malnutrition</w:t>
      </w:r>
      <w:proofErr w:type="spellEnd"/>
      <w:r w:rsidRPr="000D3917">
        <w:rPr>
          <w:rFonts w:ascii="Times New Roman" w:eastAsia="Times New Roman" w:hAnsi="Times New Roman" w:cs="Times New Roman"/>
          <w:color w:val="2A2A2A"/>
          <w:sz w:val="24"/>
          <w:szCs w:val="24"/>
          <w:lang w:eastAsia="en-GB"/>
        </w:rPr>
        <w:t xml:space="preserve"> in </w:t>
      </w:r>
      <w:proofErr w:type="spellStart"/>
      <w:r w:rsidRPr="000D3917">
        <w:rPr>
          <w:rFonts w:ascii="Times New Roman" w:eastAsia="Times New Roman" w:hAnsi="Times New Roman" w:cs="Times New Roman"/>
          <w:color w:val="2A2A2A"/>
          <w:sz w:val="24"/>
          <w:szCs w:val="24"/>
          <w:lang w:eastAsia="en-GB"/>
        </w:rPr>
        <w:t>children</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under</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five</w:t>
      </w:r>
      <w:proofErr w:type="spellEnd"/>
      <w:r w:rsidRPr="000D3917">
        <w:rPr>
          <w:rFonts w:ascii="Times New Roman" w:eastAsia="Times New Roman" w:hAnsi="Times New Roman" w:cs="Times New Roman"/>
          <w:color w:val="2A2A2A"/>
          <w:sz w:val="24"/>
          <w:szCs w:val="24"/>
          <w:lang w:eastAsia="en-GB"/>
        </w:rPr>
        <w:t xml:space="preserve"> are </w:t>
      </w:r>
      <w:proofErr w:type="spellStart"/>
      <w:r w:rsidRPr="000D3917">
        <w:rPr>
          <w:rFonts w:ascii="Times New Roman" w:eastAsia="Times New Roman" w:hAnsi="Times New Roman" w:cs="Times New Roman"/>
          <w:color w:val="2A2A2A"/>
          <w:sz w:val="24"/>
          <w:szCs w:val="24"/>
          <w:lang w:eastAsia="en-GB"/>
        </w:rPr>
        <w:t>stunting</w:t>
      </w:r>
      <w:proofErr w:type="spellEnd"/>
      <w:r w:rsidRPr="000D3917">
        <w:rPr>
          <w:rFonts w:ascii="Times New Roman" w:eastAsia="Times New Roman" w:hAnsi="Times New Roman" w:cs="Times New Roman"/>
          <w:color w:val="2A2A2A"/>
          <w:sz w:val="24"/>
          <w:szCs w:val="24"/>
          <w:lang w:eastAsia="en-GB"/>
        </w:rPr>
        <w:t xml:space="preserve"> and </w:t>
      </w:r>
      <w:proofErr w:type="spellStart"/>
      <w:r w:rsidRPr="000D3917">
        <w:rPr>
          <w:rFonts w:ascii="Times New Roman" w:eastAsia="Times New Roman" w:hAnsi="Times New Roman" w:cs="Times New Roman"/>
          <w:color w:val="2A2A2A"/>
          <w:sz w:val="24"/>
          <w:szCs w:val="24"/>
          <w:lang w:eastAsia="en-GB"/>
        </w:rPr>
        <w:t>anaemia</w:t>
      </w:r>
      <w:proofErr w:type="spellEnd"/>
      <w:r w:rsidRPr="000D3917">
        <w:rPr>
          <w:rFonts w:ascii="Times New Roman" w:eastAsia="Times New Roman" w:hAnsi="Times New Roman" w:cs="Times New Roman"/>
          <w:color w:val="2A2A2A"/>
          <w:sz w:val="24"/>
          <w:szCs w:val="24"/>
          <w:lang w:eastAsia="en-GB"/>
        </w:rPr>
        <w:t xml:space="preserve"> (Global Nutrition </w:t>
      </w:r>
      <w:proofErr w:type="spellStart"/>
      <w:r w:rsidRPr="000D3917">
        <w:rPr>
          <w:rFonts w:ascii="Times New Roman" w:eastAsia="Times New Roman" w:hAnsi="Times New Roman" w:cs="Times New Roman"/>
          <w:color w:val="2A2A2A"/>
          <w:sz w:val="24"/>
          <w:szCs w:val="24"/>
          <w:lang w:eastAsia="en-GB"/>
        </w:rPr>
        <w:t>Report</w:t>
      </w:r>
      <w:proofErr w:type="spellEnd"/>
      <w:r w:rsidRPr="000D3917">
        <w:rPr>
          <w:rFonts w:ascii="Times New Roman" w:eastAsia="Times New Roman" w:hAnsi="Times New Roman" w:cs="Times New Roman"/>
          <w:color w:val="2A2A2A"/>
          <w:sz w:val="24"/>
          <w:szCs w:val="24"/>
          <w:lang w:eastAsia="en-GB"/>
        </w:rPr>
        <w:t xml:space="preserve">, 2021). </w:t>
      </w:r>
      <w:proofErr w:type="spellStart"/>
      <w:r w:rsidRPr="000D3917">
        <w:rPr>
          <w:rFonts w:ascii="Times New Roman" w:eastAsia="Times New Roman" w:hAnsi="Times New Roman" w:cs="Times New Roman"/>
          <w:color w:val="2A2A2A"/>
          <w:sz w:val="24"/>
          <w:szCs w:val="24"/>
          <w:lang w:eastAsia="en-GB"/>
        </w:rPr>
        <w:t>It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is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estimated</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that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nearly</w:t>
      </w:r>
      <w:proofErr w:type="spellEnd"/>
      <w:r w:rsidRPr="000D3917">
        <w:rPr>
          <w:rFonts w:ascii="Times New Roman" w:eastAsia="Times New Roman" w:hAnsi="Times New Roman" w:cs="Times New Roman"/>
          <w:color w:val="2A2A2A"/>
          <w:sz w:val="24"/>
          <w:szCs w:val="24"/>
          <w:lang w:eastAsia="en-GB"/>
        </w:rPr>
        <w:t xml:space="preserve"> a </w:t>
      </w:r>
      <w:proofErr w:type="spellStart"/>
      <w:r w:rsidRPr="000D3917">
        <w:rPr>
          <w:rFonts w:ascii="Times New Roman" w:eastAsia="Times New Roman" w:hAnsi="Times New Roman" w:cs="Times New Roman"/>
          <w:color w:val="2A2A2A"/>
          <w:sz w:val="24"/>
          <w:szCs w:val="24"/>
          <w:lang w:eastAsia="en-GB"/>
        </w:rPr>
        <w:t>quarter</w:t>
      </w:r>
      <w:proofErr w:type="spellEnd"/>
      <w:r w:rsidRPr="000D3917">
        <w:rPr>
          <w:rFonts w:ascii="Times New Roman" w:eastAsia="Times New Roman" w:hAnsi="Times New Roman" w:cs="Times New Roman"/>
          <w:color w:val="2A2A2A"/>
          <w:sz w:val="24"/>
          <w:szCs w:val="24"/>
          <w:lang w:eastAsia="en-GB"/>
        </w:rPr>
        <w:t xml:space="preserve"> of </w:t>
      </w:r>
      <w:proofErr w:type="spellStart"/>
      <w:r w:rsidRPr="000D3917">
        <w:rPr>
          <w:rFonts w:ascii="Times New Roman" w:eastAsia="Times New Roman" w:hAnsi="Times New Roman" w:cs="Times New Roman"/>
          <w:color w:val="2A2A2A"/>
          <w:sz w:val="24"/>
          <w:szCs w:val="24"/>
          <w:lang w:eastAsia="en-GB"/>
        </w:rPr>
        <w:t>all</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children</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under</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five</w:t>
      </w:r>
      <w:proofErr w:type="spellEnd"/>
      <w:r w:rsidRPr="000D3917">
        <w:rPr>
          <w:rFonts w:ascii="Times New Roman" w:eastAsia="Times New Roman" w:hAnsi="Times New Roman" w:cs="Times New Roman"/>
          <w:color w:val="2A2A2A"/>
          <w:sz w:val="24"/>
          <w:szCs w:val="24"/>
          <w:lang w:eastAsia="en-GB"/>
        </w:rPr>
        <w:t xml:space="preserve"> are </w:t>
      </w:r>
      <w:proofErr w:type="spellStart"/>
      <w:r w:rsidRPr="000D3917">
        <w:rPr>
          <w:rFonts w:ascii="Times New Roman" w:eastAsia="Times New Roman" w:hAnsi="Times New Roman" w:cs="Times New Roman"/>
          <w:color w:val="2A2A2A"/>
          <w:sz w:val="24"/>
          <w:szCs w:val="24"/>
          <w:lang w:eastAsia="en-GB"/>
        </w:rPr>
        <w:t>stunted</w:t>
      </w:r>
      <w:proofErr w:type="spellEnd"/>
      <w:r w:rsidRPr="000D3917">
        <w:rPr>
          <w:rFonts w:ascii="Times New Roman" w:eastAsia="Times New Roman" w:hAnsi="Times New Roman" w:cs="Times New Roman"/>
          <w:color w:val="2A2A2A"/>
          <w:sz w:val="24"/>
          <w:szCs w:val="24"/>
          <w:lang w:eastAsia="en-GB"/>
        </w:rPr>
        <w:t xml:space="preserve">, and </w:t>
      </w:r>
      <w:proofErr w:type="spellStart"/>
      <w:r w:rsidRPr="000D3917">
        <w:rPr>
          <w:rFonts w:ascii="Times New Roman" w:eastAsia="Times New Roman" w:hAnsi="Times New Roman" w:cs="Times New Roman"/>
          <w:color w:val="2A2A2A"/>
          <w:sz w:val="24"/>
          <w:szCs w:val="24"/>
          <w:lang w:eastAsia="en-GB"/>
        </w:rPr>
        <w:t>overweight</w:t>
      </w:r>
      <w:proofErr w:type="spellEnd"/>
      <w:r w:rsidRPr="000D3917">
        <w:rPr>
          <w:rFonts w:ascii="Times New Roman" w:eastAsia="Times New Roman" w:hAnsi="Times New Roman" w:cs="Times New Roman"/>
          <w:color w:val="2A2A2A"/>
          <w:sz w:val="24"/>
          <w:szCs w:val="24"/>
          <w:lang w:eastAsia="en-GB"/>
        </w:rPr>
        <w:t xml:space="preserve"> and </w:t>
      </w:r>
      <w:proofErr w:type="spellStart"/>
      <w:r w:rsidRPr="000D3917">
        <w:rPr>
          <w:rFonts w:ascii="Times New Roman" w:eastAsia="Times New Roman" w:hAnsi="Times New Roman" w:cs="Times New Roman"/>
          <w:color w:val="2A2A2A"/>
          <w:sz w:val="24"/>
          <w:szCs w:val="24"/>
          <w:lang w:eastAsia="en-GB"/>
        </w:rPr>
        <w:t>obesity</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is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increasing</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rapidly</w:t>
      </w:r>
      <w:proofErr w:type="spellEnd"/>
      <w:r w:rsidRPr="000D3917">
        <w:rPr>
          <w:rFonts w:ascii="Times New Roman" w:eastAsia="Times New Roman" w:hAnsi="Times New Roman" w:cs="Times New Roman"/>
          <w:color w:val="2A2A2A"/>
          <w:sz w:val="24"/>
          <w:szCs w:val="24"/>
          <w:lang w:eastAsia="en-GB"/>
        </w:rPr>
        <w:t xml:space="preserve"> in </w:t>
      </w:r>
      <w:proofErr w:type="spellStart"/>
      <w:r w:rsidRPr="000D3917">
        <w:rPr>
          <w:rFonts w:ascii="Times New Roman" w:eastAsia="Times New Roman" w:hAnsi="Times New Roman" w:cs="Times New Roman"/>
          <w:color w:val="2A2A2A"/>
          <w:sz w:val="24"/>
          <w:szCs w:val="24"/>
          <w:lang w:eastAsia="en-GB"/>
        </w:rPr>
        <w:t>almost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all</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countries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with</w:t>
      </w:r>
      <w:proofErr w:type="spellEnd"/>
      <w:r w:rsidRPr="000D3917">
        <w:rPr>
          <w:rFonts w:ascii="Times New Roman" w:eastAsia="Times New Roman" w:hAnsi="Times New Roman" w:cs="Times New Roman"/>
          <w:color w:val="2A2A2A"/>
          <w:sz w:val="24"/>
          <w:szCs w:val="24"/>
          <w:lang w:eastAsia="en-GB"/>
        </w:rPr>
        <w:t xml:space="preserve"> no </w:t>
      </w:r>
      <w:proofErr w:type="spellStart"/>
      <w:r w:rsidRPr="000D3917">
        <w:rPr>
          <w:rFonts w:ascii="Times New Roman" w:eastAsia="Times New Roman" w:hAnsi="Times New Roman" w:cs="Times New Roman"/>
          <w:color w:val="2A2A2A"/>
          <w:sz w:val="24"/>
          <w:szCs w:val="24"/>
          <w:lang w:eastAsia="en-GB"/>
        </w:rPr>
        <w:t>sign</w:t>
      </w:r>
      <w:proofErr w:type="spellEnd"/>
      <w:r w:rsidRPr="000D3917">
        <w:rPr>
          <w:rFonts w:ascii="Times New Roman" w:eastAsia="Times New Roman" w:hAnsi="Times New Roman" w:cs="Times New Roman"/>
          <w:color w:val="2A2A2A"/>
          <w:sz w:val="24"/>
          <w:szCs w:val="24"/>
          <w:lang w:eastAsia="en-GB"/>
        </w:rPr>
        <w:t xml:space="preserve"> of </w:t>
      </w:r>
      <w:proofErr w:type="spellStart"/>
      <w:r w:rsidRPr="000D3917">
        <w:rPr>
          <w:rFonts w:ascii="Times New Roman" w:eastAsia="Times New Roman" w:hAnsi="Times New Roman" w:cs="Times New Roman"/>
          <w:color w:val="2A2A2A"/>
          <w:sz w:val="24"/>
          <w:szCs w:val="24"/>
          <w:lang w:eastAsia="en-GB"/>
        </w:rPr>
        <w:t>slowing</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down</w:t>
      </w:r>
      <w:proofErr w:type="spellEnd"/>
      <w:r w:rsidRPr="000D3917">
        <w:rPr>
          <w:rFonts w:ascii="Times New Roman" w:eastAsia="Times New Roman" w:hAnsi="Times New Roman" w:cs="Times New Roman"/>
          <w:color w:val="2A2A2A"/>
          <w:sz w:val="24"/>
          <w:szCs w:val="24"/>
          <w:lang w:eastAsia="en-GB"/>
        </w:rPr>
        <w:t xml:space="preserve"> (Global Nutrition </w:t>
      </w:r>
      <w:proofErr w:type="spellStart"/>
      <w:r w:rsidRPr="000D3917">
        <w:rPr>
          <w:rFonts w:ascii="Times New Roman" w:eastAsia="Times New Roman" w:hAnsi="Times New Roman" w:cs="Times New Roman"/>
          <w:color w:val="2A2A2A"/>
          <w:sz w:val="24"/>
          <w:szCs w:val="24"/>
          <w:lang w:eastAsia="en-GB"/>
        </w:rPr>
        <w:t>Report</w:t>
      </w:r>
      <w:proofErr w:type="spellEnd"/>
      <w:r w:rsidRPr="000D3917">
        <w:rPr>
          <w:rFonts w:ascii="Times New Roman" w:eastAsia="Times New Roman" w:hAnsi="Times New Roman" w:cs="Times New Roman"/>
          <w:color w:val="2A2A2A"/>
          <w:sz w:val="24"/>
          <w:szCs w:val="24"/>
          <w:lang w:eastAsia="en-GB"/>
        </w:rPr>
        <w:t xml:space="preserve">, 2021). In </w:t>
      </w:r>
      <w:proofErr w:type="spellStart"/>
      <w:r w:rsidRPr="000D3917">
        <w:rPr>
          <w:rFonts w:ascii="Times New Roman" w:eastAsia="Times New Roman" w:hAnsi="Times New Roman" w:cs="Times New Roman"/>
          <w:color w:val="2A2A2A"/>
          <w:sz w:val="24"/>
          <w:szCs w:val="24"/>
          <w:lang w:eastAsia="en-GB"/>
        </w:rPr>
        <w:t>Peru</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the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nutrition</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landscape</w:t>
      </w:r>
      <w:proofErr w:type="spellEnd"/>
      <w:r w:rsidRPr="000D3917">
        <w:rPr>
          <w:rFonts w:ascii="Times New Roman" w:eastAsia="Times New Roman" w:hAnsi="Times New Roman" w:cs="Times New Roman"/>
          <w:color w:val="2A2A2A"/>
          <w:sz w:val="24"/>
          <w:szCs w:val="24"/>
          <w:lang w:eastAsia="en-GB"/>
        </w:rPr>
        <w:t xml:space="preserve"> has </w:t>
      </w:r>
      <w:proofErr w:type="spellStart"/>
      <w:r w:rsidRPr="000D3917">
        <w:rPr>
          <w:rFonts w:ascii="Times New Roman" w:eastAsia="Times New Roman" w:hAnsi="Times New Roman" w:cs="Times New Roman"/>
          <w:color w:val="2A2A2A"/>
          <w:sz w:val="24"/>
          <w:szCs w:val="24"/>
          <w:lang w:eastAsia="en-GB"/>
        </w:rPr>
        <w:t>evolved</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over</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recent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years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There</w:t>
      </w:r>
      <w:proofErr w:type="spellEnd"/>
      <w:r w:rsidRPr="000D3917">
        <w:rPr>
          <w:rFonts w:ascii="Times New Roman" w:eastAsia="Times New Roman" w:hAnsi="Times New Roman" w:cs="Times New Roman"/>
          <w:color w:val="2A2A2A"/>
          <w:sz w:val="24"/>
          <w:szCs w:val="24"/>
          <w:lang w:eastAsia="en-GB"/>
        </w:rPr>
        <w:t xml:space="preserve"> has </w:t>
      </w:r>
      <w:proofErr w:type="spellStart"/>
      <w:r w:rsidRPr="000D3917">
        <w:rPr>
          <w:rFonts w:ascii="Times New Roman" w:eastAsia="Times New Roman" w:hAnsi="Times New Roman" w:cs="Times New Roman"/>
          <w:color w:val="2A2A2A"/>
          <w:sz w:val="24"/>
          <w:szCs w:val="24"/>
          <w:lang w:eastAsia="en-GB"/>
        </w:rPr>
        <w:t>been</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some</w:t>
      </w:r>
      <w:proofErr w:type="spellEnd"/>
      <w:r w:rsidRPr="000D3917">
        <w:rPr>
          <w:rFonts w:ascii="Times New Roman" w:eastAsia="Times New Roman" w:hAnsi="Times New Roman" w:cs="Times New Roman"/>
          <w:color w:val="2A2A2A"/>
          <w:sz w:val="24"/>
          <w:szCs w:val="24"/>
          <w:lang w:eastAsia="en-GB"/>
        </w:rPr>
        <w:t xml:space="preserve"> positive </w:t>
      </w:r>
      <w:proofErr w:type="spellStart"/>
      <w:r w:rsidRPr="000D3917">
        <w:rPr>
          <w:rFonts w:ascii="Times New Roman" w:eastAsia="Times New Roman" w:hAnsi="Times New Roman" w:cs="Times New Roman"/>
          <w:color w:val="2A2A2A"/>
          <w:sz w:val="24"/>
          <w:szCs w:val="24"/>
          <w:lang w:eastAsia="en-GB"/>
        </w:rPr>
        <w:t>change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Firstly</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the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prevalence</w:t>
      </w:r>
      <w:proofErr w:type="spellEnd"/>
      <w:r w:rsidRPr="000D3917">
        <w:rPr>
          <w:rFonts w:ascii="Times New Roman" w:eastAsia="Times New Roman" w:hAnsi="Times New Roman" w:cs="Times New Roman"/>
          <w:color w:val="2A2A2A"/>
          <w:sz w:val="24"/>
          <w:szCs w:val="24"/>
          <w:lang w:eastAsia="en-GB"/>
        </w:rPr>
        <w:t xml:space="preserve"> of </w:t>
      </w:r>
      <w:proofErr w:type="spellStart"/>
      <w:r w:rsidRPr="000D3917">
        <w:rPr>
          <w:rFonts w:ascii="Times New Roman" w:eastAsia="Times New Roman" w:hAnsi="Times New Roman" w:cs="Times New Roman"/>
          <w:color w:val="2A2A2A"/>
          <w:sz w:val="24"/>
          <w:szCs w:val="24"/>
          <w:lang w:eastAsia="en-GB"/>
        </w:rPr>
        <w:t>stunting</w:t>
      </w:r>
      <w:proofErr w:type="spellEnd"/>
      <w:r w:rsidRPr="000D3917">
        <w:rPr>
          <w:rFonts w:ascii="Times New Roman" w:eastAsia="Times New Roman" w:hAnsi="Times New Roman" w:cs="Times New Roman"/>
          <w:color w:val="2A2A2A"/>
          <w:sz w:val="24"/>
          <w:szCs w:val="24"/>
          <w:lang w:eastAsia="en-GB"/>
        </w:rPr>
        <w:t xml:space="preserve"> in </w:t>
      </w:r>
      <w:proofErr w:type="spellStart"/>
      <w:r w:rsidRPr="000D3917">
        <w:rPr>
          <w:rFonts w:ascii="Times New Roman" w:eastAsia="Times New Roman" w:hAnsi="Times New Roman" w:cs="Times New Roman"/>
          <w:color w:val="2A2A2A"/>
          <w:sz w:val="24"/>
          <w:szCs w:val="24"/>
          <w:lang w:eastAsia="en-GB"/>
        </w:rPr>
        <w:t>children</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under</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five</w:t>
      </w:r>
      <w:proofErr w:type="spellEnd"/>
      <w:r w:rsidRPr="000D3917">
        <w:rPr>
          <w:rFonts w:ascii="Times New Roman" w:eastAsia="Times New Roman" w:hAnsi="Times New Roman" w:cs="Times New Roman"/>
          <w:color w:val="2A2A2A"/>
          <w:sz w:val="24"/>
          <w:szCs w:val="24"/>
          <w:lang w:eastAsia="en-GB"/>
        </w:rPr>
        <w:t xml:space="preserve"> has </w:t>
      </w:r>
      <w:proofErr w:type="spellStart"/>
      <w:r w:rsidRPr="000D3917">
        <w:rPr>
          <w:rFonts w:ascii="Times New Roman" w:eastAsia="Times New Roman" w:hAnsi="Times New Roman" w:cs="Times New Roman"/>
          <w:color w:val="2A2A2A"/>
          <w:sz w:val="24"/>
          <w:szCs w:val="24"/>
          <w:lang w:eastAsia="en-GB"/>
        </w:rPr>
        <w:t>decreased</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over</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the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last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decade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from</w:t>
      </w:r>
      <w:proofErr w:type="spellEnd"/>
      <w:r w:rsidRPr="000D3917">
        <w:rPr>
          <w:rFonts w:ascii="Times New Roman" w:eastAsia="Times New Roman" w:hAnsi="Times New Roman" w:cs="Times New Roman"/>
          <w:color w:val="2A2A2A"/>
          <w:sz w:val="24"/>
          <w:szCs w:val="24"/>
          <w:lang w:eastAsia="en-GB"/>
        </w:rPr>
        <w:t xml:space="preserve"> </w:t>
      </w:r>
      <w:r>
        <w:rPr>
          <w:rFonts w:ascii="Times New Roman" w:eastAsia="Times New Roman" w:hAnsi="Times New Roman" w:cs="Times New Roman"/>
          <w:color w:val="2A2A2A"/>
          <w:sz w:val="24"/>
          <w:szCs w:val="24"/>
          <w:lang w:eastAsia="en-GB"/>
        </w:rPr>
        <w:t>23</w:t>
      </w:r>
      <w:r w:rsidRPr="000D3917">
        <w:rPr>
          <w:rFonts w:ascii="Times New Roman" w:eastAsia="Times New Roman" w:hAnsi="Times New Roman" w:cs="Times New Roman"/>
          <w:color w:val="2A2A2A"/>
          <w:sz w:val="24"/>
          <w:szCs w:val="24"/>
          <w:lang w:eastAsia="en-GB"/>
        </w:rPr>
        <w:t>.</w:t>
      </w:r>
      <w:r>
        <w:rPr>
          <w:rFonts w:ascii="Times New Roman" w:eastAsia="Times New Roman" w:hAnsi="Times New Roman" w:cs="Times New Roman"/>
          <w:color w:val="2A2A2A"/>
          <w:sz w:val="24"/>
          <w:szCs w:val="24"/>
          <w:lang w:eastAsia="en-GB"/>
        </w:rPr>
        <w:t>2</w:t>
      </w:r>
      <w:r w:rsidRPr="000D3917">
        <w:rPr>
          <w:rFonts w:ascii="Times New Roman" w:eastAsia="Times New Roman" w:hAnsi="Times New Roman" w:cs="Times New Roman"/>
          <w:color w:val="2A2A2A"/>
          <w:sz w:val="24"/>
          <w:szCs w:val="24"/>
          <w:lang w:eastAsia="en-GB"/>
        </w:rPr>
        <w:t>% (</w:t>
      </w:r>
      <w:r w:rsidRPr="000D3917">
        <w:rPr>
          <w:rFonts w:ascii="Times New Roman" w:eastAsia="Calibri" w:hAnsi="Times New Roman" w:cs="Times New Roman"/>
          <w:sz w:val="24"/>
          <w:szCs w:val="24"/>
        </w:rPr>
        <w:t>Instituto Nacional de Estadística e Informática</w:t>
      </w:r>
      <w:r w:rsidRPr="000D3917">
        <w:rPr>
          <w:rFonts w:ascii="Times New Roman" w:eastAsia="Times New Roman" w:hAnsi="Times New Roman" w:cs="Times New Roman"/>
          <w:color w:val="2A2A2A"/>
          <w:sz w:val="24"/>
          <w:szCs w:val="24"/>
          <w:lang w:eastAsia="en-GB"/>
        </w:rPr>
        <w:t xml:space="preserve">, 2010) </w:t>
      </w:r>
      <w:proofErr w:type="spellStart"/>
      <w:r w:rsidRPr="008D748B">
        <w:rPr>
          <w:rFonts w:ascii="Times New Roman" w:eastAsia="Times New Roman" w:hAnsi="Times New Roman" w:cs="Times New Roman"/>
          <w:color w:val="2A2A2A"/>
          <w:sz w:val="24"/>
          <w:szCs w:val="24"/>
          <w:lang w:eastAsia="en-GB"/>
        </w:rPr>
        <w:t>to</w:t>
      </w:r>
      <w:proofErr w:type="spellEnd"/>
      <w:r w:rsidRPr="008D748B">
        <w:rPr>
          <w:rFonts w:ascii="Times New Roman" w:eastAsia="Times New Roman" w:hAnsi="Times New Roman" w:cs="Times New Roman"/>
          <w:color w:val="2A2A2A"/>
          <w:sz w:val="24"/>
          <w:szCs w:val="24"/>
          <w:lang w:eastAsia="en-GB"/>
        </w:rPr>
        <w:t xml:space="preserve"> 11.5% (</w:t>
      </w:r>
      <w:r w:rsidRPr="008D748B">
        <w:rPr>
          <w:rFonts w:ascii="Times New Roman" w:eastAsia="Calibri" w:hAnsi="Times New Roman" w:cs="Times New Roman"/>
          <w:sz w:val="24"/>
          <w:szCs w:val="24"/>
        </w:rPr>
        <w:t>Instituto Nacional de Estadística e Informática</w:t>
      </w:r>
      <w:r w:rsidRPr="008D748B">
        <w:rPr>
          <w:rFonts w:ascii="Times New Roman" w:eastAsia="Times New Roman" w:hAnsi="Times New Roman" w:cs="Times New Roman"/>
          <w:color w:val="2A2A2A"/>
          <w:sz w:val="24"/>
          <w:szCs w:val="24"/>
          <w:lang w:eastAsia="en-GB"/>
        </w:rPr>
        <w:t xml:space="preserve">, 2020). </w:t>
      </w:r>
      <w:proofErr w:type="spellStart"/>
      <w:r w:rsidRPr="008D748B">
        <w:rPr>
          <w:rFonts w:ascii="Times New Roman" w:eastAsia="Times New Roman" w:hAnsi="Times New Roman" w:cs="Times New Roman"/>
          <w:color w:val="2A2A2A"/>
          <w:sz w:val="24"/>
          <w:szCs w:val="24"/>
          <w:lang w:eastAsia="en-GB"/>
        </w:rPr>
        <w:t>Secondly</w:t>
      </w:r>
      <w:proofErr w:type="spellEnd"/>
      <w:r w:rsidRPr="008D748B">
        <w:rPr>
          <w:rFonts w:ascii="Times New Roman" w:eastAsia="Times New Roman" w:hAnsi="Times New Roman" w:cs="Times New Roman"/>
          <w:color w:val="2A2A2A"/>
          <w:sz w:val="24"/>
          <w:szCs w:val="24"/>
          <w:lang w:eastAsia="en-GB"/>
        </w:rPr>
        <w:t xml:space="preserve">, </w:t>
      </w:r>
      <w:proofErr w:type="spellStart"/>
      <w:r w:rsidRPr="008D748B">
        <w:rPr>
          <w:rFonts w:ascii="Times New Roman" w:eastAsia="Times New Roman" w:hAnsi="Times New Roman" w:cs="Times New Roman"/>
          <w:color w:val="2A2A2A"/>
          <w:sz w:val="24"/>
          <w:szCs w:val="24"/>
          <w:lang w:eastAsia="en-GB"/>
        </w:rPr>
        <w:t>anaemia</w:t>
      </w:r>
      <w:proofErr w:type="spellEnd"/>
      <w:r w:rsidRPr="008D748B">
        <w:rPr>
          <w:rFonts w:ascii="Times New Roman" w:eastAsia="Times New Roman" w:hAnsi="Times New Roman" w:cs="Times New Roman"/>
          <w:color w:val="2A2A2A"/>
          <w:sz w:val="24"/>
          <w:szCs w:val="24"/>
          <w:lang w:eastAsia="en-GB"/>
        </w:rPr>
        <w:t xml:space="preserve"> in</w:t>
      </w:r>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children</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under</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three</w:t>
      </w:r>
      <w:proofErr w:type="spellEnd"/>
      <w:r w:rsidRPr="000D3917">
        <w:rPr>
          <w:rFonts w:ascii="Times New Roman" w:eastAsia="Times New Roman" w:hAnsi="Times New Roman" w:cs="Times New Roman"/>
          <w:color w:val="2A2A2A"/>
          <w:sz w:val="24"/>
          <w:szCs w:val="24"/>
          <w:lang w:eastAsia="en-GB"/>
        </w:rPr>
        <w:t xml:space="preserve"> has </w:t>
      </w:r>
      <w:proofErr w:type="spellStart"/>
      <w:r w:rsidRPr="000D3917">
        <w:rPr>
          <w:rFonts w:ascii="Times New Roman" w:eastAsia="Times New Roman" w:hAnsi="Times New Roman" w:cs="Times New Roman"/>
          <w:color w:val="2A2A2A"/>
          <w:sz w:val="24"/>
          <w:szCs w:val="24"/>
          <w:lang w:eastAsia="en-GB"/>
        </w:rPr>
        <w:t>decreased</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slightly</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from</w:t>
      </w:r>
      <w:proofErr w:type="spellEnd"/>
      <w:r w:rsidRPr="000D3917">
        <w:rPr>
          <w:rFonts w:ascii="Times New Roman" w:eastAsia="Times New Roman" w:hAnsi="Times New Roman" w:cs="Times New Roman"/>
          <w:color w:val="2A2A2A"/>
          <w:sz w:val="24"/>
          <w:szCs w:val="24"/>
          <w:lang w:eastAsia="en-GB"/>
        </w:rPr>
        <w:t xml:space="preserve"> 43.5% (2015) </w:t>
      </w:r>
      <w:proofErr w:type="spellStart"/>
      <w:r w:rsidRPr="000D3917">
        <w:rPr>
          <w:rFonts w:ascii="Times New Roman" w:eastAsia="Times New Roman" w:hAnsi="Times New Roman" w:cs="Times New Roman"/>
          <w:color w:val="2A2A2A"/>
          <w:sz w:val="24"/>
          <w:szCs w:val="24"/>
          <w:lang w:eastAsia="en-GB"/>
        </w:rPr>
        <w:t>to</w:t>
      </w:r>
      <w:proofErr w:type="spellEnd"/>
      <w:r w:rsidRPr="000D3917">
        <w:rPr>
          <w:rFonts w:ascii="Times New Roman" w:eastAsia="Times New Roman" w:hAnsi="Times New Roman" w:cs="Times New Roman"/>
          <w:color w:val="2A2A2A"/>
          <w:sz w:val="24"/>
          <w:szCs w:val="24"/>
          <w:lang w:eastAsia="en-GB"/>
        </w:rPr>
        <w:t xml:space="preserve"> 38.8% (2021), </w:t>
      </w:r>
      <w:proofErr w:type="spellStart"/>
      <w:r w:rsidRPr="000D3917">
        <w:rPr>
          <w:rFonts w:ascii="Times New Roman" w:eastAsia="Times New Roman" w:hAnsi="Times New Roman" w:cs="Times New Roman"/>
          <w:color w:val="2A2A2A"/>
          <w:sz w:val="24"/>
          <w:szCs w:val="24"/>
          <w:lang w:eastAsia="en-GB"/>
        </w:rPr>
        <w:t>but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still</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remains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high</w:t>
      </w:r>
      <w:proofErr w:type="spellEnd"/>
      <w:r w:rsidRPr="000D3917">
        <w:rPr>
          <w:rFonts w:ascii="Times New Roman" w:eastAsia="Times New Roman" w:hAnsi="Times New Roman" w:cs="Times New Roman"/>
          <w:color w:val="2A2A2A"/>
          <w:sz w:val="24"/>
          <w:szCs w:val="24"/>
          <w:lang w:eastAsia="en-GB"/>
        </w:rPr>
        <w:t xml:space="preserve"> and </w:t>
      </w:r>
      <w:proofErr w:type="spellStart"/>
      <w:r w:rsidRPr="000D3917">
        <w:rPr>
          <w:rFonts w:ascii="Times New Roman" w:eastAsia="Times New Roman" w:hAnsi="Times New Roman" w:cs="Times New Roman"/>
          <w:color w:val="2A2A2A"/>
          <w:sz w:val="24"/>
          <w:szCs w:val="24"/>
          <w:lang w:eastAsia="en-GB"/>
        </w:rPr>
        <w:t>is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currently</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considered</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one</w:t>
      </w:r>
      <w:proofErr w:type="spellEnd"/>
      <w:r w:rsidRPr="000D3917">
        <w:rPr>
          <w:rFonts w:ascii="Times New Roman" w:eastAsia="Times New Roman" w:hAnsi="Times New Roman" w:cs="Times New Roman"/>
          <w:color w:val="2A2A2A"/>
          <w:sz w:val="24"/>
          <w:szCs w:val="24"/>
          <w:lang w:eastAsia="en-GB"/>
        </w:rPr>
        <w:t xml:space="preserve"> of </w:t>
      </w:r>
      <w:proofErr w:type="spellStart"/>
      <w:r w:rsidRPr="000D3917">
        <w:rPr>
          <w:rFonts w:ascii="Times New Roman" w:eastAsia="Times New Roman" w:hAnsi="Times New Roman" w:cs="Times New Roman"/>
          <w:color w:val="2A2A2A"/>
          <w:sz w:val="24"/>
          <w:szCs w:val="24"/>
          <w:lang w:eastAsia="en-GB"/>
        </w:rPr>
        <w:t>the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main</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public</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health</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nutrition</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problems</w:t>
      </w:r>
      <w:proofErr w:type="spellEnd"/>
      <w:r w:rsidRPr="000D3917">
        <w:rPr>
          <w:rFonts w:ascii="Times New Roman" w:eastAsia="Times New Roman" w:hAnsi="Times New Roman" w:cs="Times New Roman"/>
          <w:color w:val="2A2A2A"/>
          <w:sz w:val="24"/>
          <w:szCs w:val="24"/>
          <w:lang w:eastAsia="en-GB"/>
        </w:rPr>
        <w:t xml:space="preserve"> in </w:t>
      </w:r>
      <w:proofErr w:type="spellStart"/>
      <w:r w:rsidRPr="000D3917">
        <w:rPr>
          <w:rFonts w:ascii="Times New Roman" w:eastAsia="Times New Roman" w:hAnsi="Times New Roman" w:cs="Times New Roman"/>
          <w:color w:val="2A2A2A"/>
          <w:sz w:val="24"/>
          <w:szCs w:val="24"/>
          <w:lang w:eastAsia="en-GB"/>
        </w:rPr>
        <w:t>Peru</w:t>
      </w:r>
      <w:proofErr w:type="spellEnd"/>
      <w:r w:rsidRPr="000D3917">
        <w:rPr>
          <w:rFonts w:ascii="Times New Roman" w:eastAsia="Times New Roman" w:hAnsi="Times New Roman" w:cs="Times New Roman"/>
          <w:color w:val="2A2A2A"/>
          <w:sz w:val="24"/>
          <w:szCs w:val="24"/>
          <w:lang w:eastAsia="en-GB"/>
        </w:rPr>
        <w:t xml:space="preserve"> (</w:t>
      </w:r>
      <w:r w:rsidRPr="000D3917">
        <w:rPr>
          <w:rFonts w:ascii="Times New Roman" w:eastAsia="Calibri" w:hAnsi="Times New Roman" w:cs="Times New Roman"/>
          <w:sz w:val="24"/>
          <w:szCs w:val="24"/>
        </w:rPr>
        <w:t>Instituto Nacional de Estadística e Informática,</w:t>
      </w:r>
      <w:r>
        <w:rPr>
          <w:rFonts w:ascii="Times New Roman" w:eastAsia="Times New Roman" w:hAnsi="Times New Roman" w:cs="Times New Roman"/>
          <w:color w:val="2A2A2A"/>
          <w:sz w:val="24"/>
          <w:szCs w:val="24"/>
          <w:lang w:eastAsia="en-GB"/>
        </w:rPr>
        <w:t xml:space="preserve"> </w:t>
      </w:r>
      <w:r w:rsidRPr="000D3917">
        <w:rPr>
          <w:rFonts w:ascii="Times New Roman" w:eastAsia="Times New Roman" w:hAnsi="Times New Roman" w:cs="Times New Roman"/>
          <w:color w:val="2A2A2A"/>
          <w:sz w:val="24"/>
          <w:szCs w:val="24"/>
          <w:lang w:eastAsia="en-GB"/>
        </w:rPr>
        <w:t>2021).</w:t>
      </w:r>
      <w:r>
        <w:rPr>
          <w:rFonts w:ascii="Times New Roman" w:hAnsi="Times New Roman" w:cs="Times New Roman"/>
          <w:sz w:val="24"/>
          <w:szCs w:val="24"/>
        </w:rPr>
        <w:t xml:space="preserve"> The </w:t>
      </w:r>
      <w:proofErr w:type="spellStart"/>
      <w:r>
        <w:rPr>
          <w:rFonts w:ascii="Times New Roman" w:hAnsi="Times New Roman" w:cs="Times New Roman"/>
          <w:sz w:val="24"/>
          <w:szCs w:val="24"/>
        </w:rPr>
        <w:lastRenderedPageBreak/>
        <w:t>prevalence</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o</w:t>
      </w:r>
      <w:r w:rsidRPr="00FC3C16">
        <w:rPr>
          <w:rFonts w:ascii="Times New Roman" w:hAnsi="Times New Roman" w:cs="Times New Roman"/>
          <w:sz w:val="24"/>
          <w:szCs w:val="24"/>
        </w:rPr>
        <w:t>verweight</w:t>
      </w:r>
      <w:proofErr w:type="spellEnd"/>
      <w:r w:rsidRPr="00FC3C16">
        <w:rPr>
          <w:rFonts w:ascii="Times New Roman" w:hAnsi="Times New Roman" w:cs="Times New Roman"/>
          <w:sz w:val="24"/>
          <w:szCs w:val="24"/>
        </w:rPr>
        <w:t>/</w:t>
      </w:r>
      <w:proofErr w:type="spellStart"/>
      <w:r w:rsidRPr="00FC3C16">
        <w:rPr>
          <w:rFonts w:ascii="Times New Roman" w:hAnsi="Times New Roman" w:cs="Times New Roman"/>
          <w:sz w:val="24"/>
          <w:szCs w:val="24"/>
        </w:rPr>
        <w:t>obesity</w:t>
      </w:r>
      <w:proofErr w:type="spellEnd"/>
      <w:r w:rsidRPr="00FC3C16">
        <w:rPr>
          <w:rFonts w:ascii="Times New Roman" w:hAnsi="Times New Roman" w:cs="Times New Roman"/>
          <w:sz w:val="24"/>
          <w:szCs w:val="24"/>
        </w:rPr>
        <w:t xml:space="preserve"> in </w:t>
      </w:r>
      <w:proofErr w:type="spellStart"/>
      <w:r w:rsidRPr="00FC3C16">
        <w:rPr>
          <w:rFonts w:ascii="Times New Roman" w:hAnsi="Times New Roman" w:cs="Times New Roman"/>
          <w:sz w:val="24"/>
          <w:szCs w:val="24"/>
        </w:rPr>
        <w:t>children</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under</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five</w:t>
      </w:r>
      <w:proofErr w:type="spellEnd"/>
      <w:r w:rsidRPr="00FC3C16">
        <w:rPr>
          <w:rFonts w:ascii="Times New Roman" w:hAnsi="Times New Roman" w:cs="Times New Roman"/>
          <w:sz w:val="24"/>
          <w:szCs w:val="24"/>
        </w:rPr>
        <w:t xml:space="preserve"> </w:t>
      </w:r>
      <w:proofErr w:type="spellStart"/>
      <w:r>
        <w:rPr>
          <w:rFonts w:ascii="Times New Roman" w:hAnsi="Times New Roman" w:cs="Times New Roman"/>
          <w:sz w:val="24"/>
          <w:szCs w:val="24"/>
        </w:rPr>
        <w:t>was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estimated</w:t>
      </w:r>
      <w:proofErr w:type="spellEnd"/>
      <w:r>
        <w:rPr>
          <w:rFonts w:ascii="Times New Roman" w:hAnsi="Times New Roman" w:cs="Times New Roman"/>
          <w:sz w:val="24"/>
          <w:szCs w:val="24"/>
        </w:rPr>
        <w:t xml:space="preserve"> at</w:t>
      </w:r>
      <w:r w:rsidRPr="00FC3C16">
        <w:rPr>
          <w:rFonts w:ascii="Times New Roman" w:hAnsi="Times New Roman" w:cs="Times New Roman"/>
          <w:sz w:val="24"/>
          <w:szCs w:val="24"/>
        </w:rPr>
        <w:t xml:space="preserve"> 9.6% </w:t>
      </w:r>
      <w:r>
        <w:rPr>
          <w:rFonts w:ascii="Times New Roman" w:hAnsi="Times New Roman" w:cs="Times New Roman"/>
          <w:sz w:val="24"/>
          <w:szCs w:val="24"/>
        </w:rPr>
        <w:t xml:space="preserve">in </w:t>
      </w:r>
      <w:r w:rsidRPr="00FC3C16">
        <w:rPr>
          <w:rFonts w:ascii="Times New Roman" w:hAnsi="Times New Roman" w:cs="Times New Roman"/>
          <w:sz w:val="24"/>
          <w:szCs w:val="24"/>
        </w:rPr>
        <w:t xml:space="preserve">2021 (Instituto Nacional de Estadística e Informática (INEI), 2021). </w:t>
      </w:r>
      <w:proofErr w:type="spellStart"/>
      <w:r w:rsidRPr="00FC3C16">
        <w:rPr>
          <w:rFonts w:ascii="Times New Roman" w:hAnsi="Times New Roman" w:cs="Times New Roman"/>
          <w:sz w:val="24"/>
          <w:szCs w:val="24"/>
        </w:rPr>
        <w:t>However</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overweight</w:t>
      </w:r>
      <w:proofErr w:type="spellEnd"/>
      <w:r w:rsidRPr="00FC3C16">
        <w:rPr>
          <w:rFonts w:ascii="Times New Roman" w:hAnsi="Times New Roman" w:cs="Times New Roman"/>
          <w:sz w:val="24"/>
          <w:szCs w:val="24"/>
        </w:rPr>
        <w:t>/</w:t>
      </w:r>
      <w:proofErr w:type="spellStart"/>
      <w:r w:rsidRPr="00FC3C16">
        <w:rPr>
          <w:rFonts w:ascii="Times New Roman" w:hAnsi="Times New Roman" w:cs="Times New Roman"/>
          <w:sz w:val="24"/>
          <w:szCs w:val="24"/>
        </w:rPr>
        <w:t>obesity</w:t>
      </w:r>
      <w:proofErr w:type="spellEnd"/>
      <w:r w:rsidRPr="00FC3C16">
        <w:rPr>
          <w:rFonts w:ascii="Times New Roman" w:hAnsi="Times New Roman" w:cs="Times New Roman"/>
          <w:sz w:val="24"/>
          <w:szCs w:val="24"/>
        </w:rPr>
        <w:t xml:space="preserve"> in </w:t>
      </w:r>
      <w:proofErr w:type="spellStart"/>
      <w:r w:rsidRPr="00FC3C16">
        <w:rPr>
          <w:rFonts w:ascii="Times New Roman" w:hAnsi="Times New Roman" w:cs="Times New Roman"/>
          <w:sz w:val="24"/>
          <w:szCs w:val="24"/>
        </w:rPr>
        <w:t>children</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aged</w:t>
      </w:r>
      <w:proofErr w:type="spellEnd"/>
      <w:r w:rsidRPr="00FC3C16">
        <w:rPr>
          <w:rFonts w:ascii="Times New Roman" w:hAnsi="Times New Roman" w:cs="Times New Roman"/>
          <w:sz w:val="24"/>
          <w:szCs w:val="24"/>
        </w:rPr>
        <w:t xml:space="preserve"> 5-9 </w:t>
      </w:r>
      <w:proofErr w:type="spellStart"/>
      <w:r w:rsidRPr="00FC3C16">
        <w:rPr>
          <w:rFonts w:ascii="Times New Roman" w:hAnsi="Times New Roman" w:cs="Times New Roman"/>
          <w:sz w:val="24"/>
          <w:szCs w:val="24"/>
        </w:rPr>
        <w:t>years</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is</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considerably</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higher</w:t>
      </w:r>
      <w:proofErr w:type="spellEnd"/>
      <w:r w:rsidRPr="00FC3C16">
        <w:rPr>
          <w:rFonts w:ascii="Times New Roman" w:hAnsi="Times New Roman" w:cs="Times New Roman"/>
          <w:sz w:val="24"/>
          <w:szCs w:val="24"/>
        </w:rPr>
        <w:t xml:space="preserve"> (37.4% in 2017-2018) (</w:t>
      </w:r>
      <w:proofErr w:type="spellStart"/>
      <w:r w:rsidRPr="00FC3C16">
        <w:rPr>
          <w:rFonts w:ascii="Times New Roman" w:hAnsi="Times New Roman" w:cs="Times New Roman"/>
          <w:sz w:val="24"/>
          <w:szCs w:val="24"/>
        </w:rPr>
        <w:t>Ministry</w:t>
      </w:r>
      <w:proofErr w:type="spellEnd"/>
      <w:r w:rsidRPr="00FC3C16">
        <w:rPr>
          <w:rFonts w:ascii="Times New Roman" w:hAnsi="Times New Roman" w:cs="Times New Roman"/>
          <w:sz w:val="24"/>
          <w:szCs w:val="24"/>
        </w:rPr>
        <w:t xml:space="preserve"> of Health, 2021) </w:t>
      </w:r>
      <w:proofErr w:type="spellStart"/>
      <w:r w:rsidRPr="00FC3C16">
        <w:rPr>
          <w:rFonts w:ascii="Times New Roman" w:hAnsi="Times New Roman" w:cs="Times New Roman"/>
          <w:sz w:val="24"/>
          <w:szCs w:val="24"/>
        </w:rPr>
        <w:t>which</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could</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indicate</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that</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the</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increase</w:t>
      </w:r>
      <w:proofErr w:type="spellEnd"/>
      <w:r w:rsidRPr="00FC3C16">
        <w:rPr>
          <w:rFonts w:ascii="Times New Roman" w:hAnsi="Times New Roman" w:cs="Times New Roman"/>
          <w:sz w:val="24"/>
          <w:szCs w:val="24"/>
        </w:rPr>
        <w:t xml:space="preserve"> in </w:t>
      </w:r>
      <w:proofErr w:type="spellStart"/>
      <w:r w:rsidRPr="00FC3C16">
        <w:rPr>
          <w:rFonts w:ascii="Times New Roman" w:hAnsi="Times New Roman" w:cs="Times New Roman"/>
          <w:sz w:val="24"/>
          <w:szCs w:val="24"/>
        </w:rPr>
        <w:t>prevalence</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occurs</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from</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early</w:t>
      </w:r>
      <w:proofErr w:type="spellEnd"/>
      <w:r w:rsidRPr="00FC3C16">
        <w:rPr>
          <w:rFonts w:ascii="Times New Roman" w:hAnsi="Times New Roman" w:cs="Times New Roman"/>
          <w:sz w:val="24"/>
          <w:szCs w:val="24"/>
        </w:rPr>
        <w:t xml:space="preserve"> </w:t>
      </w:r>
      <w:proofErr w:type="spellStart"/>
      <w:r w:rsidRPr="00FC3C16">
        <w:rPr>
          <w:rFonts w:ascii="Times New Roman" w:hAnsi="Times New Roman" w:cs="Times New Roman"/>
          <w:sz w:val="24"/>
          <w:szCs w:val="24"/>
        </w:rPr>
        <w:t>childhood</w:t>
      </w:r>
      <w:proofErr w:type="spellEnd"/>
      <w:r w:rsidRPr="00FC3C16">
        <w:rPr>
          <w:rFonts w:ascii="Times New Roman" w:hAnsi="Times New Roman" w:cs="Times New Roman"/>
          <w:sz w:val="24"/>
          <w:szCs w:val="24"/>
        </w:rPr>
        <w:t xml:space="preserve">.  </w:t>
      </w:r>
      <w:r w:rsidRPr="000D3917">
        <w:rPr>
          <w:rFonts w:ascii="Times New Roman" w:eastAsia="Times New Roman" w:hAnsi="Times New Roman" w:cs="Times New Roman"/>
          <w:color w:val="2A2A2A"/>
          <w:sz w:val="24"/>
          <w:szCs w:val="24"/>
          <w:lang w:eastAsia="en-GB"/>
        </w:rPr>
        <w:t xml:space="preserve">At </w:t>
      </w:r>
      <w:proofErr w:type="spellStart"/>
      <w:r w:rsidRPr="000D3917">
        <w:rPr>
          <w:rFonts w:ascii="Times New Roman" w:eastAsia="Times New Roman" w:hAnsi="Times New Roman" w:cs="Times New Roman"/>
          <w:color w:val="2A2A2A"/>
          <w:sz w:val="24"/>
          <w:szCs w:val="24"/>
          <w:lang w:eastAsia="en-GB"/>
        </w:rPr>
        <w:t>the</w:t>
      </w:r>
      <w:proofErr w:type="spellEnd"/>
      <w:r w:rsidRPr="000D3917">
        <w:rPr>
          <w:rFonts w:ascii="Times New Roman" w:eastAsia="Times New Roman" w:hAnsi="Times New Roman" w:cs="Times New Roman"/>
          <w:color w:val="2A2A2A"/>
          <w:sz w:val="24"/>
          <w:szCs w:val="24"/>
          <w:lang w:eastAsia="en-GB"/>
        </w:rPr>
        <w:t xml:space="preserve"> individual </w:t>
      </w:r>
      <w:proofErr w:type="spellStart"/>
      <w:r w:rsidRPr="000D3917">
        <w:rPr>
          <w:rFonts w:ascii="Times New Roman" w:eastAsia="Times New Roman" w:hAnsi="Times New Roman" w:cs="Times New Roman"/>
          <w:color w:val="2A2A2A"/>
          <w:sz w:val="24"/>
          <w:szCs w:val="24"/>
          <w:lang w:eastAsia="en-GB"/>
        </w:rPr>
        <w:t>level</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the</w:t>
      </w:r>
      <w:proofErr w:type="spellEnd"/>
      <w:r w:rsidRPr="000D3917">
        <w:rPr>
          <w:rFonts w:ascii="Times New Roman" w:eastAsia="Times New Roman" w:hAnsi="Times New Roman" w:cs="Times New Roman"/>
          <w:color w:val="2A2A2A"/>
          <w:sz w:val="24"/>
          <w:szCs w:val="24"/>
          <w:lang w:eastAsia="en-GB"/>
        </w:rPr>
        <w:t xml:space="preserve"> DBM </w:t>
      </w:r>
      <w:proofErr w:type="spellStart"/>
      <w:r w:rsidRPr="000D3917">
        <w:rPr>
          <w:rFonts w:ascii="Times New Roman" w:eastAsia="Times New Roman" w:hAnsi="Times New Roman" w:cs="Times New Roman"/>
          <w:color w:val="2A2A2A"/>
          <w:sz w:val="24"/>
          <w:szCs w:val="24"/>
          <w:lang w:eastAsia="en-GB"/>
        </w:rPr>
        <w:t>prevalence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defined</w:t>
      </w:r>
      <w:proofErr w:type="spellEnd"/>
      <w:r w:rsidRPr="000D3917">
        <w:rPr>
          <w:rFonts w:ascii="Times New Roman" w:eastAsia="Times New Roman" w:hAnsi="Times New Roman" w:cs="Times New Roman"/>
          <w:color w:val="2A2A2A"/>
          <w:sz w:val="24"/>
          <w:szCs w:val="24"/>
          <w:lang w:eastAsia="en-GB"/>
        </w:rPr>
        <w:t xml:space="preserve"> as a </w:t>
      </w:r>
      <w:proofErr w:type="spellStart"/>
      <w:r w:rsidRPr="000D3917">
        <w:rPr>
          <w:rFonts w:ascii="Times New Roman" w:eastAsia="Times New Roman" w:hAnsi="Times New Roman" w:cs="Times New Roman"/>
          <w:color w:val="2A2A2A"/>
          <w:sz w:val="24"/>
          <w:szCs w:val="24"/>
          <w:lang w:eastAsia="en-GB"/>
        </w:rPr>
        <w:t>child</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under</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five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who</w:t>
      </w:r>
      <w:proofErr w:type="spellEnd"/>
      <w:r w:rsidRPr="000D3917">
        <w:rPr>
          <w:rFonts w:ascii="Times New Roman" w:eastAsia="Times New Roman" w:hAnsi="Times New Roman" w:cs="Times New Roman"/>
          <w:color w:val="2A2A2A"/>
          <w:sz w:val="24"/>
          <w:szCs w:val="24"/>
          <w:lang w:eastAsia="en-GB"/>
        </w:rPr>
        <w:t xml:space="preserve"> </w:t>
      </w:r>
      <w:proofErr w:type="spellStart"/>
      <w:r>
        <w:rPr>
          <w:rFonts w:ascii="Times New Roman" w:eastAsia="Times New Roman" w:hAnsi="Times New Roman" w:cs="Times New Roman"/>
          <w:color w:val="2A2A2A"/>
          <w:sz w:val="24"/>
          <w:szCs w:val="24"/>
          <w:lang w:eastAsia="en-GB"/>
        </w:rPr>
        <w:t>suffers</w:t>
      </w:r>
      <w:proofErr w:type="spellEnd"/>
      <w:r>
        <w:rPr>
          <w:rFonts w:ascii="Times New Roman" w:eastAsia="Times New Roman" w:hAnsi="Times New Roman" w:cs="Times New Roman"/>
          <w:color w:val="2A2A2A"/>
          <w:sz w:val="24"/>
          <w:szCs w:val="24"/>
          <w:lang w:eastAsia="en-GB"/>
        </w:rPr>
        <w:t xml:space="preserve"> </w:t>
      </w:r>
      <w:proofErr w:type="spellStart"/>
      <w:r>
        <w:rPr>
          <w:rFonts w:ascii="Times New Roman" w:eastAsia="Times New Roman" w:hAnsi="Times New Roman" w:cs="Times New Roman"/>
          <w:color w:val="2A2A2A"/>
          <w:sz w:val="24"/>
          <w:szCs w:val="24"/>
          <w:lang w:eastAsia="en-GB"/>
        </w:rPr>
        <w:t>from</w:t>
      </w:r>
      <w:proofErr w:type="spellEnd"/>
      <w:r w:rsidRPr="000D3917">
        <w:rPr>
          <w:rFonts w:ascii="Times New Roman" w:eastAsia="Times New Roman" w:hAnsi="Times New Roman" w:cs="Times New Roman"/>
          <w:color w:val="2A2A2A"/>
          <w:sz w:val="24"/>
          <w:szCs w:val="24"/>
          <w:lang w:eastAsia="en-GB"/>
        </w:rPr>
        <w:t xml:space="preserve"> </w:t>
      </w:r>
      <w:proofErr w:type="spellStart"/>
      <w:r>
        <w:rPr>
          <w:rFonts w:ascii="Times New Roman" w:eastAsia="Times New Roman" w:hAnsi="Times New Roman" w:cs="Times New Roman"/>
          <w:color w:val="2A2A2A"/>
          <w:sz w:val="24"/>
          <w:szCs w:val="24"/>
          <w:lang w:eastAsia="en-GB"/>
        </w:rPr>
        <w:t>overweight</w:t>
      </w:r>
      <w:proofErr w:type="spellEnd"/>
      <w:r>
        <w:rPr>
          <w:rFonts w:ascii="Times New Roman" w:eastAsia="Times New Roman" w:hAnsi="Times New Roman" w:cs="Times New Roman"/>
          <w:color w:val="2A2A2A"/>
          <w:sz w:val="24"/>
          <w:szCs w:val="24"/>
          <w:lang w:eastAsia="en-GB"/>
        </w:rPr>
        <w:t>/</w:t>
      </w:r>
      <w:proofErr w:type="spellStart"/>
      <w:r>
        <w:rPr>
          <w:rFonts w:ascii="Times New Roman" w:eastAsia="Times New Roman" w:hAnsi="Times New Roman" w:cs="Times New Roman"/>
          <w:color w:val="2A2A2A"/>
          <w:sz w:val="24"/>
          <w:szCs w:val="24"/>
          <w:lang w:eastAsia="en-GB"/>
        </w:rPr>
        <w:t>obes</w:t>
      </w:r>
      <w:r>
        <w:rPr>
          <w:rFonts w:ascii="Times New Roman" w:eastAsia="Times New Roman" w:hAnsi="Times New Roman" w:cs="Times New Roman"/>
          <w:color w:val="2A2A2A"/>
          <w:sz w:val="24"/>
          <w:szCs w:val="24"/>
          <w:lang w:eastAsia="en-GB"/>
        </w:rPr>
        <w:t>ity</w:t>
      </w:r>
      <w:proofErr w:type="spellEnd"/>
      <w:r>
        <w:rPr>
          <w:rFonts w:ascii="Times New Roman" w:eastAsia="Times New Roman" w:hAnsi="Times New Roman" w:cs="Times New Roman"/>
          <w:color w:val="2A2A2A"/>
          <w:sz w:val="24"/>
          <w:szCs w:val="24"/>
          <w:lang w:eastAsia="en-GB"/>
        </w:rPr>
        <w:t xml:space="preserve"> </w:t>
      </w:r>
      <w:r w:rsidRPr="000D3917">
        <w:rPr>
          <w:rFonts w:ascii="Times New Roman" w:eastAsia="Times New Roman" w:hAnsi="Times New Roman" w:cs="Times New Roman"/>
          <w:color w:val="2A2A2A"/>
          <w:sz w:val="24"/>
          <w:szCs w:val="24"/>
          <w:lang w:eastAsia="en-GB"/>
        </w:rPr>
        <w:t xml:space="preserve">and </w:t>
      </w:r>
      <w:proofErr w:type="spellStart"/>
      <w:r w:rsidRPr="000D3917">
        <w:rPr>
          <w:rFonts w:ascii="Times New Roman" w:eastAsia="Times New Roman" w:hAnsi="Times New Roman" w:cs="Times New Roman"/>
          <w:color w:val="2A2A2A"/>
          <w:sz w:val="24"/>
          <w:szCs w:val="24"/>
          <w:lang w:eastAsia="en-GB"/>
        </w:rPr>
        <w:t>anaemi</w:t>
      </w:r>
      <w:r>
        <w:rPr>
          <w:rFonts w:ascii="Times New Roman" w:eastAsia="Times New Roman" w:hAnsi="Times New Roman" w:cs="Times New Roman"/>
          <w:color w:val="2A2A2A"/>
          <w:sz w:val="24"/>
          <w:szCs w:val="24"/>
          <w:lang w:eastAsia="en-GB"/>
        </w:rPr>
        <w:t>a</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was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estimated</w:t>
      </w:r>
      <w:proofErr w:type="spellEnd"/>
      <w:r w:rsidRPr="000D3917">
        <w:rPr>
          <w:rFonts w:ascii="Times New Roman" w:eastAsia="Times New Roman" w:hAnsi="Times New Roman" w:cs="Times New Roman"/>
          <w:color w:val="2A2A2A"/>
          <w:sz w:val="24"/>
          <w:szCs w:val="24"/>
          <w:lang w:eastAsia="en-GB"/>
        </w:rPr>
        <w:t xml:space="preserve"> at 2.5% in 2012 (Irache et al. 202</w:t>
      </w:r>
      <w:r>
        <w:rPr>
          <w:rFonts w:ascii="Times New Roman" w:eastAsia="Times New Roman" w:hAnsi="Times New Roman" w:cs="Times New Roman"/>
          <w:color w:val="2A2A2A"/>
          <w:sz w:val="24"/>
          <w:szCs w:val="24"/>
          <w:lang w:eastAsia="en-GB"/>
        </w:rPr>
        <w:t>2</w:t>
      </w:r>
      <w:r w:rsidRPr="000D3917">
        <w:rPr>
          <w:rFonts w:ascii="Times New Roman" w:eastAsia="Times New Roman" w:hAnsi="Times New Roman" w:cs="Times New Roman"/>
          <w:color w:val="2A2A2A"/>
          <w:sz w:val="24"/>
          <w:szCs w:val="24"/>
          <w:lang w:eastAsia="en-GB"/>
        </w:rPr>
        <w:t xml:space="preserve">). </w:t>
      </w:r>
    </w:p>
    <w:p w14:paraId="0BD35051" w14:textId="77777777" w:rsidR="00CF65BD" w:rsidRPr="000D3917" w:rsidRDefault="00CF65BD" w:rsidP="00CF65BD">
      <w:pPr>
        <w:shd w:val="clear" w:color="auto" w:fill="FFFFFF"/>
        <w:spacing w:beforeAutospacing="1" w:after="0" w:afterAutospacing="1" w:line="360" w:lineRule="auto"/>
        <w:textAlignment w:val="baseline"/>
        <w:rPr>
          <w:rFonts w:ascii="Times New Roman" w:eastAsia="Times New Roman" w:hAnsi="Times New Roman" w:cs="Times New Roman"/>
          <w:sz w:val="24"/>
          <w:szCs w:val="24"/>
          <w:lang w:eastAsia="es-ES_tradnl"/>
        </w:rPr>
      </w:pPr>
      <w:r w:rsidRPr="000D3917">
        <w:rPr>
          <w:rFonts w:ascii="Times New Roman" w:eastAsia="Times New Roman" w:hAnsi="Times New Roman" w:cs="Times New Roman"/>
          <w:color w:val="2A2A2A"/>
          <w:sz w:val="24"/>
          <w:szCs w:val="24"/>
          <w:lang w:eastAsia="en-GB"/>
        </w:rPr>
        <w:t xml:space="preserve">In </w:t>
      </w:r>
      <w:proofErr w:type="spellStart"/>
      <w:r w:rsidRPr="000D3917">
        <w:rPr>
          <w:rFonts w:ascii="Times New Roman" w:eastAsia="Times New Roman" w:hAnsi="Times New Roman" w:cs="Times New Roman"/>
          <w:color w:val="2A2A2A"/>
          <w:sz w:val="24"/>
          <w:szCs w:val="24"/>
          <w:lang w:eastAsia="en-GB"/>
        </w:rPr>
        <w:t>this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context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bdr w:val="none" w:sz="0" w:space="0" w:color="auto" w:frame="1"/>
          <w:lang w:eastAsia="en-GB"/>
        </w:rPr>
        <w:t>this</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w:t>
      </w:r>
      <w:proofErr w:type="spellStart"/>
      <w:r w:rsidRPr="000D3917">
        <w:rPr>
          <w:rFonts w:ascii="Times New Roman" w:eastAsia="Times New Roman" w:hAnsi="Times New Roman" w:cs="Times New Roman"/>
          <w:color w:val="2A2A2A"/>
          <w:sz w:val="24"/>
          <w:szCs w:val="24"/>
          <w:bdr w:val="none" w:sz="0" w:space="0" w:color="auto" w:frame="1"/>
          <w:lang w:eastAsia="en-GB"/>
        </w:rPr>
        <w:t>study</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w:t>
      </w:r>
      <w:proofErr w:type="spellStart"/>
      <w:r w:rsidRPr="000D3917">
        <w:rPr>
          <w:rFonts w:ascii="Times New Roman" w:eastAsia="Times New Roman" w:hAnsi="Times New Roman" w:cs="Times New Roman"/>
          <w:color w:val="2A2A2A"/>
          <w:sz w:val="24"/>
          <w:szCs w:val="24"/>
          <w:bdr w:val="none" w:sz="0" w:space="0" w:color="auto" w:frame="1"/>
          <w:lang w:eastAsia="en-GB"/>
        </w:rPr>
        <w:t>sought</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w:t>
      </w:r>
      <w:proofErr w:type="spellStart"/>
      <w:r w:rsidRPr="000D3917">
        <w:rPr>
          <w:rFonts w:ascii="Times New Roman" w:eastAsia="Times New Roman" w:hAnsi="Times New Roman" w:cs="Times New Roman"/>
          <w:color w:val="2A2A2A"/>
          <w:sz w:val="24"/>
          <w:szCs w:val="24"/>
          <w:bdr w:val="none" w:sz="0" w:space="0" w:color="auto" w:frame="1"/>
          <w:lang w:eastAsia="en-GB"/>
        </w:rPr>
        <w:t>to</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w:t>
      </w:r>
      <w:proofErr w:type="spellStart"/>
      <w:r w:rsidRPr="000D3917">
        <w:rPr>
          <w:rFonts w:ascii="Times New Roman" w:eastAsia="Times New Roman" w:hAnsi="Times New Roman" w:cs="Times New Roman"/>
          <w:color w:val="2A2A2A"/>
          <w:sz w:val="24"/>
          <w:szCs w:val="24"/>
          <w:bdr w:val="none" w:sz="0" w:space="0" w:color="auto" w:frame="1"/>
          <w:lang w:eastAsia="en-GB"/>
        </w:rPr>
        <w:t>respond</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w:t>
      </w:r>
      <w:proofErr w:type="spellStart"/>
      <w:r w:rsidRPr="000D3917">
        <w:rPr>
          <w:rFonts w:ascii="Times New Roman" w:eastAsia="Times New Roman" w:hAnsi="Times New Roman" w:cs="Times New Roman"/>
          <w:color w:val="2A2A2A"/>
          <w:sz w:val="24"/>
          <w:szCs w:val="24"/>
          <w:bdr w:val="none" w:sz="0" w:space="0" w:color="auto" w:frame="1"/>
          <w:lang w:eastAsia="en-GB"/>
        </w:rPr>
        <w:t>to</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w:t>
      </w:r>
      <w:proofErr w:type="spellStart"/>
      <w:r w:rsidRPr="000D3917">
        <w:rPr>
          <w:rFonts w:ascii="Times New Roman" w:eastAsia="Times New Roman" w:hAnsi="Times New Roman" w:cs="Times New Roman"/>
          <w:color w:val="2A2A2A"/>
          <w:sz w:val="24"/>
          <w:szCs w:val="24"/>
          <w:bdr w:val="none" w:sz="0" w:space="0" w:color="auto" w:frame="1"/>
          <w:lang w:eastAsia="en-GB"/>
        </w:rPr>
        <w:t>the</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w:t>
      </w:r>
      <w:proofErr w:type="spellStart"/>
      <w:r w:rsidRPr="000D3917">
        <w:rPr>
          <w:rFonts w:ascii="Times New Roman" w:eastAsia="Times New Roman" w:hAnsi="Times New Roman" w:cs="Times New Roman"/>
          <w:color w:val="2A2A2A"/>
          <w:sz w:val="24"/>
          <w:szCs w:val="24"/>
          <w:bdr w:val="none" w:sz="0" w:space="0" w:color="auto" w:frame="1"/>
          <w:lang w:eastAsia="en-GB"/>
        </w:rPr>
        <w:t>need</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for </w:t>
      </w:r>
      <w:proofErr w:type="spellStart"/>
      <w:r w:rsidRPr="000D3917">
        <w:rPr>
          <w:rFonts w:ascii="Times New Roman" w:eastAsia="Times New Roman" w:hAnsi="Times New Roman" w:cs="Times New Roman"/>
          <w:color w:val="2A2A2A"/>
          <w:sz w:val="24"/>
          <w:szCs w:val="24"/>
          <w:bdr w:val="none" w:sz="0" w:space="0" w:color="auto" w:frame="1"/>
          <w:lang w:eastAsia="en-GB"/>
        </w:rPr>
        <w:t>evidence</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w:t>
      </w:r>
      <w:proofErr w:type="spellStart"/>
      <w:r w:rsidRPr="000D3917">
        <w:rPr>
          <w:rFonts w:ascii="Times New Roman" w:eastAsia="Times New Roman" w:hAnsi="Times New Roman" w:cs="Times New Roman"/>
          <w:color w:val="2A2A2A"/>
          <w:sz w:val="24"/>
          <w:szCs w:val="24"/>
          <w:bdr w:val="none" w:sz="0" w:space="0" w:color="auto" w:frame="1"/>
          <w:lang w:eastAsia="en-GB"/>
        </w:rPr>
        <w:t>that</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w:t>
      </w:r>
      <w:proofErr w:type="spellStart"/>
      <w:r w:rsidRPr="000D3917">
        <w:rPr>
          <w:rFonts w:ascii="Times New Roman" w:eastAsia="Times New Roman" w:hAnsi="Times New Roman" w:cs="Times New Roman"/>
          <w:color w:val="2A2A2A"/>
          <w:sz w:val="24"/>
          <w:szCs w:val="24"/>
          <w:bdr w:val="none" w:sz="0" w:space="0" w:color="auto" w:frame="1"/>
          <w:lang w:eastAsia="en-GB"/>
        </w:rPr>
        <w:t>exists</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in </w:t>
      </w:r>
      <w:proofErr w:type="spellStart"/>
      <w:r w:rsidRPr="000D3917">
        <w:rPr>
          <w:rFonts w:ascii="Times New Roman" w:eastAsia="Times New Roman" w:hAnsi="Times New Roman" w:cs="Times New Roman"/>
          <w:color w:val="2A2A2A"/>
          <w:sz w:val="24"/>
          <w:szCs w:val="24"/>
          <w:bdr w:val="none" w:sz="0" w:space="0" w:color="auto" w:frame="1"/>
          <w:lang w:eastAsia="en-GB"/>
        </w:rPr>
        <w:t>Peru</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w:t>
      </w:r>
      <w:proofErr w:type="spellStart"/>
      <w:r w:rsidRPr="000D3917">
        <w:rPr>
          <w:rFonts w:ascii="Times New Roman" w:eastAsia="Times New Roman" w:hAnsi="Times New Roman" w:cs="Times New Roman"/>
          <w:color w:val="2A2A2A"/>
          <w:sz w:val="24"/>
          <w:szCs w:val="24"/>
          <w:bdr w:val="none" w:sz="0" w:space="0" w:color="auto" w:frame="1"/>
          <w:lang w:eastAsia="en-GB"/>
        </w:rPr>
        <w:t>related</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w:t>
      </w:r>
      <w:proofErr w:type="spellStart"/>
      <w:r w:rsidRPr="000D3917">
        <w:rPr>
          <w:rFonts w:ascii="Times New Roman" w:eastAsia="Times New Roman" w:hAnsi="Times New Roman" w:cs="Times New Roman"/>
          <w:color w:val="2A2A2A"/>
          <w:sz w:val="24"/>
          <w:szCs w:val="24"/>
          <w:bdr w:val="none" w:sz="0" w:space="0" w:color="auto" w:frame="1"/>
          <w:lang w:eastAsia="en-GB"/>
        </w:rPr>
        <w:t>to</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w:t>
      </w:r>
      <w:proofErr w:type="spellStart"/>
      <w:r w:rsidRPr="000D3917">
        <w:rPr>
          <w:rFonts w:ascii="Times New Roman" w:eastAsia="Times New Roman" w:hAnsi="Times New Roman" w:cs="Times New Roman"/>
          <w:color w:val="2A2A2A"/>
          <w:sz w:val="24"/>
          <w:szCs w:val="24"/>
          <w:bdr w:val="none" w:sz="0" w:space="0" w:color="auto" w:frame="1"/>
          <w:lang w:eastAsia="en-GB"/>
        </w:rPr>
        <w:t>the</w:t>
      </w:r>
      <w:proofErr w:type="spellEnd"/>
      <w:r w:rsidRPr="000D3917">
        <w:rPr>
          <w:rFonts w:ascii="Times New Roman" w:eastAsia="Times New Roman" w:hAnsi="Times New Roman" w:cs="Times New Roman"/>
          <w:color w:val="2A2A2A"/>
          <w:sz w:val="24"/>
          <w:szCs w:val="24"/>
          <w:bdr w:val="none" w:sz="0" w:space="0" w:color="auto" w:frame="1"/>
          <w:lang w:eastAsia="en-GB"/>
        </w:rPr>
        <w:t xml:space="preserve"> </w:t>
      </w:r>
      <w:proofErr w:type="spellStart"/>
      <w:r w:rsidRPr="000D3917">
        <w:rPr>
          <w:rFonts w:ascii="Times New Roman" w:eastAsia="Times New Roman" w:hAnsi="Times New Roman" w:cs="Times New Roman"/>
          <w:color w:val="2A2A2A"/>
          <w:sz w:val="24"/>
          <w:szCs w:val="24"/>
          <w:lang w:eastAsia="en-GB"/>
        </w:rPr>
        <w:t>current</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implementation</w:t>
      </w:r>
      <w:proofErr w:type="spellEnd"/>
      <w:r w:rsidRPr="000D3917">
        <w:rPr>
          <w:rFonts w:ascii="Times New Roman" w:eastAsia="Times New Roman" w:hAnsi="Times New Roman" w:cs="Times New Roman"/>
          <w:color w:val="2A2A2A"/>
          <w:sz w:val="24"/>
          <w:szCs w:val="24"/>
          <w:lang w:eastAsia="en-GB"/>
        </w:rPr>
        <w:t xml:space="preserve"> of- and </w:t>
      </w:r>
      <w:proofErr w:type="spellStart"/>
      <w:r w:rsidRPr="000D3917">
        <w:rPr>
          <w:rFonts w:ascii="Times New Roman" w:eastAsia="Times New Roman" w:hAnsi="Times New Roman" w:cs="Times New Roman"/>
          <w:color w:val="2A2A2A"/>
          <w:sz w:val="24"/>
          <w:szCs w:val="24"/>
          <w:lang w:eastAsia="en-GB"/>
        </w:rPr>
        <w:t>priority</w:t>
      </w:r>
      <w:proofErr w:type="spellEnd"/>
      <w:r w:rsidRPr="000D3917">
        <w:rPr>
          <w:rFonts w:ascii="Times New Roman" w:eastAsia="Times New Roman" w:hAnsi="Times New Roman" w:cs="Times New Roman"/>
          <w:color w:val="2A2A2A"/>
          <w:sz w:val="24"/>
          <w:szCs w:val="24"/>
          <w:lang w:eastAsia="en-GB"/>
        </w:rPr>
        <w:t xml:space="preserve"> for- </w:t>
      </w:r>
      <w:proofErr w:type="spellStart"/>
      <w:r w:rsidRPr="000D3917">
        <w:rPr>
          <w:rFonts w:ascii="Times New Roman" w:eastAsia="Times New Roman" w:hAnsi="Times New Roman" w:cs="Times New Roman"/>
          <w:color w:val="2A2A2A"/>
          <w:sz w:val="24"/>
          <w:szCs w:val="24"/>
          <w:lang w:eastAsia="en-GB"/>
        </w:rPr>
        <w:t>government-level</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actions</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to</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tackle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multiple</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forms</w:t>
      </w:r>
      <w:proofErr w:type="spellEnd"/>
      <w:r w:rsidRPr="000D3917">
        <w:rPr>
          <w:rFonts w:ascii="Times New Roman" w:eastAsia="Times New Roman" w:hAnsi="Times New Roman" w:cs="Times New Roman"/>
          <w:color w:val="2A2A2A"/>
          <w:sz w:val="24"/>
          <w:szCs w:val="24"/>
          <w:lang w:eastAsia="en-GB"/>
        </w:rPr>
        <w:t xml:space="preserve"> of </w:t>
      </w:r>
      <w:proofErr w:type="spellStart"/>
      <w:r w:rsidRPr="000D3917">
        <w:rPr>
          <w:rFonts w:ascii="Times New Roman" w:eastAsia="Times New Roman" w:hAnsi="Times New Roman" w:cs="Times New Roman"/>
          <w:color w:val="2A2A2A"/>
          <w:sz w:val="24"/>
          <w:szCs w:val="24"/>
          <w:lang w:eastAsia="en-GB"/>
        </w:rPr>
        <w:t>malnutrition</w:t>
      </w:r>
      <w:proofErr w:type="spellEnd"/>
      <w:r w:rsidRPr="000D3917">
        <w:rPr>
          <w:rFonts w:ascii="Times New Roman" w:eastAsia="Times New Roman" w:hAnsi="Times New Roman" w:cs="Times New Roman"/>
          <w:color w:val="2A2A2A"/>
          <w:sz w:val="24"/>
          <w:szCs w:val="24"/>
          <w:lang w:eastAsia="en-GB"/>
        </w:rPr>
        <w:t xml:space="preserve"> in </w:t>
      </w:r>
      <w:proofErr w:type="spellStart"/>
      <w:r w:rsidRPr="000D3917">
        <w:rPr>
          <w:rFonts w:ascii="Times New Roman" w:eastAsia="Times New Roman" w:hAnsi="Times New Roman" w:cs="Times New Roman"/>
          <w:color w:val="2A2A2A"/>
          <w:sz w:val="24"/>
          <w:szCs w:val="24"/>
          <w:lang w:eastAsia="en-GB"/>
        </w:rPr>
        <w:t>infants</w:t>
      </w:r>
      <w:proofErr w:type="spellEnd"/>
      <w:r w:rsidRPr="000D3917">
        <w:rPr>
          <w:rFonts w:ascii="Times New Roman" w:eastAsia="Times New Roman" w:hAnsi="Times New Roman" w:cs="Times New Roman"/>
          <w:color w:val="2A2A2A"/>
          <w:sz w:val="24"/>
          <w:szCs w:val="24"/>
          <w:lang w:eastAsia="en-GB"/>
        </w:rPr>
        <w:t xml:space="preserve"> and </w:t>
      </w:r>
      <w:proofErr w:type="spellStart"/>
      <w:r w:rsidRPr="000D3917">
        <w:rPr>
          <w:rFonts w:ascii="Times New Roman" w:eastAsia="Times New Roman" w:hAnsi="Times New Roman" w:cs="Times New Roman"/>
          <w:color w:val="2A2A2A"/>
          <w:sz w:val="24"/>
          <w:szCs w:val="24"/>
          <w:lang w:eastAsia="en-GB"/>
        </w:rPr>
        <w:t>young</w:t>
      </w:r>
      <w:proofErr w:type="spellEnd"/>
      <w:r w:rsidRPr="000D3917">
        <w:rPr>
          <w:rFonts w:ascii="Times New Roman" w:eastAsia="Times New Roman" w:hAnsi="Times New Roman" w:cs="Times New Roman"/>
          <w:color w:val="2A2A2A"/>
          <w:sz w:val="24"/>
          <w:szCs w:val="24"/>
          <w:lang w:eastAsia="en-GB"/>
        </w:rPr>
        <w:t xml:space="preserve"> </w:t>
      </w:r>
      <w:proofErr w:type="spellStart"/>
      <w:r w:rsidRPr="000D3917">
        <w:rPr>
          <w:rFonts w:ascii="Times New Roman" w:eastAsia="Times New Roman" w:hAnsi="Times New Roman" w:cs="Times New Roman"/>
          <w:color w:val="2A2A2A"/>
          <w:sz w:val="24"/>
          <w:szCs w:val="24"/>
          <w:lang w:eastAsia="en-GB"/>
        </w:rPr>
        <w:t>children</w:t>
      </w:r>
      <w:proofErr w:type="spellEnd"/>
      <w:r w:rsidRPr="000D3917">
        <w:rPr>
          <w:rFonts w:ascii="Times New Roman" w:eastAsia="Times New Roman" w:hAnsi="Times New Roman" w:cs="Times New Roman"/>
          <w:color w:val="2A2A2A"/>
          <w:sz w:val="24"/>
          <w:szCs w:val="24"/>
          <w:lang w:eastAsia="en-GB"/>
        </w:rPr>
        <w:t xml:space="preserve"> (IYC) in </w:t>
      </w:r>
      <w:proofErr w:type="spellStart"/>
      <w:r w:rsidRPr="000D3917">
        <w:rPr>
          <w:rFonts w:ascii="Times New Roman" w:eastAsia="Times New Roman" w:hAnsi="Times New Roman" w:cs="Times New Roman"/>
          <w:color w:val="2A2A2A"/>
          <w:sz w:val="24"/>
          <w:szCs w:val="24"/>
          <w:lang w:eastAsia="en-GB"/>
        </w:rPr>
        <w:t>Peru</w:t>
      </w:r>
      <w:proofErr w:type="spellEnd"/>
      <w:r w:rsidRPr="000D3917">
        <w:rPr>
          <w:rFonts w:ascii="Times New Roman" w:eastAsia="Times New Roman" w:hAnsi="Times New Roman" w:cs="Times New Roman"/>
          <w:color w:val="2A2A2A"/>
          <w:sz w:val="24"/>
          <w:szCs w:val="24"/>
          <w:lang w:eastAsia="en-GB"/>
        </w:rPr>
        <w:t xml:space="preserve">. </w:t>
      </w:r>
    </w:p>
    <w:p w14:paraId="56CE744D" w14:textId="77777777" w:rsidR="00CF65BD" w:rsidRPr="00CF65BD" w:rsidRDefault="00CF65BD" w:rsidP="00FC7E61">
      <w:pPr>
        <w:spacing w:before="120" w:after="120" w:line="240" w:lineRule="auto"/>
        <w:jc w:val="both"/>
        <w:rPr>
          <w:rFonts w:ascii="Times New Roman" w:eastAsia="Calibri" w:hAnsi="Times New Roman" w:cs="Times New Roman"/>
          <w:sz w:val="24"/>
          <w:szCs w:val="24"/>
        </w:rPr>
      </w:pPr>
    </w:p>
    <w:p w14:paraId="0E1B4B7B" w14:textId="77777777" w:rsidR="00FC7E61" w:rsidRPr="00FC7E61" w:rsidRDefault="00FC7E61" w:rsidP="00FC7E61">
      <w:pPr>
        <w:keepNext/>
        <w:keepLines/>
        <w:widowControl w:val="0"/>
        <w:pBdr>
          <w:top w:val="nil"/>
          <w:left w:val="nil"/>
          <w:bottom w:val="nil"/>
          <w:right w:val="nil"/>
          <w:between w:val="nil"/>
        </w:pBdr>
        <w:spacing w:before="240" w:after="240" w:line="320" w:lineRule="atLeast"/>
        <w:jc w:val="both"/>
        <w:outlineLvl w:val="0"/>
        <w:rPr>
          <w:rFonts w:ascii="Times New Roman" w:eastAsia="PT Sans Narrow" w:hAnsi="Times New Roman" w:cs="Times New Roman"/>
          <w:b/>
          <w:color w:val="FF9900"/>
          <w:sz w:val="28"/>
          <w:szCs w:val="28"/>
          <w:lang w:val="en-GB" w:eastAsia="en-GB"/>
        </w:rPr>
      </w:pPr>
      <w:r w:rsidRPr="00FC7E61">
        <w:rPr>
          <w:rFonts w:ascii="Times New Roman" w:eastAsia="PT Sans Narrow" w:hAnsi="Times New Roman" w:cs="Times New Roman"/>
          <w:b/>
          <w:color w:val="FF9900"/>
          <w:sz w:val="28"/>
          <w:szCs w:val="28"/>
          <w:lang w:val="en-GB" w:eastAsia="en-GB"/>
        </w:rPr>
        <w:t>2. AIMS</w:t>
      </w:r>
    </w:p>
    <w:p w14:paraId="482B5FF6" w14:textId="77777777" w:rsidR="00FC7E61" w:rsidRPr="00FC7E61" w:rsidRDefault="00FC7E61" w:rsidP="00FC7E61">
      <w:pPr>
        <w:spacing w:after="0" w:line="240" w:lineRule="auto"/>
        <w:jc w:val="both"/>
        <w:rPr>
          <w:rFonts w:ascii="Times New Roman" w:eastAsia="Calibri" w:hAnsi="Times New Roman" w:cs="Times New Roman"/>
          <w:sz w:val="24"/>
          <w:szCs w:val="24"/>
          <w:lang w:val="en-GB"/>
        </w:rPr>
      </w:pPr>
      <w:r w:rsidRPr="00FC7E61">
        <w:rPr>
          <w:rFonts w:ascii="Times New Roman" w:eastAsia="Calibri" w:hAnsi="Times New Roman" w:cs="Times New Roman"/>
          <w:sz w:val="24"/>
          <w:szCs w:val="24"/>
          <w:lang w:val="en-GB"/>
        </w:rPr>
        <w:t xml:space="preserve">The objectives of this study were: </w:t>
      </w:r>
    </w:p>
    <w:p w14:paraId="723ED3DF" w14:textId="77777777" w:rsidR="003E2F19" w:rsidRPr="003E2F19" w:rsidRDefault="003E2F19" w:rsidP="003E2F19">
      <w:pPr>
        <w:keepNext/>
        <w:keepLines/>
        <w:widowControl w:val="0"/>
        <w:pBdr>
          <w:top w:val="nil"/>
          <w:left w:val="nil"/>
          <w:bottom w:val="nil"/>
          <w:right w:val="nil"/>
          <w:between w:val="nil"/>
        </w:pBdr>
        <w:spacing w:before="240" w:after="240" w:line="240" w:lineRule="auto"/>
        <w:jc w:val="both"/>
        <w:outlineLvl w:val="0"/>
        <w:rPr>
          <w:rFonts w:ascii="Times New Roman" w:eastAsia="Calibri" w:hAnsi="Times New Roman" w:cs="Times New Roman"/>
          <w:sz w:val="24"/>
          <w:szCs w:val="24"/>
          <w:lang w:val="en-GB"/>
        </w:rPr>
      </w:pPr>
      <w:r w:rsidRPr="003E2F19">
        <w:rPr>
          <w:rFonts w:ascii="Times New Roman" w:eastAsia="Calibri" w:hAnsi="Times New Roman" w:cs="Times New Roman"/>
          <w:sz w:val="24"/>
          <w:szCs w:val="24"/>
          <w:lang w:val="en-GB"/>
        </w:rPr>
        <w:t>1. To collate evidence on double-duty actions and the enabling environment (infrastructure support) in Peru to address the DBM, i.e., iron-deficiency anaemia and overweight/obesity in IYC under 2 years.</w:t>
      </w:r>
    </w:p>
    <w:p w14:paraId="6F531655" w14:textId="77777777" w:rsidR="003E2F19" w:rsidRPr="003E2F19" w:rsidRDefault="003E2F19" w:rsidP="003E2F19">
      <w:pPr>
        <w:keepNext/>
        <w:keepLines/>
        <w:widowControl w:val="0"/>
        <w:pBdr>
          <w:top w:val="nil"/>
          <w:left w:val="nil"/>
          <w:bottom w:val="nil"/>
          <w:right w:val="nil"/>
          <w:between w:val="nil"/>
        </w:pBdr>
        <w:spacing w:before="240" w:after="240" w:line="240" w:lineRule="auto"/>
        <w:jc w:val="both"/>
        <w:outlineLvl w:val="0"/>
        <w:rPr>
          <w:rFonts w:ascii="Times New Roman" w:eastAsia="Calibri" w:hAnsi="Times New Roman" w:cs="Times New Roman"/>
          <w:sz w:val="24"/>
          <w:szCs w:val="24"/>
          <w:lang w:val="en-GB"/>
        </w:rPr>
      </w:pPr>
      <w:r w:rsidRPr="003E2F19">
        <w:rPr>
          <w:rFonts w:ascii="Times New Roman" w:eastAsia="Calibri" w:hAnsi="Times New Roman" w:cs="Times New Roman"/>
          <w:sz w:val="24"/>
          <w:szCs w:val="24"/>
          <w:lang w:val="en-GB"/>
        </w:rPr>
        <w:t xml:space="preserve">2. To assess the level of implementation of the identified double-duty actions (interventions /policies) and infrastructure support components. </w:t>
      </w:r>
    </w:p>
    <w:p w14:paraId="12517D7B" w14:textId="77777777" w:rsidR="003E2F19" w:rsidRDefault="003E2F19" w:rsidP="003E2F19">
      <w:pPr>
        <w:keepNext/>
        <w:keepLines/>
        <w:widowControl w:val="0"/>
        <w:pBdr>
          <w:top w:val="nil"/>
          <w:left w:val="nil"/>
          <w:bottom w:val="nil"/>
          <w:right w:val="nil"/>
          <w:between w:val="nil"/>
        </w:pBdr>
        <w:spacing w:before="240" w:after="240" w:line="240" w:lineRule="auto"/>
        <w:jc w:val="both"/>
        <w:outlineLvl w:val="0"/>
        <w:rPr>
          <w:rFonts w:ascii="Times New Roman" w:eastAsia="Calibri" w:hAnsi="Times New Roman" w:cs="Times New Roman"/>
          <w:sz w:val="24"/>
          <w:szCs w:val="24"/>
          <w:lang w:val="en-GB"/>
        </w:rPr>
      </w:pPr>
      <w:r w:rsidRPr="003E2F19">
        <w:rPr>
          <w:rFonts w:ascii="Times New Roman" w:eastAsia="Calibri" w:hAnsi="Times New Roman" w:cs="Times New Roman"/>
          <w:sz w:val="24"/>
          <w:szCs w:val="24"/>
          <w:lang w:val="en-GB"/>
        </w:rPr>
        <w:t>3. To identify and prioritise double-duty actions and infrastructure support components that could be implemented or scaled-up to tackle the DBM in Peru.</w:t>
      </w:r>
    </w:p>
    <w:p w14:paraId="2768AA45" w14:textId="6DAFF4DC" w:rsidR="00FC7E61" w:rsidRPr="00FC7E61" w:rsidRDefault="00FC7E61" w:rsidP="003E2F19">
      <w:pPr>
        <w:keepNext/>
        <w:keepLines/>
        <w:widowControl w:val="0"/>
        <w:pBdr>
          <w:top w:val="nil"/>
          <w:left w:val="nil"/>
          <w:bottom w:val="nil"/>
          <w:right w:val="nil"/>
          <w:between w:val="nil"/>
        </w:pBdr>
        <w:spacing w:before="240" w:after="240" w:line="320" w:lineRule="atLeast"/>
        <w:jc w:val="both"/>
        <w:outlineLvl w:val="0"/>
        <w:rPr>
          <w:rFonts w:ascii="Times New Roman" w:eastAsia="PT Sans Narrow" w:hAnsi="Times New Roman" w:cs="Times New Roman"/>
          <w:b/>
          <w:color w:val="FF9900"/>
          <w:sz w:val="28"/>
          <w:szCs w:val="28"/>
          <w:lang w:val="en-GB" w:eastAsia="en-GB"/>
        </w:rPr>
      </w:pPr>
      <w:r w:rsidRPr="00FC7E61">
        <w:rPr>
          <w:rFonts w:ascii="Times New Roman" w:eastAsia="PT Sans Narrow" w:hAnsi="Times New Roman" w:cs="Times New Roman"/>
          <w:b/>
          <w:color w:val="FF9900"/>
          <w:sz w:val="28"/>
          <w:szCs w:val="28"/>
          <w:lang w:val="en-GB" w:eastAsia="en-GB"/>
        </w:rPr>
        <w:t>Aim of the evidence document</w:t>
      </w:r>
    </w:p>
    <w:p w14:paraId="7558D588" w14:textId="012FD74C" w:rsidR="00FC7E61" w:rsidRPr="00212BC4" w:rsidRDefault="00FC7E61" w:rsidP="00FC7E61">
      <w:pPr>
        <w:spacing w:after="0" w:line="240" w:lineRule="auto"/>
        <w:jc w:val="both"/>
        <w:rPr>
          <w:rFonts w:ascii="Times New Roman" w:eastAsia="Calibri" w:hAnsi="Times New Roman" w:cs="Times New Roman"/>
          <w:sz w:val="24"/>
          <w:szCs w:val="24"/>
          <w:lang w:val="en-GB"/>
        </w:rPr>
      </w:pPr>
      <w:r w:rsidRPr="00212BC4">
        <w:rPr>
          <w:rFonts w:ascii="Times New Roman" w:eastAsia="Calibri" w:hAnsi="Times New Roman" w:cs="Times New Roman"/>
          <w:sz w:val="24"/>
          <w:szCs w:val="24"/>
          <w:lang w:val="en-GB"/>
        </w:rPr>
        <w:t xml:space="preserve">This document aims to identify and compile all double-duty action policies implemented in Peru in the last five years including those implemented </w:t>
      </w:r>
      <w:r w:rsidR="00221BD7" w:rsidRPr="00212BC4">
        <w:rPr>
          <w:rFonts w:ascii="Times New Roman" w:eastAsia="Calibri" w:hAnsi="Times New Roman" w:cs="Times New Roman"/>
          <w:sz w:val="24"/>
          <w:szCs w:val="24"/>
          <w:lang w:val="en-GB"/>
        </w:rPr>
        <w:t>previously</w:t>
      </w:r>
      <w:r w:rsidRPr="00212BC4">
        <w:rPr>
          <w:rFonts w:ascii="Times New Roman" w:eastAsia="Calibri" w:hAnsi="Times New Roman" w:cs="Times New Roman"/>
          <w:sz w:val="24"/>
          <w:szCs w:val="24"/>
          <w:lang w:val="en-GB"/>
        </w:rPr>
        <w:t xml:space="preserve"> but still enforced during this period. The search period was from February to </w:t>
      </w:r>
      <w:r w:rsidR="00212BC4" w:rsidRPr="00212BC4">
        <w:rPr>
          <w:rFonts w:ascii="Times New Roman" w:eastAsia="Calibri" w:hAnsi="Times New Roman" w:cs="Times New Roman"/>
          <w:sz w:val="24"/>
          <w:szCs w:val="24"/>
          <w:lang w:val="en-GB"/>
        </w:rPr>
        <w:t>September</w:t>
      </w:r>
      <w:r w:rsidRPr="00212BC4">
        <w:rPr>
          <w:rFonts w:ascii="Times New Roman" w:eastAsia="Calibri" w:hAnsi="Times New Roman" w:cs="Times New Roman"/>
          <w:sz w:val="24"/>
          <w:szCs w:val="24"/>
          <w:lang w:val="en-GB"/>
        </w:rPr>
        <w:t xml:space="preserve"> 2020.</w:t>
      </w:r>
    </w:p>
    <w:p w14:paraId="6C04B2A5" w14:textId="77777777" w:rsidR="00FC7E61" w:rsidRPr="00FC7E61" w:rsidRDefault="00FC7E61" w:rsidP="00FC7E61">
      <w:pPr>
        <w:keepNext/>
        <w:keepLines/>
        <w:widowControl w:val="0"/>
        <w:pBdr>
          <w:top w:val="nil"/>
          <w:left w:val="nil"/>
          <w:bottom w:val="nil"/>
          <w:right w:val="nil"/>
          <w:between w:val="nil"/>
        </w:pBdr>
        <w:spacing w:before="240" w:after="240" w:line="320" w:lineRule="atLeast"/>
        <w:jc w:val="both"/>
        <w:outlineLvl w:val="0"/>
        <w:rPr>
          <w:rFonts w:ascii="Times New Roman" w:eastAsia="PT Sans Narrow" w:hAnsi="Times New Roman" w:cs="Times New Roman"/>
          <w:b/>
          <w:color w:val="FF9900"/>
          <w:sz w:val="28"/>
          <w:szCs w:val="28"/>
          <w:lang w:val="en-GB" w:eastAsia="en-GB"/>
        </w:rPr>
      </w:pPr>
      <w:r w:rsidRPr="00FC7E61">
        <w:rPr>
          <w:rFonts w:ascii="Times New Roman" w:eastAsia="PT Sans Narrow" w:hAnsi="Times New Roman" w:cs="Times New Roman"/>
          <w:b/>
          <w:color w:val="FF9900"/>
          <w:sz w:val="28"/>
          <w:szCs w:val="28"/>
          <w:lang w:val="en-GB" w:eastAsia="en-GB"/>
        </w:rPr>
        <w:t>3. METHODS</w:t>
      </w:r>
    </w:p>
    <w:p w14:paraId="0B46680B" w14:textId="77777777" w:rsidR="00FC7E61" w:rsidRDefault="00FC7E61" w:rsidP="00FC7E61">
      <w:pPr>
        <w:spacing w:after="0" w:line="240" w:lineRule="auto"/>
        <w:jc w:val="both"/>
        <w:rPr>
          <w:rFonts w:ascii="Times New Roman" w:eastAsia="Calibri" w:hAnsi="Times New Roman" w:cs="Times New Roman"/>
          <w:sz w:val="24"/>
          <w:szCs w:val="24"/>
          <w:lang w:val="en-GB"/>
        </w:rPr>
      </w:pPr>
      <w:r w:rsidRPr="00FC7E61">
        <w:rPr>
          <w:rFonts w:ascii="Times New Roman" w:eastAsia="Calibri" w:hAnsi="Times New Roman" w:cs="Times New Roman"/>
          <w:sz w:val="24"/>
          <w:szCs w:val="24"/>
          <w:lang w:val="en-GB"/>
        </w:rPr>
        <w:t xml:space="preserve">The methodological process of the research was divided into three main stages, which are summarised in </w:t>
      </w:r>
      <w:r w:rsidRPr="00AF274A">
        <w:rPr>
          <w:rFonts w:ascii="Times New Roman" w:eastAsia="Calibri" w:hAnsi="Times New Roman" w:cs="Times New Roman"/>
          <w:b/>
          <w:bCs/>
          <w:sz w:val="24"/>
          <w:szCs w:val="24"/>
          <w:lang w:val="en-GB"/>
        </w:rPr>
        <w:t>Figure 1</w:t>
      </w:r>
      <w:r w:rsidRPr="00FC7E61">
        <w:rPr>
          <w:rFonts w:ascii="Times New Roman" w:eastAsia="Calibri" w:hAnsi="Times New Roman" w:cs="Times New Roman"/>
          <w:sz w:val="24"/>
          <w:szCs w:val="24"/>
          <w:lang w:val="en-GB"/>
        </w:rPr>
        <w:t xml:space="preserve"> and described below.</w:t>
      </w:r>
    </w:p>
    <w:p w14:paraId="67226FE0" w14:textId="77777777" w:rsidR="00E1623B" w:rsidRPr="00FC7E61" w:rsidRDefault="00E1623B" w:rsidP="00FC7E61">
      <w:pPr>
        <w:spacing w:after="0" w:line="240" w:lineRule="auto"/>
        <w:jc w:val="both"/>
        <w:rPr>
          <w:rFonts w:ascii="Times New Roman" w:eastAsia="Calibri" w:hAnsi="Times New Roman" w:cs="Times New Roman"/>
          <w:sz w:val="24"/>
          <w:szCs w:val="24"/>
          <w:lang w:val="en-GB"/>
        </w:rPr>
      </w:pPr>
    </w:p>
    <w:p w14:paraId="7EF3E11B" w14:textId="56439CDB" w:rsidR="00FC7E61" w:rsidRPr="005225CA" w:rsidRDefault="00EC7304" w:rsidP="005225CA">
      <w:pPr>
        <w:keepNext/>
        <w:keepLines/>
        <w:spacing w:before="40" w:after="0" w:line="240" w:lineRule="auto"/>
        <w:outlineLvl w:val="1"/>
        <w:rPr>
          <w:rFonts w:ascii="Times New Roman" w:eastAsia="Calibri" w:hAnsi="Times New Roman" w:cs="Times New Roman"/>
          <w:b/>
          <w:bCs/>
          <w:sz w:val="20"/>
          <w:szCs w:val="20"/>
          <w:lang w:val="en-GB"/>
        </w:rPr>
      </w:pPr>
      <w:r w:rsidRPr="005225CA">
        <w:rPr>
          <w:rFonts w:ascii="Times New Roman" w:eastAsia="Times New Roman" w:hAnsi="Times New Roman" w:cs="Times New Roman"/>
          <w:b/>
          <w:bCs/>
          <w:noProof/>
          <w:color w:val="0099CC"/>
          <w:sz w:val="20"/>
          <w:szCs w:val="20"/>
          <w:lang w:val="en-GB"/>
        </w:rPr>
        <w:lastRenderedPageBreak/>
        <w:drawing>
          <wp:anchor distT="0" distB="0" distL="114300" distR="114300" simplePos="0" relativeHeight="251658245" behindDoc="0" locked="0" layoutInCell="1" allowOverlap="1" wp14:anchorId="78736A41" wp14:editId="7AE5506D">
            <wp:simplePos x="0" y="0"/>
            <wp:positionH relativeFrom="margin">
              <wp:align>left</wp:align>
            </wp:positionH>
            <wp:positionV relativeFrom="paragraph">
              <wp:posOffset>275200</wp:posOffset>
            </wp:positionV>
            <wp:extent cx="6132830" cy="2639695"/>
            <wp:effectExtent l="0" t="0" r="1270" b="8255"/>
            <wp:wrapTopAndBottom/>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32830" cy="2639695"/>
                    </a:xfrm>
                    <a:prstGeom prst="rect">
                      <a:avLst/>
                    </a:prstGeom>
                    <a:noFill/>
                  </pic:spPr>
                </pic:pic>
              </a:graphicData>
            </a:graphic>
            <wp14:sizeRelH relativeFrom="page">
              <wp14:pctWidth>0</wp14:pctWidth>
            </wp14:sizeRelH>
            <wp14:sizeRelV relativeFrom="page">
              <wp14:pctHeight>0</wp14:pctHeight>
            </wp14:sizeRelV>
          </wp:anchor>
        </w:drawing>
      </w:r>
      <w:r w:rsidR="00FC7E61" w:rsidRPr="005225CA">
        <w:rPr>
          <w:rFonts w:ascii="Times New Roman" w:eastAsia="Times New Roman" w:hAnsi="Times New Roman" w:cs="Times New Roman"/>
          <w:b/>
          <w:bCs/>
          <w:color w:val="0099CC"/>
          <w:sz w:val="20"/>
          <w:szCs w:val="20"/>
          <w:lang w:val="en-GB"/>
        </w:rPr>
        <w:t xml:space="preserve">Figure 1. </w:t>
      </w:r>
      <w:r w:rsidR="00E1623B" w:rsidRPr="005225CA">
        <w:rPr>
          <w:rFonts w:ascii="Times New Roman" w:eastAsia="Times New Roman" w:hAnsi="Times New Roman" w:cs="Times New Roman"/>
          <w:b/>
          <w:bCs/>
          <w:color w:val="0099CC"/>
          <w:sz w:val="20"/>
          <w:szCs w:val="20"/>
          <w:lang w:val="en-GB"/>
        </w:rPr>
        <w:t>Process for assessing the implementation and prioritisation of double-duty actions in Peru</w:t>
      </w:r>
    </w:p>
    <w:p w14:paraId="6D0FCCC1" w14:textId="56E625C3" w:rsidR="00FC7E61" w:rsidRPr="00FC7E61" w:rsidRDefault="00FC7E61" w:rsidP="00FC7E61">
      <w:pPr>
        <w:spacing w:after="0" w:line="240" w:lineRule="auto"/>
        <w:jc w:val="both"/>
        <w:rPr>
          <w:rFonts w:ascii="Times New Roman" w:eastAsia="Calibri" w:hAnsi="Times New Roman" w:cs="Times New Roman"/>
          <w:sz w:val="24"/>
          <w:szCs w:val="24"/>
          <w:lang w:val="en-GB"/>
        </w:rPr>
      </w:pPr>
    </w:p>
    <w:p w14:paraId="122F0360" w14:textId="0FB38C40" w:rsidR="00FC7E61" w:rsidRPr="00F42DAC" w:rsidRDefault="00FC7E61" w:rsidP="00FC7E61">
      <w:pPr>
        <w:keepNext/>
        <w:keepLines/>
        <w:spacing w:before="40" w:after="0" w:line="240" w:lineRule="auto"/>
        <w:outlineLvl w:val="1"/>
        <w:rPr>
          <w:rFonts w:ascii="Times New Roman" w:eastAsia="Times New Roman" w:hAnsi="Times New Roman" w:cs="Times New Roman"/>
          <w:b/>
          <w:bCs/>
          <w:color w:val="0099CC"/>
          <w:sz w:val="24"/>
          <w:szCs w:val="24"/>
          <w:lang w:val="en-GB"/>
        </w:rPr>
      </w:pPr>
      <w:r w:rsidRPr="00F42DAC">
        <w:rPr>
          <w:rFonts w:ascii="Times New Roman" w:eastAsia="Times New Roman" w:hAnsi="Times New Roman" w:cs="Times New Roman"/>
          <w:b/>
          <w:bCs/>
          <w:color w:val="0099CC"/>
          <w:sz w:val="24"/>
          <w:szCs w:val="24"/>
          <w:lang w:val="en-GB"/>
        </w:rPr>
        <w:t>Step 1</w:t>
      </w:r>
      <w:r w:rsidR="005225CA" w:rsidRPr="00F42DAC">
        <w:rPr>
          <w:rFonts w:ascii="Times New Roman" w:eastAsia="Times New Roman" w:hAnsi="Times New Roman" w:cs="Times New Roman"/>
          <w:b/>
          <w:bCs/>
          <w:color w:val="0099CC"/>
          <w:sz w:val="24"/>
          <w:szCs w:val="24"/>
          <w:lang w:val="en-GB"/>
        </w:rPr>
        <w:t>. Document and validate</w:t>
      </w:r>
    </w:p>
    <w:p w14:paraId="76182752" w14:textId="77777777" w:rsidR="005225CA" w:rsidRPr="00F42DAC" w:rsidRDefault="005225CA" w:rsidP="00FC7E61">
      <w:pPr>
        <w:keepNext/>
        <w:keepLines/>
        <w:spacing w:before="40" w:after="0" w:line="240" w:lineRule="auto"/>
        <w:outlineLvl w:val="1"/>
        <w:rPr>
          <w:rFonts w:ascii="Times New Roman" w:eastAsia="Times New Roman" w:hAnsi="Times New Roman" w:cs="Times New Roman"/>
          <w:b/>
          <w:bCs/>
          <w:color w:val="0099CC"/>
          <w:sz w:val="24"/>
          <w:szCs w:val="24"/>
          <w:lang w:val="en-GB"/>
        </w:rPr>
      </w:pPr>
    </w:p>
    <w:p w14:paraId="30A125B6" w14:textId="5986034F" w:rsidR="00FC7E61" w:rsidRPr="00F42DAC" w:rsidRDefault="00FC7E61" w:rsidP="00FC7E61">
      <w:pPr>
        <w:spacing w:after="0" w:line="240" w:lineRule="auto"/>
        <w:jc w:val="both"/>
        <w:rPr>
          <w:rFonts w:ascii="Times New Roman" w:eastAsia="Calibri" w:hAnsi="Times New Roman" w:cs="Times New Roman"/>
          <w:b/>
          <w:bCs/>
          <w:sz w:val="24"/>
          <w:szCs w:val="24"/>
          <w:lang w:val="en-GB"/>
        </w:rPr>
      </w:pPr>
      <w:r w:rsidRPr="00F42DAC">
        <w:rPr>
          <w:rFonts w:ascii="Times New Roman" w:eastAsia="Times New Roman" w:hAnsi="Times New Roman" w:cs="Times New Roman"/>
          <w:b/>
          <w:bCs/>
          <w:color w:val="0099CC"/>
          <w:sz w:val="24"/>
          <w:szCs w:val="24"/>
          <w:lang w:val="en-GB"/>
        </w:rPr>
        <w:t>Step 1a: Identify double-duty actions and indicators for good practice that were used as a benchmark.</w:t>
      </w:r>
      <w:r w:rsidRPr="00F42DAC">
        <w:rPr>
          <w:rFonts w:ascii="Times New Roman" w:eastAsia="Calibri" w:hAnsi="Times New Roman" w:cs="Times New Roman"/>
          <w:b/>
          <w:bCs/>
          <w:sz w:val="24"/>
          <w:szCs w:val="24"/>
          <w:lang w:val="en-GB"/>
        </w:rPr>
        <w:t xml:space="preserve">  </w:t>
      </w:r>
    </w:p>
    <w:p w14:paraId="3130748F" w14:textId="1F20D7B6" w:rsidR="00FC7E61" w:rsidRPr="00FC7E61" w:rsidRDefault="00FC7E61" w:rsidP="00FC7E61">
      <w:pPr>
        <w:spacing w:after="0" w:line="240" w:lineRule="auto"/>
        <w:jc w:val="both"/>
        <w:rPr>
          <w:rFonts w:ascii="Times New Roman" w:eastAsia="Calibri" w:hAnsi="Times New Roman" w:cs="Times New Roman"/>
          <w:sz w:val="24"/>
          <w:szCs w:val="24"/>
          <w:lang w:val="en-GB"/>
        </w:rPr>
      </w:pPr>
      <w:r w:rsidRPr="00FC7E61">
        <w:rPr>
          <w:rFonts w:ascii="Times New Roman" w:eastAsia="Calibri" w:hAnsi="Times New Roman" w:cs="Times New Roman"/>
          <w:sz w:val="24"/>
          <w:szCs w:val="24"/>
          <w:lang w:val="en-GB"/>
        </w:rPr>
        <w:t>All five WHO double-duty actions were selected with the school setting adapted to the pre-school setting. A tool to assess these five policies and elements of infrastructure support was designed (Figure 2). We used the same steps as in the Healthy Food Environment Policy Index (Food-EPI), which was developed to measure the extent of implementation of healthy food environment policies for preventing DR-</w:t>
      </w:r>
      <w:proofErr w:type="gramStart"/>
      <w:r w:rsidRPr="00FC7E61">
        <w:rPr>
          <w:rFonts w:ascii="Times New Roman" w:eastAsia="Calibri" w:hAnsi="Times New Roman" w:cs="Times New Roman"/>
          <w:sz w:val="24"/>
          <w:szCs w:val="24"/>
          <w:lang w:val="en-GB"/>
        </w:rPr>
        <w:t>NCDs, but</w:t>
      </w:r>
      <w:proofErr w:type="gramEnd"/>
      <w:r w:rsidRPr="00FC7E61">
        <w:rPr>
          <w:rFonts w:ascii="Times New Roman" w:eastAsia="Calibri" w:hAnsi="Times New Roman" w:cs="Times New Roman"/>
          <w:sz w:val="24"/>
          <w:szCs w:val="24"/>
          <w:lang w:val="en-GB"/>
        </w:rPr>
        <w:t xml:space="preserve"> adapted it for double-duty actions (INFORMAS 2020; </w:t>
      </w:r>
      <w:proofErr w:type="spellStart"/>
      <w:r w:rsidRPr="00FC7E61">
        <w:rPr>
          <w:rFonts w:ascii="Times New Roman" w:eastAsia="Calibri" w:hAnsi="Times New Roman" w:cs="Times New Roman"/>
          <w:color w:val="404040"/>
          <w:sz w:val="24"/>
          <w:szCs w:val="24"/>
          <w:lang w:val="en-US"/>
        </w:rPr>
        <w:t>Vandevijvre</w:t>
      </w:r>
      <w:proofErr w:type="spellEnd"/>
      <w:r w:rsidRPr="00FC7E61">
        <w:rPr>
          <w:rFonts w:ascii="Times New Roman" w:eastAsia="Calibri" w:hAnsi="Times New Roman" w:cs="Times New Roman"/>
          <w:color w:val="404040"/>
          <w:sz w:val="24"/>
          <w:szCs w:val="24"/>
          <w:lang w:val="en-US"/>
        </w:rPr>
        <w:t xml:space="preserve"> et al. 2015</w:t>
      </w:r>
      <w:r w:rsidRPr="00FC7E61">
        <w:rPr>
          <w:rFonts w:ascii="Times New Roman" w:eastAsia="Calibri" w:hAnsi="Times New Roman" w:cs="Times New Roman"/>
          <w:sz w:val="24"/>
          <w:szCs w:val="24"/>
          <w:lang w:val="en-GB"/>
        </w:rPr>
        <w:t xml:space="preserve">). We have used some of the same indicators from the </w:t>
      </w:r>
      <w:r w:rsidRPr="00744EF0">
        <w:rPr>
          <w:rFonts w:ascii="Times New Roman" w:eastAsia="Calibri" w:hAnsi="Times New Roman" w:cs="Times New Roman"/>
          <w:sz w:val="24"/>
          <w:szCs w:val="24"/>
          <w:lang w:val="en-GB"/>
        </w:rPr>
        <w:t>F</w:t>
      </w:r>
      <w:r w:rsidR="007D32AE" w:rsidRPr="00744EF0">
        <w:rPr>
          <w:rFonts w:ascii="Times New Roman" w:eastAsia="Calibri" w:hAnsi="Times New Roman" w:cs="Times New Roman"/>
          <w:sz w:val="24"/>
          <w:szCs w:val="24"/>
          <w:lang w:val="en-GB"/>
        </w:rPr>
        <w:t>ood</w:t>
      </w:r>
      <w:r w:rsidRPr="00744EF0">
        <w:rPr>
          <w:rFonts w:ascii="Times New Roman" w:eastAsia="Calibri" w:hAnsi="Times New Roman" w:cs="Times New Roman"/>
          <w:sz w:val="24"/>
          <w:szCs w:val="24"/>
          <w:lang w:val="en-GB"/>
        </w:rPr>
        <w:t xml:space="preserve">-EPI tool that </w:t>
      </w:r>
      <w:r w:rsidRPr="00FC7E61">
        <w:rPr>
          <w:rFonts w:ascii="Times New Roman" w:eastAsia="Calibri" w:hAnsi="Times New Roman" w:cs="Times New Roman"/>
          <w:sz w:val="24"/>
          <w:szCs w:val="24"/>
          <w:lang w:val="en-GB"/>
        </w:rPr>
        <w:t>are relevant for our outcome (anaemia and overweight/obesity in children). We included 2</w:t>
      </w:r>
      <w:r w:rsidR="00744EF0">
        <w:rPr>
          <w:rFonts w:ascii="Times New Roman" w:eastAsia="Calibri" w:hAnsi="Times New Roman" w:cs="Times New Roman"/>
          <w:sz w:val="24"/>
          <w:szCs w:val="24"/>
          <w:lang w:val="en-GB"/>
        </w:rPr>
        <w:t>7</w:t>
      </w:r>
      <w:r w:rsidRPr="00FC7E61">
        <w:rPr>
          <w:rFonts w:ascii="Times New Roman" w:eastAsia="Calibri" w:hAnsi="Times New Roman" w:cs="Times New Roman"/>
          <w:sz w:val="24"/>
          <w:szCs w:val="24"/>
          <w:lang w:val="en-GB"/>
        </w:rPr>
        <w:t xml:space="preserve"> </w:t>
      </w:r>
      <w:r w:rsidRPr="00FC7E61">
        <w:rPr>
          <w:rFonts w:ascii="Times New Roman" w:eastAsia="Calibri" w:hAnsi="Times New Roman" w:cs="Times New Roman"/>
          <w:sz w:val="24"/>
          <w:szCs w:val="20"/>
          <w:lang w:val="en-GB"/>
        </w:rPr>
        <w:t xml:space="preserve">indicators for the policy component and 20 indicators for the infrastructure support component </w:t>
      </w:r>
      <w:r w:rsidRPr="00FC7E61">
        <w:rPr>
          <w:rFonts w:ascii="Times New Roman" w:eastAsia="Calibri" w:hAnsi="Times New Roman" w:cs="Times New Roman"/>
          <w:sz w:val="24"/>
          <w:szCs w:val="24"/>
          <w:lang w:val="en-GB"/>
        </w:rPr>
        <w:t>(Table 1).</w:t>
      </w:r>
    </w:p>
    <w:p w14:paraId="2AF469B1" w14:textId="078B459A" w:rsidR="00FC7E61" w:rsidRPr="00744EF0" w:rsidRDefault="00FC7E61" w:rsidP="00FC7E61">
      <w:pPr>
        <w:spacing w:before="120" w:after="0" w:line="240" w:lineRule="auto"/>
        <w:jc w:val="both"/>
        <w:rPr>
          <w:rFonts w:ascii="Times New Roman" w:eastAsia="Calibri" w:hAnsi="Times New Roman" w:cs="Times New Roman"/>
          <w:sz w:val="24"/>
          <w:szCs w:val="24"/>
          <w:lang w:val="en-GB"/>
        </w:rPr>
      </w:pPr>
      <w:r w:rsidRPr="00F42DAC">
        <w:rPr>
          <w:rFonts w:ascii="Times New Roman" w:eastAsia="Times New Roman" w:hAnsi="Times New Roman" w:cs="Times New Roman"/>
          <w:b/>
          <w:bCs/>
          <w:color w:val="0099CC"/>
          <w:sz w:val="24"/>
          <w:szCs w:val="24"/>
          <w:lang w:val="en-GB"/>
        </w:rPr>
        <w:t>Step 1b:</w:t>
      </w:r>
      <w:r w:rsidRPr="00744EF0">
        <w:rPr>
          <w:rFonts w:ascii="Times New Roman" w:eastAsia="Calibri" w:hAnsi="Times New Roman" w:cs="Times New Roman"/>
          <w:sz w:val="24"/>
          <w:szCs w:val="24"/>
          <w:lang w:val="en-GB"/>
        </w:rPr>
        <w:t xml:space="preserve"> </w:t>
      </w:r>
      <w:r w:rsidRPr="00F42DAC">
        <w:rPr>
          <w:rFonts w:ascii="Times New Roman" w:eastAsia="Times New Roman" w:hAnsi="Times New Roman" w:cs="Times New Roman"/>
          <w:b/>
          <w:bCs/>
          <w:color w:val="0099CC"/>
          <w:sz w:val="24"/>
          <w:szCs w:val="24"/>
          <w:lang w:val="en-GB"/>
        </w:rPr>
        <w:t>Document and verify the extent of policy implementation in Peru</w:t>
      </w:r>
      <w:r w:rsidRPr="00744EF0">
        <w:rPr>
          <w:rFonts w:ascii="Times New Roman" w:eastAsia="Calibri" w:hAnsi="Times New Roman" w:cs="Times New Roman"/>
          <w:sz w:val="24"/>
          <w:szCs w:val="24"/>
          <w:lang w:val="en-GB"/>
        </w:rPr>
        <w:t xml:space="preserve"> </w:t>
      </w:r>
    </w:p>
    <w:p w14:paraId="7D8779AC" w14:textId="1B7B9D9E" w:rsidR="00FC7E61" w:rsidRDefault="00FC7E61" w:rsidP="00FC7E61">
      <w:pPr>
        <w:spacing w:after="0" w:line="240" w:lineRule="auto"/>
        <w:jc w:val="both"/>
        <w:rPr>
          <w:rFonts w:ascii="Times New Roman" w:eastAsia="Calibri" w:hAnsi="Times New Roman" w:cs="Times New Roman"/>
          <w:sz w:val="24"/>
          <w:szCs w:val="24"/>
          <w:lang w:val="en-GB"/>
        </w:rPr>
      </w:pPr>
      <w:r w:rsidRPr="00744EF0">
        <w:rPr>
          <w:rFonts w:ascii="Times New Roman" w:eastAsia="Calibri" w:hAnsi="Times New Roman" w:cs="Times New Roman"/>
          <w:sz w:val="24"/>
          <w:szCs w:val="24"/>
          <w:lang w:val="en-GB"/>
        </w:rPr>
        <w:t xml:space="preserve">A review of the evidence for current policy activity was conducted to assess the implementation of the selected double-duty actions. It was collated into an evidence document that was shared with the stakeholder group for their </w:t>
      </w:r>
      <w:r w:rsidR="00560350" w:rsidRPr="00744EF0">
        <w:rPr>
          <w:rFonts w:ascii="Times New Roman" w:eastAsia="Calibri" w:hAnsi="Times New Roman" w:cs="Times New Roman"/>
          <w:sz w:val="24"/>
          <w:szCs w:val="24"/>
          <w:lang w:val="en-GB"/>
        </w:rPr>
        <w:t>revision</w:t>
      </w:r>
      <w:r w:rsidRPr="00744EF0">
        <w:rPr>
          <w:rFonts w:ascii="Times New Roman" w:eastAsia="Calibri" w:hAnsi="Times New Roman" w:cs="Times New Roman"/>
          <w:sz w:val="24"/>
          <w:szCs w:val="24"/>
          <w:lang w:val="en-GB"/>
        </w:rPr>
        <w:t>. The group of 16 experts made up of professionals with extensive experience in public health</w:t>
      </w:r>
      <w:r w:rsidR="008356B2" w:rsidRPr="00744EF0">
        <w:rPr>
          <w:rFonts w:ascii="Times New Roman" w:eastAsia="Calibri" w:hAnsi="Times New Roman" w:cs="Times New Roman"/>
          <w:sz w:val="24"/>
          <w:szCs w:val="24"/>
          <w:lang w:val="en-GB"/>
        </w:rPr>
        <w:t xml:space="preserve"> nutrition</w:t>
      </w:r>
      <w:r w:rsidRPr="00744EF0">
        <w:rPr>
          <w:rFonts w:ascii="Times New Roman" w:eastAsia="Calibri" w:hAnsi="Times New Roman" w:cs="Times New Roman"/>
          <w:sz w:val="24"/>
          <w:szCs w:val="24"/>
          <w:lang w:val="en-GB"/>
        </w:rPr>
        <w:t xml:space="preserve"> from government institutions (n=11), NGOs (n=3) and international cooperation agencies (n=2) validated the evidence document, rated the degree of progress in the implementation of the policies and prioritised the current/implemented policies in Peru that have the potential to become double-duty actions to reduce the double burden of malnutrition in infants and young children.</w:t>
      </w:r>
    </w:p>
    <w:p w14:paraId="7C5FFF3E" w14:textId="77777777" w:rsidR="00596836" w:rsidRDefault="00596836" w:rsidP="00FC7E61">
      <w:pPr>
        <w:spacing w:after="0" w:line="240" w:lineRule="auto"/>
        <w:jc w:val="both"/>
        <w:rPr>
          <w:rFonts w:ascii="Times New Roman" w:eastAsia="Calibri" w:hAnsi="Times New Roman" w:cs="Times New Roman"/>
          <w:sz w:val="24"/>
          <w:szCs w:val="24"/>
          <w:lang w:val="en-GB"/>
        </w:rPr>
      </w:pPr>
    </w:p>
    <w:p w14:paraId="023D25BF" w14:textId="77777777" w:rsidR="00596836" w:rsidRDefault="00596836" w:rsidP="00FC7E61">
      <w:pPr>
        <w:spacing w:after="0" w:line="240" w:lineRule="auto"/>
        <w:jc w:val="both"/>
        <w:rPr>
          <w:rFonts w:ascii="Times New Roman" w:eastAsia="Calibri" w:hAnsi="Times New Roman" w:cs="Times New Roman"/>
          <w:sz w:val="24"/>
          <w:szCs w:val="24"/>
          <w:lang w:val="en-GB"/>
        </w:rPr>
      </w:pPr>
    </w:p>
    <w:p w14:paraId="1373CD08" w14:textId="77777777" w:rsidR="00596836" w:rsidRDefault="00596836" w:rsidP="00FC7E61">
      <w:pPr>
        <w:spacing w:after="0" w:line="240" w:lineRule="auto"/>
        <w:jc w:val="both"/>
        <w:rPr>
          <w:rFonts w:ascii="Times New Roman" w:eastAsia="Calibri" w:hAnsi="Times New Roman" w:cs="Times New Roman"/>
          <w:sz w:val="24"/>
          <w:szCs w:val="24"/>
          <w:lang w:val="en-GB"/>
        </w:rPr>
      </w:pPr>
    </w:p>
    <w:p w14:paraId="06326CD5" w14:textId="77777777" w:rsidR="00596836" w:rsidRDefault="00596836" w:rsidP="00FC7E61">
      <w:pPr>
        <w:spacing w:after="0" w:line="240" w:lineRule="auto"/>
        <w:jc w:val="both"/>
        <w:rPr>
          <w:rFonts w:ascii="Times New Roman" w:eastAsia="Calibri" w:hAnsi="Times New Roman" w:cs="Times New Roman"/>
          <w:sz w:val="24"/>
          <w:szCs w:val="24"/>
          <w:lang w:val="en-GB"/>
        </w:rPr>
      </w:pPr>
    </w:p>
    <w:p w14:paraId="060D4D80" w14:textId="77777777" w:rsidR="00596836" w:rsidRDefault="00596836" w:rsidP="00FC7E61">
      <w:pPr>
        <w:spacing w:after="0" w:line="240" w:lineRule="auto"/>
        <w:jc w:val="both"/>
        <w:rPr>
          <w:rFonts w:ascii="Times New Roman" w:eastAsia="Calibri" w:hAnsi="Times New Roman" w:cs="Times New Roman"/>
          <w:sz w:val="24"/>
          <w:szCs w:val="24"/>
          <w:lang w:val="en-GB"/>
        </w:rPr>
      </w:pPr>
    </w:p>
    <w:p w14:paraId="32A1AECC" w14:textId="77777777" w:rsidR="00596836" w:rsidRDefault="00596836" w:rsidP="00FC7E61">
      <w:pPr>
        <w:spacing w:after="0" w:line="240" w:lineRule="auto"/>
        <w:jc w:val="both"/>
        <w:rPr>
          <w:rFonts w:ascii="Times New Roman" w:eastAsia="Calibri" w:hAnsi="Times New Roman" w:cs="Times New Roman"/>
          <w:sz w:val="24"/>
          <w:szCs w:val="24"/>
          <w:lang w:val="en-GB"/>
        </w:rPr>
      </w:pPr>
    </w:p>
    <w:p w14:paraId="56C1A411" w14:textId="77777777" w:rsidR="00596836" w:rsidRDefault="00596836" w:rsidP="00FC7E61">
      <w:pPr>
        <w:spacing w:after="0" w:line="240" w:lineRule="auto"/>
        <w:jc w:val="both"/>
        <w:rPr>
          <w:rFonts w:ascii="Times New Roman" w:eastAsia="Calibri" w:hAnsi="Times New Roman" w:cs="Times New Roman"/>
          <w:sz w:val="24"/>
          <w:szCs w:val="24"/>
          <w:lang w:val="en-GB"/>
        </w:rPr>
      </w:pPr>
    </w:p>
    <w:p w14:paraId="0640F2FA" w14:textId="77777777" w:rsidR="00596836" w:rsidRDefault="00596836" w:rsidP="00FC7E61">
      <w:pPr>
        <w:spacing w:after="0" w:line="240" w:lineRule="auto"/>
        <w:jc w:val="both"/>
        <w:rPr>
          <w:rFonts w:ascii="Times New Roman" w:eastAsia="Calibri" w:hAnsi="Times New Roman" w:cs="Times New Roman"/>
          <w:sz w:val="24"/>
          <w:szCs w:val="24"/>
          <w:lang w:val="en-GB"/>
        </w:rPr>
      </w:pPr>
    </w:p>
    <w:p w14:paraId="15B73CDB" w14:textId="77777777" w:rsidR="00596836" w:rsidRDefault="00596836" w:rsidP="00FC7E61">
      <w:pPr>
        <w:spacing w:after="0" w:line="240" w:lineRule="auto"/>
        <w:jc w:val="both"/>
        <w:rPr>
          <w:rFonts w:ascii="Times New Roman" w:eastAsia="Calibri" w:hAnsi="Times New Roman" w:cs="Times New Roman"/>
          <w:sz w:val="24"/>
          <w:szCs w:val="24"/>
          <w:lang w:val="en-GB"/>
        </w:rPr>
      </w:pPr>
    </w:p>
    <w:p w14:paraId="705A6F31" w14:textId="58689EDD" w:rsidR="004F0586" w:rsidRDefault="004F0586" w:rsidP="00FC7E61">
      <w:pPr>
        <w:spacing w:after="0" w:line="240" w:lineRule="auto"/>
        <w:jc w:val="both"/>
        <w:rPr>
          <w:rFonts w:ascii="Times New Roman" w:eastAsia="Calibri" w:hAnsi="Times New Roman" w:cs="Times New Roman"/>
          <w:sz w:val="24"/>
          <w:szCs w:val="24"/>
          <w:lang w:val="en-GB"/>
        </w:rPr>
      </w:pPr>
    </w:p>
    <w:p w14:paraId="144E60F2" w14:textId="4441DA62" w:rsidR="00FC7E61" w:rsidRPr="00F42DAC" w:rsidRDefault="004F0586" w:rsidP="00F42DAC">
      <w:pPr>
        <w:spacing w:before="120" w:after="0" w:line="240" w:lineRule="auto"/>
        <w:jc w:val="both"/>
        <w:rPr>
          <w:rFonts w:ascii="Times New Roman" w:eastAsia="Times New Roman" w:hAnsi="Times New Roman" w:cs="Times New Roman"/>
          <w:b/>
          <w:bCs/>
          <w:color w:val="0099CC"/>
          <w:sz w:val="24"/>
          <w:szCs w:val="24"/>
          <w:lang w:val="en-GB"/>
        </w:rPr>
      </w:pPr>
      <w:r w:rsidRPr="00F42DAC">
        <w:rPr>
          <w:rFonts w:ascii="Times New Roman" w:eastAsia="Times New Roman" w:hAnsi="Times New Roman" w:cs="Times New Roman"/>
          <w:b/>
          <w:bCs/>
          <w:color w:val="0099CC"/>
          <w:sz w:val="24"/>
          <w:szCs w:val="24"/>
          <w:lang w:val="en-GB"/>
        </w:rPr>
        <w:lastRenderedPageBreak/>
        <w:t xml:space="preserve">Figure 2. </w:t>
      </w:r>
      <w:r w:rsidR="00F00E33" w:rsidRPr="00F00E33">
        <w:rPr>
          <w:rFonts w:ascii="Times New Roman" w:eastAsia="Times New Roman" w:hAnsi="Times New Roman" w:cs="Times New Roman"/>
          <w:b/>
          <w:bCs/>
          <w:color w:val="0099CC"/>
          <w:sz w:val="24"/>
          <w:szCs w:val="24"/>
          <w:lang w:val="en-GB"/>
        </w:rPr>
        <w:t>Components and indicators of the double-duty policy tool used</w:t>
      </w:r>
    </w:p>
    <w:p w14:paraId="0ECC60E7" w14:textId="77777777" w:rsidR="00B65E1A" w:rsidRPr="003E7E7F" w:rsidRDefault="00B65E1A" w:rsidP="00F42DAC">
      <w:pPr>
        <w:spacing w:after="0" w:line="240" w:lineRule="auto"/>
        <w:rPr>
          <w:noProof/>
          <w:lang w:val="en-US"/>
        </w:rPr>
      </w:pPr>
    </w:p>
    <w:p w14:paraId="6572AA3D" w14:textId="20B304D0" w:rsidR="007D4453" w:rsidRDefault="00B65E1A" w:rsidP="00FC7E61">
      <w:pPr>
        <w:spacing w:after="0" w:line="240" w:lineRule="auto"/>
        <w:jc w:val="center"/>
        <w:rPr>
          <w:rFonts w:ascii="Times New Roman" w:eastAsia="Calibri" w:hAnsi="Times New Roman" w:cs="Times New Roman"/>
          <w:noProof/>
          <w:sz w:val="24"/>
          <w:szCs w:val="24"/>
          <w:lang w:val="en-GB"/>
        </w:rPr>
      </w:pPr>
      <w:r>
        <w:rPr>
          <w:noProof/>
        </w:rPr>
        <w:drawing>
          <wp:inline distT="0" distB="0" distL="0" distR="0" wp14:anchorId="707D00E6" wp14:editId="43E95E4F">
            <wp:extent cx="6028440" cy="3373120"/>
            <wp:effectExtent l="0" t="0" r="0" b="0"/>
            <wp:docPr id="1" name="Imagen 1" descr="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nterfaz de usuario gráfica&#10;&#10;Descripción generada automáticamente"/>
                    <pic:cNvPicPr/>
                  </pic:nvPicPr>
                  <pic:blipFill rotWithShape="1">
                    <a:blip r:embed="rId15"/>
                    <a:srcRect l="19627" t="31887" r="19506" b="17143"/>
                    <a:stretch/>
                  </pic:blipFill>
                  <pic:spPr bwMode="auto">
                    <a:xfrm>
                      <a:off x="0" y="0"/>
                      <a:ext cx="6092503" cy="3408966"/>
                    </a:xfrm>
                    <a:prstGeom prst="rect">
                      <a:avLst/>
                    </a:prstGeom>
                    <a:ln>
                      <a:noFill/>
                    </a:ln>
                    <a:extLst>
                      <a:ext uri="{53640926-AAD7-44D8-BBD7-CCE9431645EC}">
                        <a14:shadowObscured xmlns:a14="http://schemas.microsoft.com/office/drawing/2010/main"/>
                      </a:ext>
                    </a:extLst>
                  </pic:spPr>
                </pic:pic>
              </a:graphicData>
            </a:graphic>
          </wp:inline>
        </w:drawing>
      </w:r>
    </w:p>
    <w:p w14:paraId="6E115B54" w14:textId="32602A8C" w:rsidR="000A44BD" w:rsidRPr="00FC7E61" w:rsidRDefault="000A44BD" w:rsidP="00FC7E61">
      <w:pPr>
        <w:spacing w:after="0" w:line="240" w:lineRule="auto"/>
        <w:jc w:val="center"/>
        <w:rPr>
          <w:rFonts w:ascii="Times New Roman" w:eastAsia="Calibri" w:hAnsi="Times New Roman" w:cs="Times New Roman"/>
          <w:sz w:val="24"/>
          <w:szCs w:val="24"/>
          <w:lang w:val="en-GB"/>
        </w:rPr>
      </w:pPr>
    </w:p>
    <w:p w14:paraId="312F2F86" w14:textId="77777777" w:rsidR="00FC7E61" w:rsidRPr="00F42DAC" w:rsidRDefault="00FC7E61" w:rsidP="00F42DAC">
      <w:pPr>
        <w:spacing w:before="120" w:after="0" w:line="240" w:lineRule="auto"/>
        <w:jc w:val="both"/>
        <w:rPr>
          <w:rFonts w:ascii="Times New Roman" w:eastAsia="Times New Roman" w:hAnsi="Times New Roman" w:cs="Times New Roman"/>
          <w:b/>
          <w:bCs/>
          <w:color w:val="0099CC"/>
          <w:sz w:val="24"/>
          <w:szCs w:val="24"/>
          <w:lang w:val="en-GB"/>
        </w:rPr>
      </w:pPr>
      <w:r w:rsidRPr="00F42DAC">
        <w:rPr>
          <w:rFonts w:ascii="Times New Roman" w:eastAsia="Times New Roman" w:hAnsi="Times New Roman" w:cs="Times New Roman"/>
          <w:b/>
          <w:bCs/>
          <w:color w:val="0099CC"/>
          <w:sz w:val="24"/>
          <w:szCs w:val="24"/>
          <w:lang w:val="en-GB"/>
        </w:rPr>
        <w:t xml:space="preserve">Step 2: Assess the extent of government action </w:t>
      </w:r>
    </w:p>
    <w:p w14:paraId="5D2A487F" w14:textId="550B814D" w:rsidR="00FC7E61" w:rsidRDefault="003E2F19" w:rsidP="003E2F19">
      <w:pPr>
        <w:keepNext/>
        <w:keepLines/>
        <w:spacing w:before="40" w:after="0" w:line="240" w:lineRule="auto"/>
        <w:jc w:val="both"/>
        <w:outlineLvl w:val="1"/>
        <w:rPr>
          <w:rFonts w:ascii="Times New Roman" w:eastAsia="Calibri" w:hAnsi="Times New Roman" w:cs="Times New Roman"/>
          <w:sz w:val="24"/>
          <w:szCs w:val="24"/>
          <w:lang w:val="en-GB"/>
        </w:rPr>
      </w:pPr>
      <w:r w:rsidRPr="003E2F19">
        <w:rPr>
          <w:rFonts w:ascii="Times New Roman" w:eastAsia="Calibri" w:hAnsi="Times New Roman" w:cs="Times New Roman"/>
          <w:sz w:val="24"/>
          <w:szCs w:val="24"/>
          <w:lang w:val="en-GB"/>
        </w:rPr>
        <w:t>The stakeholders rated the extent of government implementation in relation to the four phases of the policy implementation cycle: Agenda setting; Formulation; Implementation; Evaluation. This evaluation process took place between October and December 2020.</w:t>
      </w:r>
    </w:p>
    <w:p w14:paraId="47EF443C" w14:textId="77777777" w:rsidR="00596836" w:rsidRPr="00FC7E61" w:rsidRDefault="00596836" w:rsidP="003E2F19">
      <w:pPr>
        <w:keepNext/>
        <w:keepLines/>
        <w:spacing w:before="40" w:after="0" w:line="240" w:lineRule="auto"/>
        <w:jc w:val="both"/>
        <w:outlineLvl w:val="1"/>
        <w:rPr>
          <w:rFonts w:ascii="Times New Roman" w:eastAsia="Times New Roman" w:hAnsi="Times New Roman" w:cs="Times New Roman"/>
          <w:b/>
          <w:color w:val="2F5496"/>
          <w:sz w:val="24"/>
          <w:szCs w:val="26"/>
          <w:lang w:val="en-GB"/>
        </w:rPr>
      </w:pPr>
    </w:p>
    <w:p w14:paraId="3A2C1F1B" w14:textId="77777777" w:rsidR="00FC7E61" w:rsidRPr="003E2F19" w:rsidRDefault="00FC7E61" w:rsidP="00FC7E61">
      <w:pPr>
        <w:keepNext/>
        <w:keepLines/>
        <w:spacing w:before="40" w:after="0" w:line="240" w:lineRule="auto"/>
        <w:outlineLvl w:val="1"/>
        <w:rPr>
          <w:rFonts w:ascii="Times New Roman" w:eastAsia="Times New Roman" w:hAnsi="Times New Roman" w:cs="Times New Roman"/>
          <w:b/>
          <w:bCs/>
          <w:color w:val="0099CC"/>
          <w:sz w:val="24"/>
          <w:szCs w:val="24"/>
          <w:lang w:val="en-GB"/>
        </w:rPr>
      </w:pPr>
      <w:r w:rsidRPr="003E2F19">
        <w:rPr>
          <w:rFonts w:ascii="Times New Roman" w:eastAsia="Times New Roman" w:hAnsi="Times New Roman" w:cs="Times New Roman"/>
          <w:b/>
          <w:bCs/>
          <w:color w:val="0099CC"/>
          <w:sz w:val="24"/>
          <w:szCs w:val="24"/>
          <w:lang w:val="en-GB"/>
        </w:rPr>
        <w:t>Step 3:  Identify and prioritise</w:t>
      </w:r>
    </w:p>
    <w:p w14:paraId="49B22906" w14:textId="2FAFF6F3" w:rsidR="00FC7E61" w:rsidRPr="00FC7E61" w:rsidRDefault="003E2F19" w:rsidP="00FC7E61">
      <w:pPr>
        <w:spacing w:after="120" w:line="240" w:lineRule="auto"/>
        <w:jc w:val="both"/>
        <w:rPr>
          <w:rFonts w:ascii="Times New Roman" w:eastAsia="Calibri" w:hAnsi="Times New Roman" w:cs="Times New Roman"/>
          <w:sz w:val="24"/>
          <w:szCs w:val="24"/>
          <w:lang w:val="en"/>
        </w:rPr>
      </w:pPr>
      <w:r w:rsidRPr="003E2F19">
        <w:rPr>
          <w:rFonts w:ascii="Times New Roman" w:eastAsia="Calibri" w:hAnsi="Times New Roman" w:cs="Times New Roman"/>
          <w:sz w:val="24"/>
          <w:szCs w:val="24"/>
          <w:lang w:val="en"/>
        </w:rPr>
        <w:t xml:space="preserve">Step 3 was carried out through consultation with the 16 experts. They were asked to </w:t>
      </w:r>
      <w:proofErr w:type="spellStart"/>
      <w:r w:rsidRPr="003E2F19">
        <w:rPr>
          <w:rFonts w:ascii="Times New Roman" w:eastAsia="Calibri" w:hAnsi="Times New Roman" w:cs="Times New Roman"/>
          <w:sz w:val="24"/>
          <w:szCs w:val="24"/>
          <w:lang w:val="en"/>
        </w:rPr>
        <w:t>prioritise</w:t>
      </w:r>
      <w:proofErr w:type="spellEnd"/>
      <w:r w:rsidRPr="003E2F19">
        <w:rPr>
          <w:rFonts w:ascii="Times New Roman" w:eastAsia="Calibri" w:hAnsi="Times New Roman" w:cs="Times New Roman"/>
          <w:sz w:val="24"/>
          <w:szCs w:val="24"/>
          <w:lang w:val="en"/>
        </w:rPr>
        <w:t xml:space="preserve"> on a scale of 1 to 5 (where 1=very low, 2=low, 3=medium, 4=high and 5=very high) each of the indicators for double-duty policy actions and infrastructure support. For this </w:t>
      </w:r>
      <w:proofErr w:type="spellStart"/>
      <w:r w:rsidRPr="003E2F19">
        <w:rPr>
          <w:rFonts w:ascii="Times New Roman" w:eastAsia="Calibri" w:hAnsi="Times New Roman" w:cs="Times New Roman"/>
          <w:sz w:val="24"/>
          <w:szCs w:val="24"/>
          <w:lang w:val="en"/>
        </w:rPr>
        <w:t>prioritisation</w:t>
      </w:r>
      <w:proofErr w:type="spellEnd"/>
      <w:r w:rsidRPr="003E2F19">
        <w:rPr>
          <w:rFonts w:ascii="Times New Roman" w:eastAsia="Calibri" w:hAnsi="Times New Roman" w:cs="Times New Roman"/>
          <w:sz w:val="24"/>
          <w:szCs w:val="24"/>
          <w:lang w:val="en"/>
        </w:rPr>
        <w:t xml:space="preserve"> exercise, two criteria were used: impact (i.e., the extent of the expected impact of the action, including the likely effectiveness in reducing the DBM in IYC and other benefits) and feasibility (i.e., the ease with which the action can be carried out, accounting for political, </w:t>
      </w:r>
      <w:proofErr w:type="gramStart"/>
      <w:r w:rsidRPr="003E2F19">
        <w:rPr>
          <w:rFonts w:ascii="Times New Roman" w:eastAsia="Calibri" w:hAnsi="Times New Roman" w:cs="Times New Roman"/>
          <w:sz w:val="24"/>
          <w:szCs w:val="24"/>
          <w:lang w:val="en"/>
        </w:rPr>
        <w:t>budgetary</w:t>
      </w:r>
      <w:proofErr w:type="gramEnd"/>
      <w:r w:rsidRPr="003E2F19">
        <w:rPr>
          <w:rFonts w:ascii="Times New Roman" w:eastAsia="Calibri" w:hAnsi="Times New Roman" w:cs="Times New Roman"/>
          <w:sz w:val="24"/>
          <w:szCs w:val="24"/>
          <w:lang w:val="en"/>
        </w:rPr>
        <w:t xml:space="preserve"> and social realities). This stage was carried out between March and June 2021</w:t>
      </w:r>
      <w:r w:rsidR="00FC7E61" w:rsidRPr="00FC7E61">
        <w:rPr>
          <w:rFonts w:ascii="Times New Roman" w:eastAsia="Calibri" w:hAnsi="Times New Roman" w:cs="Times New Roman"/>
          <w:sz w:val="24"/>
          <w:szCs w:val="24"/>
          <w:lang w:val="en"/>
        </w:rPr>
        <w:t>.</w:t>
      </w:r>
    </w:p>
    <w:p w14:paraId="52DC9954" w14:textId="77777777" w:rsidR="00FC7E61" w:rsidRPr="00FC7E61" w:rsidRDefault="00FC7E61" w:rsidP="00FC7E61">
      <w:pPr>
        <w:tabs>
          <w:tab w:val="num" w:pos="720"/>
        </w:tabs>
        <w:spacing w:after="0" w:line="240" w:lineRule="auto"/>
        <w:jc w:val="center"/>
        <w:rPr>
          <w:rFonts w:ascii="Times New Roman" w:eastAsia="Calibri" w:hAnsi="Times New Roman" w:cs="Times New Roman"/>
          <w:sz w:val="24"/>
          <w:szCs w:val="24"/>
          <w:lang w:val="en-GB"/>
        </w:rPr>
      </w:pPr>
      <w:r w:rsidRPr="00FC7E61" w:rsidDel="006117D5">
        <w:rPr>
          <w:rFonts w:ascii="Calibri" w:eastAsia="Calibri" w:hAnsi="Calibri" w:cs="Times New Roman"/>
          <w:noProof/>
          <w:sz w:val="24"/>
          <w:szCs w:val="24"/>
          <w:lang w:val="en-GB" w:eastAsia="en-GB"/>
        </w:rPr>
        <w:t xml:space="preserve"> </w:t>
      </w:r>
    </w:p>
    <w:p w14:paraId="73F316A9" w14:textId="77777777" w:rsidR="00FC7E61" w:rsidRPr="00FC7E61" w:rsidRDefault="00FC7E61" w:rsidP="00FC7E61">
      <w:pPr>
        <w:keepNext/>
        <w:keepLines/>
        <w:widowControl w:val="0"/>
        <w:pBdr>
          <w:top w:val="nil"/>
          <w:left w:val="nil"/>
          <w:bottom w:val="nil"/>
          <w:right w:val="nil"/>
          <w:between w:val="nil"/>
        </w:pBdr>
        <w:spacing w:before="240" w:after="240" w:line="320" w:lineRule="atLeast"/>
        <w:jc w:val="both"/>
        <w:outlineLvl w:val="0"/>
        <w:rPr>
          <w:rFonts w:ascii="Times New Roman" w:eastAsia="PT Sans Narrow" w:hAnsi="Times New Roman" w:cs="Times New Roman"/>
          <w:b/>
          <w:color w:val="FF9900"/>
          <w:sz w:val="28"/>
          <w:szCs w:val="28"/>
          <w:lang w:val="en-GB" w:eastAsia="en-GB"/>
        </w:rPr>
      </w:pPr>
      <w:r w:rsidRPr="00FC7E61">
        <w:rPr>
          <w:rFonts w:ascii="Times New Roman" w:eastAsia="PT Sans Narrow" w:hAnsi="Times New Roman" w:cs="Times New Roman"/>
          <w:b/>
          <w:color w:val="FF9900"/>
          <w:sz w:val="28"/>
          <w:szCs w:val="28"/>
          <w:lang w:val="en-GB" w:eastAsia="en-GB"/>
        </w:rPr>
        <w:t>4. RESULTS - EVIDENCE SUMMARY DOCUMENT</w:t>
      </w:r>
    </w:p>
    <w:p w14:paraId="4FB947DB" w14:textId="5DDD9F31" w:rsidR="00FC7E61" w:rsidRPr="00531214" w:rsidRDefault="00FC7E61" w:rsidP="00FC7E61">
      <w:pPr>
        <w:spacing w:after="0" w:line="240" w:lineRule="auto"/>
        <w:jc w:val="both"/>
        <w:rPr>
          <w:rFonts w:ascii="Times New Roman" w:eastAsia="Calibri" w:hAnsi="Times New Roman" w:cs="Times New Roman"/>
          <w:sz w:val="24"/>
          <w:szCs w:val="24"/>
          <w:lang w:val="en-GB"/>
        </w:rPr>
      </w:pPr>
      <w:r w:rsidRPr="00531214">
        <w:rPr>
          <w:rFonts w:ascii="Times New Roman" w:eastAsia="Calibri" w:hAnsi="Times New Roman" w:cs="Times New Roman"/>
          <w:sz w:val="24"/>
          <w:szCs w:val="20"/>
          <w:lang w:val="en-GB"/>
        </w:rPr>
        <w:t>This summary</w:t>
      </w:r>
      <w:r w:rsidR="00CC207C" w:rsidRPr="00531214">
        <w:rPr>
          <w:rFonts w:ascii="Times New Roman" w:eastAsia="Calibri" w:hAnsi="Times New Roman" w:cs="Times New Roman"/>
          <w:sz w:val="24"/>
          <w:szCs w:val="20"/>
          <w:lang w:val="en-GB"/>
        </w:rPr>
        <w:t xml:space="preserve"> evidence</w:t>
      </w:r>
      <w:r w:rsidRPr="00531214">
        <w:rPr>
          <w:rFonts w:ascii="Times New Roman" w:eastAsia="Calibri" w:hAnsi="Times New Roman" w:cs="Times New Roman"/>
          <w:sz w:val="24"/>
          <w:szCs w:val="20"/>
          <w:lang w:val="en-GB"/>
        </w:rPr>
        <w:t xml:space="preserve"> document synthesises all the evidence found for the implementation of government actions for each of the 4</w:t>
      </w:r>
      <w:r w:rsidR="00F00E33" w:rsidRPr="00531214">
        <w:rPr>
          <w:rFonts w:ascii="Times New Roman" w:eastAsia="Calibri" w:hAnsi="Times New Roman" w:cs="Times New Roman"/>
          <w:sz w:val="24"/>
          <w:szCs w:val="20"/>
          <w:lang w:val="en-GB"/>
        </w:rPr>
        <w:t>7</w:t>
      </w:r>
      <w:r w:rsidRPr="00531214">
        <w:rPr>
          <w:rFonts w:ascii="Times New Roman" w:eastAsia="Calibri" w:hAnsi="Times New Roman" w:cs="Times New Roman"/>
          <w:sz w:val="24"/>
          <w:szCs w:val="20"/>
          <w:lang w:val="en-GB"/>
        </w:rPr>
        <w:t xml:space="preserve"> indicators set out in the constructed tool</w:t>
      </w:r>
      <w:bookmarkStart w:id="6" w:name="_Hlk79709528"/>
      <w:r w:rsidRPr="00531214">
        <w:rPr>
          <w:rFonts w:ascii="Times New Roman" w:eastAsia="Calibri" w:hAnsi="Times New Roman" w:cs="Times New Roman"/>
          <w:sz w:val="24"/>
          <w:szCs w:val="20"/>
          <w:lang w:val="en-GB"/>
        </w:rPr>
        <w:t xml:space="preserve"> </w:t>
      </w:r>
      <w:r w:rsidRPr="00AA06ED">
        <w:rPr>
          <w:rFonts w:ascii="Times New Roman" w:eastAsia="Calibri" w:hAnsi="Times New Roman" w:cs="Times New Roman"/>
          <w:b/>
          <w:bCs/>
          <w:sz w:val="24"/>
          <w:szCs w:val="20"/>
          <w:lang w:val="en-GB"/>
        </w:rPr>
        <w:t>(Table 1)</w:t>
      </w:r>
      <w:bookmarkEnd w:id="6"/>
      <w:r w:rsidRPr="00531214">
        <w:rPr>
          <w:rFonts w:ascii="Times New Roman" w:eastAsia="Calibri" w:hAnsi="Times New Roman" w:cs="Times New Roman"/>
          <w:sz w:val="24"/>
          <w:szCs w:val="20"/>
          <w:lang w:val="en-GB"/>
        </w:rPr>
        <w:t xml:space="preserve">. </w:t>
      </w:r>
      <w:r w:rsidRPr="00531214">
        <w:rPr>
          <w:rFonts w:ascii="Times New Roman" w:eastAsia="Calibri" w:hAnsi="Times New Roman" w:cs="Times New Roman"/>
          <w:sz w:val="24"/>
          <w:szCs w:val="24"/>
          <w:lang w:val="en-GB"/>
        </w:rPr>
        <w:t xml:space="preserve">Overall, 164 documents providing evidence were included, which also captured documents that were launched more than five years ago but were still </w:t>
      </w:r>
      <w:r w:rsidR="00285F62" w:rsidRPr="00531214">
        <w:rPr>
          <w:rFonts w:ascii="Times New Roman" w:eastAsia="Calibri" w:hAnsi="Times New Roman" w:cs="Times New Roman"/>
          <w:sz w:val="24"/>
          <w:szCs w:val="24"/>
          <w:lang w:val="en-GB"/>
        </w:rPr>
        <w:t>in force</w:t>
      </w:r>
      <w:r w:rsidRPr="00531214">
        <w:rPr>
          <w:rFonts w:ascii="Times New Roman" w:eastAsia="Calibri" w:hAnsi="Times New Roman" w:cs="Times New Roman"/>
          <w:sz w:val="24"/>
          <w:szCs w:val="24"/>
          <w:lang w:val="en-GB"/>
        </w:rPr>
        <w:t xml:space="preserve">. This summary evidence document was validated by the 16 experts outlined in step 1 above. The validation process was </w:t>
      </w:r>
      <w:r w:rsidR="00C250E4" w:rsidRPr="00531214">
        <w:rPr>
          <w:rFonts w:ascii="Times New Roman" w:eastAsia="Calibri" w:hAnsi="Times New Roman" w:cs="Times New Roman"/>
          <w:sz w:val="24"/>
          <w:szCs w:val="24"/>
          <w:lang w:val="en-GB"/>
        </w:rPr>
        <w:t>conducted</w:t>
      </w:r>
      <w:r w:rsidRPr="00531214">
        <w:rPr>
          <w:rFonts w:ascii="Times New Roman" w:eastAsia="Calibri" w:hAnsi="Times New Roman" w:cs="Times New Roman"/>
          <w:sz w:val="24"/>
          <w:szCs w:val="24"/>
          <w:lang w:val="en-GB"/>
        </w:rPr>
        <w:t xml:space="preserve"> </w:t>
      </w:r>
      <w:r w:rsidR="00C250E4" w:rsidRPr="00531214">
        <w:rPr>
          <w:rFonts w:ascii="Times New Roman" w:eastAsia="Calibri" w:hAnsi="Times New Roman" w:cs="Times New Roman"/>
          <w:sz w:val="24"/>
          <w:szCs w:val="24"/>
          <w:lang w:val="en-GB"/>
        </w:rPr>
        <w:t>between</w:t>
      </w:r>
      <w:r w:rsidRPr="00531214">
        <w:rPr>
          <w:rFonts w:ascii="Times New Roman" w:eastAsia="Calibri" w:hAnsi="Times New Roman" w:cs="Times New Roman"/>
          <w:sz w:val="24"/>
          <w:szCs w:val="24"/>
          <w:lang w:val="en-GB"/>
        </w:rPr>
        <w:t xml:space="preserve"> November 2020 </w:t>
      </w:r>
      <w:r w:rsidR="00580440" w:rsidRPr="00531214">
        <w:rPr>
          <w:rFonts w:ascii="Times New Roman" w:eastAsia="Calibri" w:hAnsi="Times New Roman" w:cs="Times New Roman"/>
          <w:sz w:val="24"/>
          <w:szCs w:val="24"/>
          <w:lang w:val="en-GB"/>
        </w:rPr>
        <w:t>and</w:t>
      </w:r>
      <w:r w:rsidRPr="00531214">
        <w:rPr>
          <w:rFonts w:ascii="Times New Roman" w:eastAsia="Calibri" w:hAnsi="Times New Roman" w:cs="Times New Roman"/>
          <w:sz w:val="24"/>
          <w:szCs w:val="24"/>
          <w:lang w:val="en-GB"/>
        </w:rPr>
        <w:t xml:space="preserve"> January 2021. This summary</w:t>
      </w:r>
      <w:r w:rsidR="007A0058" w:rsidRPr="00531214">
        <w:rPr>
          <w:rFonts w:ascii="Times New Roman" w:eastAsia="Calibri" w:hAnsi="Times New Roman" w:cs="Times New Roman"/>
          <w:sz w:val="24"/>
          <w:szCs w:val="24"/>
          <w:lang w:val="en-GB"/>
        </w:rPr>
        <w:t xml:space="preserve"> evidence</w:t>
      </w:r>
      <w:r w:rsidRPr="00531214">
        <w:rPr>
          <w:rFonts w:ascii="Times New Roman" w:eastAsia="Calibri" w:hAnsi="Times New Roman" w:cs="Times New Roman"/>
          <w:sz w:val="24"/>
          <w:szCs w:val="24"/>
          <w:lang w:val="en-GB"/>
        </w:rPr>
        <w:t xml:space="preserve"> contains the changes suggested b</w:t>
      </w:r>
      <w:proofErr w:type="spellStart"/>
      <w:r w:rsidRPr="00531214">
        <w:rPr>
          <w:rFonts w:ascii="Times New Roman" w:eastAsia="Calibri" w:hAnsi="Times New Roman" w:cs="Times New Roman"/>
          <w:sz w:val="24"/>
          <w:szCs w:val="24"/>
          <w:lang w:val="en-US"/>
        </w:rPr>
        <w:t>y</w:t>
      </w:r>
      <w:proofErr w:type="spellEnd"/>
      <w:r w:rsidRPr="00531214">
        <w:rPr>
          <w:rFonts w:ascii="Times New Roman" w:eastAsia="Calibri" w:hAnsi="Times New Roman" w:cs="Times New Roman"/>
          <w:sz w:val="24"/>
          <w:szCs w:val="24"/>
          <w:lang w:val="en-US"/>
        </w:rPr>
        <w:t xml:space="preserve"> the </w:t>
      </w:r>
      <w:r w:rsidRPr="00531214">
        <w:rPr>
          <w:rFonts w:ascii="Times New Roman" w:eastAsia="Calibri" w:hAnsi="Times New Roman" w:cs="Times New Roman"/>
          <w:sz w:val="24"/>
          <w:szCs w:val="24"/>
          <w:lang w:val="en-GB"/>
        </w:rPr>
        <w:t xml:space="preserve">experts during the validation process to 22 policy indicators and seven infrastructure support indicators. The suggestions received focused </w:t>
      </w:r>
      <w:r w:rsidR="004548DD" w:rsidRPr="00531214">
        <w:rPr>
          <w:rFonts w:ascii="Times New Roman" w:eastAsia="Calibri" w:hAnsi="Times New Roman" w:cs="Times New Roman"/>
          <w:sz w:val="24"/>
          <w:szCs w:val="24"/>
          <w:lang w:val="en-GB"/>
        </w:rPr>
        <w:t>on</w:t>
      </w:r>
      <w:r w:rsidRPr="00531214">
        <w:rPr>
          <w:rFonts w:ascii="Times New Roman" w:eastAsia="Calibri" w:hAnsi="Times New Roman" w:cs="Times New Roman"/>
          <w:sz w:val="24"/>
          <w:szCs w:val="24"/>
          <w:lang w:val="en-GB"/>
        </w:rPr>
        <w:t xml:space="preserve"> identifying additional evidence, adding further detail </w:t>
      </w:r>
      <w:r w:rsidRPr="00531214">
        <w:rPr>
          <w:rFonts w:ascii="Times New Roman" w:eastAsia="Calibri" w:hAnsi="Times New Roman" w:cs="Times New Roman"/>
          <w:sz w:val="24"/>
          <w:szCs w:val="24"/>
          <w:lang w:val="en-GB"/>
        </w:rPr>
        <w:lastRenderedPageBreak/>
        <w:t>about some of the evidence provided, as well as removing some evidence that was not considered relevant.</w:t>
      </w:r>
    </w:p>
    <w:p w14:paraId="12067D25" w14:textId="77777777" w:rsidR="00FC7E61" w:rsidRPr="00FC7E61" w:rsidRDefault="00FC7E61" w:rsidP="00FC7E61">
      <w:pPr>
        <w:spacing w:after="0" w:line="240" w:lineRule="auto"/>
        <w:jc w:val="both"/>
        <w:rPr>
          <w:rFonts w:ascii="Times New Roman" w:eastAsia="Calibri" w:hAnsi="Times New Roman" w:cs="Times New Roman"/>
          <w:sz w:val="24"/>
          <w:szCs w:val="24"/>
          <w:lang w:val="en-GB"/>
        </w:rPr>
      </w:pPr>
    </w:p>
    <w:p w14:paraId="1DFBAD17" w14:textId="76BF8D0C" w:rsidR="00FC7E61" w:rsidRPr="00531214" w:rsidRDefault="00FC7E61" w:rsidP="00531214">
      <w:pPr>
        <w:spacing w:before="120" w:after="0" w:line="240" w:lineRule="auto"/>
        <w:jc w:val="both"/>
        <w:rPr>
          <w:rFonts w:ascii="Times New Roman" w:eastAsia="Times New Roman" w:hAnsi="Times New Roman" w:cs="Times New Roman"/>
          <w:b/>
          <w:bCs/>
          <w:color w:val="0099CC"/>
          <w:sz w:val="24"/>
          <w:szCs w:val="24"/>
          <w:lang w:val="en-GB"/>
        </w:rPr>
      </w:pPr>
      <w:r w:rsidRPr="00531214">
        <w:rPr>
          <w:rFonts w:ascii="Times New Roman" w:eastAsia="Times New Roman" w:hAnsi="Times New Roman" w:cs="Times New Roman"/>
          <w:b/>
          <w:bCs/>
          <w:color w:val="0099CC"/>
          <w:sz w:val="24"/>
          <w:szCs w:val="24"/>
          <w:lang w:val="en-GB"/>
        </w:rPr>
        <w:t>Table 1. Total number of documents by indicator for each policy domain /infrastructure support</w:t>
      </w:r>
      <w:r w:rsidR="00401A4B" w:rsidRPr="00531214">
        <w:rPr>
          <w:rFonts w:ascii="Times New Roman" w:eastAsia="Times New Roman" w:hAnsi="Times New Roman" w:cs="Times New Roman"/>
          <w:b/>
          <w:bCs/>
          <w:color w:val="0099CC"/>
          <w:sz w:val="24"/>
          <w:szCs w:val="24"/>
          <w:lang w:val="en-GB"/>
        </w:rPr>
        <w:t xml:space="preserve"> domains</w:t>
      </w:r>
    </w:p>
    <w:p w14:paraId="0B484542" w14:textId="77777777" w:rsidR="00284C7C" w:rsidRPr="00FC7E61" w:rsidRDefault="00284C7C" w:rsidP="00FC7E61">
      <w:pPr>
        <w:spacing w:before="120" w:after="0" w:line="240" w:lineRule="auto"/>
        <w:jc w:val="center"/>
        <w:rPr>
          <w:rFonts w:ascii="Times New Roman" w:eastAsia="Calibri" w:hAnsi="Times New Roman" w:cs="Times New Roman"/>
          <w:b/>
          <w:noProof/>
          <w:sz w:val="20"/>
          <w:szCs w:val="20"/>
          <w:lang w:val="en-GB"/>
        </w:rPr>
      </w:pPr>
    </w:p>
    <w:tbl>
      <w:tblPr>
        <w:tblStyle w:val="Tablaconcuadrcula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8"/>
        <w:gridCol w:w="2368"/>
        <w:gridCol w:w="2368"/>
      </w:tblGrid>
      <w:tr w:rsidR="00284C7C" w:rsidRPr="000A17D1" w14:paraId="21BCDBBC" w14:textId="77777777" w:rsidTr="003749F4">
        <w:trPr>
          <w:trHeight w:val="736"/>
        </w:trPr>
        <w:tc>
          <w:tcPr>
            <w:tcW w:w="2215" w:type="pct"/>
            <w:tcBorders>
              <w:top w:val="single" w:sz="4" w:space="0" w:color="auto"/>
              <w:bottom w:val="single" w:sz="4" w:space="0" w:color="auto"/>
            </w:tcBorders>
            <w:shd w:val="clear" w:color="auto" w:fill="F7CAAC"/>
            <w:vAlign w:val="center"/>
          </w:tcPr>
          <w:p w14:paraId="0EA23AF7" w14:textId="77777777" w:rsidR="00284C7C" w:rsidRPr="003749F4" w:rsidRDefault="00284C7C" w:rsidP="00AA1AE2">
            <w:pPr>
              <w:jc w:val="center"/>
              <w:rPr>
                <w:rFonts w:ascii="Times New Roman" w:hAnsi="Times New Roman" w:cs="Times New Roman"/>
                <w:b/>
                <w:bCs/>
                <w:sz w:val="20"/>
                <w:szCs w:val="20"/>
                <w:lang w:val="en-GB"/>
              </w:rPr>
            </w:pPr>
            <w:r w:rsidRPr="003749F4">
              <w:rPr>
                <w:rFonts w:ascii="Times New Roman" w:hAnsi="Times New Roman" w:cs="Times New Roman"/>
                <w:b/>
                <w:bCs/>
                <w:sz w:val="20"/>
                <w:szCs w:val="20"/>
                <w:lang w:val="en-GB"/>
              </w:rPr>
              <w:t>POLICIES / INFRASTRUCTURE SUPPORT</w:t>
            </w:r>
          </w:p>
        </w:tc>
        <w:tc>
          <w:tcPr>
            <w:tcW w:w="1392" w:type="pct"/>
            <w:tcBorders>
              <w:top w:val="single" w:sz="4" w:space="0" w:color="auto"/>
              <w:bottom w:val="single" w:sz="4" w:space="0" w:color="auto"/>
            </w:tcBorders>
            <w:shd w:val="clear" w:color="auto" w:fill="F7CAAC"/>
            <w:vAlign w:val="center"/>
          </w:tcPr>
          <w:p w14:paraId="00BCBC06" w14:textId="77777777" w:rsidR="00284C7C" w:rsidRPr="003749F4" w:rsidRDefault="00284C7C" w:rsidP="00AA1AE2">
            <w:pPr>
              <w:jc w:val="center"/>
              <w:rPr>
                <w:rFonts w:ascii="Times New Roman" w:hAnsi="Times New Roman" w:cs="Times New Roman"/>
                <w:b/>
                <w:bCs/>
                <w:sz w:val="20"/>
                <w:szCs w:val="20"/>
                <w:lang w:val="en-GB"/>
              </w:rPr>
            </w:pPr>
            <w:r w:rsidRPr="003749F4">
              <w:rPr>
                <w:rFonts w:ascii="Times New Roman" w:hAnsi="Times New Roman" w:cs="Times New Roman"/>
                <w:b/>
                <w:bCs/>
                <w:sz w:val="20"/>
                <w:szCs w:val="20"/>
                <w:lang w:val="en-GB"/>
              </w:rPr>
              <w:t>NUMBER OF INDICATORS</w:t>
            </w:r>
          </w:p>
        </w:tc>
        <w:tc>
          <w:tcPr>
            <w:tcW w:w="1392" w:type="pct"/>
            <w:tcBorders>
              <w:top w:val="single" w:sz="4" w:space="0" w:color="auto"/>
              <w:bottom w:val="single" w:sz="4" w:space="0" w:color="auto"/>
            </w:tcBorders>
            <w:shd w:val="clear" w:color="auto" w:fill="F7CAAC"/>
            <w:vAlign w:val="center"/>
          </w:tcPr>
          <w:p w14:paraId="6385DEAF" w14:textId="77777777" w:rsidR="00284C7C" w:rsidRPr="003749F4" w:rsidRDefault="00284C7C" w:rsidP="00AA1AE2">
            <w:pPr>
              <w:jc w:val="center"/>
              <w:rPr>
                <w:rFonts w:ascii="Times New Roman" w:hAnsi="Times New Roman" w:cs="Times New Roman"/>
                <w:b/>
                <w:bCs/>
                <w:sz w:val="20"/>
                <w:szCs w:val="20"/>
                <w:lang w:val="en-GB"/>
              </w:rPr>
            </w:pPr>
            <w:r w:rsidRPr="003749F4">
              <w:rPr>
                <w:rFonts w:ascii="Times New Roman" w:hAnsi="Times New Roman" w:cs="Times New Roman"/>
                <w:b/>
                <w:bCs/>
                <w:sz w:val="20"/>
                <w:szCs w:val="20"/>
                <w:lang w:val="en-GB"/>
              </w:rPr>
              <w:t>NUMBER OF DOCUMENTS</w:t>
            </w:r>
          </w:p>
        </w:tc>
      </w:tr>
      <w:tr w:rsidR="00284C7C" w:rsidRPr="000A17D1" w14:paraId="409E9243" w14:textId="77777777" w:rsidTr="003749F4">
        <w:tc>
          <w:tcPr>
            <w:tcW w:w="2215" w:type="pct"/>
            <w:tcBorders>
              <w:top w:val="single" w:sz="4" w:space="0" w:color="auto"/>
            </w:tcBorders>
            <w:shd w:val="clear" w:color="auto" w:fill="FFF2CC"/>
            <w:vAlign w:val="center"/>
          </w:tcPr>
          <w:p w14:paraId="65467969" w14:textId="77777777" w:rsidR="00284C7C" w:rsidRPr="003749F4" w:rsidRDefault="00284C7C" w:rsidP="00AA1AE2">
            <w:pPr>
              <w:rPr>
                <w:rFonts w:ascii="Times New Roman" w:hAnsi="Times New Roman" w:cs="Times New Roman"/>
                <w:sz w:val="20"/>
                <w:szCs w:val="20"/>
                <w:lang w:val="en-GB"/>
              </w:rPr>
            </w:pPr>
            <w:r w:rsidRPr="003749F4">
              <w:rPr>
                <w:rFonts w:ascii="Times New Roman" w:hAnsi="Times New Roman" w:cs="Times New Roman"/>
                <w:sz w:val="20"/>
                <w:szCs w:val="20"/>
                <w:lang w:val="en-GB"/>
              </w:rPr>
              <w:t>Exclusive breastfeeding</w:t>
            </w:r>
          </w:p>
        </w:tc>
        <w:tc>
          <w:tcPr>
            <w:tcW w:w="1392" w:type="pct"/>
            <w:tcBorders>
              <w:top w:val="single" w:sz="4" w:space="0" w:color="auto"/>
            </w:tcBorders>
            <w:shd w:val="clear" w:color="auto" w:fill="FFF2CC"/>
            <w:vAlign w:val="center"/>
          </w:tcPr>
          <w:p w14:paraId="5BACA13C"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6</w:t>
            </w:r>
          </w:p>
        </w:tc>
        <w:tc>
          <w:tcPr>
            <w:tcW w:w="1392" w:type="pct"/>
            <w:tcBorders>
              <w:top w:val="single" w:sz="4" w:space="0" w:color="auto"/>
            </w:tcBorders>
            <w:shd w:val="clear" w:color="auto" w:fill="FFF2CC"/>
            <w:vAlign w:val="center"/>
          </w:tcPr>
          <w:p w14:paraId="08B270D0"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color w:val="000000" w:themeColor="text1"/>
                <w:sz w:val="20"/>
                <w:szCs w:val="20"/>
                <w:lang w:val="en-GB"/>
              </w:rPr>
              <w:t>26</w:t>
            </w:r>
          </w:p>
        </w:tc>
      </w:tr>
      <w:tr w:rsidR="00284C7C" w:rsidRPr="000A17D1" w14:paraId="209848BB" w14:textId="77777777" w:rsidTr="003749F4">
        <w:tc>
          <w:tcPr>
            <w:tcW w:w="2215" w:type="pct"/>
            <w:shd w:val="clear" w:color="auto" w:fill="FFF2CC"/>
            <w:vAlign w:val="center"/>
          </w:tcPr>
          <w:p w14:paraId="1E5DDEBF" w14:textId="77777777" w:rsidR="00284C7C" w:rsidRPr="003749F4" w:rsidRDefault="00284C7C" w:rsidP="00AA1AE2">
            <w:pPr>
              <w:rPr>
                <w:rFonts w:ascii="Times New Roman" w:hAnsi="Times New Roman" w:cs="Times New Roman"/>
                <w:sz w:val="20"/>
                <w:szCs w:val="20"/>
                <w:lang w:val="en-GB"/>
              </w:rPr>
            </w:pPr>
            <w:r w:rsidRPr="003749F4">
              <w:rPr>
                <w:rFonts w:ascii="Times New Roman" w:hAnsi="Times New Roman" w:cs="Times New Roman"/>
                <w:sz w:val="20"/>
                <w:szCs w:val="20"/>
                <w:lang w:val="en-GB"/>
              </w:rPr>
              <w:t>Complementary feeding</w:t>
            </w:r>
          </w:p>
        </w:tc>
        <w:tc>
          <w:tcPr>
            <w:tcW w:w="1392" w:type="pct"/>
            <w:shd w:val="clear" w:color="auto" w:fill="FFF2CC"/>
            <w:vAlign w:val="center"/>
          </w:tcPr>
          <w:p w14:paraId="12370707"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6</w:t>
            </w:r>
          </w:p>
        </w:tc>
        <w:tc>
          <w:tcPr>
            <w:tcW w:w="1392" w:type="pct"/>
            <w:shd w:val="clear" w:color="auto" w:fill="FFF2CC"/>
            <w:vAlign w:val="center"/>
          </w:tcPr>
          <w:p w14:paraId="64154F83"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36</w:t>
            </w:r>
          </w:p>
        </w:tc>
      </w:tr>
      <w:tr w:rsidR="00284C7C" w:rsidRPr="000A17D1" w14:paraId="6287C305" w14:textId="77777777" w:rsidTr="003749F4">
        <w:tc>
          <w:tcPr>
            <w:tcW w:w="2215" w:type="pct"/>
            <w:shd w:val="clear" w:color="auto" w:fill="FFF2CC"/>
            <w:vAlign w:val="center"/>
          </w:tcPr>
          <w:p w14:paraId="0D2AF63E" w14:textId="77777777" w:rsidR="00284C7C" w:rsidRPr="003749F4" w:rsidRDefault="00284C7C" w:rsidP="00AA1AE2">
            <w:pPr>
              <w:rPr>
                <w:rFonts w:ascii="Times New Roman" w:hAnsi="Times New Roman" w:cs="Times New Roman"/>
                <w:sz w:val="20"/>
                <w:szCs w:val="20"/>
                <w:lang w:val="en-GB"/>
              </w:rPr>
            </w:pPr>
            <w:r w:rsidRPr="003749F4">
              <w:rPr>
                <w:rFonts w:ascii="Times New Roman" w:hAnsi="Times New Roman" w:cs="Times New Roman"/>
                <w:sz w:val="20"/>
                <w:szCs w:val="20"/>
                <w:lang w:val="en-GB"/>
              </w:rPr>
              <w:t>Marketing regulations</w:t>
            </w:r>
          </w:p>
        </w:tc>
        <w:tc>
          <w:tcPr>
            <w:tcW w:w="1392" w:type="pct"/>
            <w:shd w:val="clear" w:color="auto" w:fill="FFF2CC"/>
            <w:vAlign w:val="center"/>
          </w:tcPr>
          <w:p w14:paraId="443566DD"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6</w:t>
            </w:r>
          </w:p>
        </w:tc>
        <w:tc>
          <w:tcPr>
            <w:tcW w:w="1392" w:type="pct"/>
            <w:shd w:val="clear" w:color="auto" w:fill="FFF2CC"/>
            <w:vAlign w:val="center"/>
          </w:tcPr>
          <w:p w14:paraId="4FB80AEB"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22</w:t>
            </w:r>
          </w:p>
        </w:tc>
      </w:tr>
      <w:tr w:rsidR="00284C7C" w:rsidRPr="000A17D1" w14:paraId="3289DAA5" w14:textId="77777777" w:rsidTr="003749F4">
        <w:tc>
          <w:tcPr>
            <w:tcW w:w="2215" w:type="pct"/>
            <w:shd w:val="clear" w:color="auto" w:fill="FFF2CC"/>
            <w:vAlign w:val="center"/>
          </w:tcPr>
          <w:p w14:paraId="0D517501" w14:textId="77777777" w:rsidR="00284C7C" w:rsidRPr="003749F4" w:rsidRDefault="00284C7C" w:rsidP="00AA1AE2">
            <w:pPr>
              <w:rPr>
                <w:rFonts w:ascii="Times New Roman" w:hAnsi="Times New Roman" w:cs="Times New Roman"/>
                <w:sz w:val="20"/>
                <w:szCs w:val="20"/>
                <w:lang w:val="en-GB"/>
              </w:rPr>
            </w:pPr>
            <w:r w:rsidRPr="003749F4">
              <w:rPr>
                <w:rFonts w:ascii="Times New Roman" w:hAnsi="Times New Roman" w:cs="Times New Roman"/>
                <w:sz w:val="20"/>
                <w:szCs w:val="20"/>
                <w:lang w:val="en-GB"/>
              </w:rPr>
              <w:t>Maternal/ antenatal nutrition</w:t>
            </w:r>
          </w:p>
        </w:tc>
        <w:tc>
          <w:tcPr>
            <w:tcW w:w="1392" w:type="pct"/>
            <w:shd w:val="clear" w:color="auto" w:fill="FFF2CC"/>
            <w:vAlign w:val="center"/>
          </w:tcPr>
          <w:p w14:paraId="09026735"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6</w:t>
            </w:r>
          </w:p>
        </w:tc>
        <w:tc>
          <w:tcPr>
            <w:tcW w:w="1392" w:type="pct"/>
            <w:shd w:val="clear" w:color="auto" w:fill="FFF2CC"/>
            <w:vAlign w:val="center"/>
          </w:tcPr>
          <w:p w14:paraId="3C3E0670"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20</w:t>
            </w:r>
          </w:p>
        </w:tc>
      </w:tr>
      <w:tr w:rsidR="00284C7C" w:rsidRPr="000A17D1" w14:paraId="50EF70BA" w14:textId="77777777" w:rsidTr="003749F4">
        <w:tc>
          <w:tcPr>
            <w:tcW w:w="2215" w:type="pct"/>
            <w:tcBorders>
              <w:bottom w:val="single" w:sz="4" w:space="0" w:color="auto"/>
            </w:tcBorders>
            <w:shd w:val="clear" w:color="auto" w:fill="FFF2CC"/>
            <w:vAlign w:val="center"/>
          </w:tcPr>
          <w:p w14:paraId="6D95AB41" w14:textId="77777777" w:rsidR="00284C7C" w:rsidRPr="003749F4" w:rsidRDefault="00284C7C" w:rsidP="00AA1AE2">
            <w:pPr>
              <w:rPr>
                <w:rFonts w:ascii="Times New Roman" w:hAnsi="Times New Roman" w:cs="Times New Roman"/>
                <w:sz w:val="20"/>
                <w:szCs w:val="20"/>
                <w:lang w:val="en-GB"/>
              </w:rPr>
            </w:pPr>
            <w:r w:rsidRPr="003749F4">
              <w:rPr>
                <w:rFonts w:ascii="Times New Roman" w:hAnsi="Times New Roman" w:cs="Times New Roman"/>
                <w:sz w:val="20"/>
                <w:szCs w:val="20"/>
                <w:lang w:val="en-GB"/>
              </w:rPr>
              <w:t>Preschool food</w:t>
            </w:r>
          </w:p>
        </w:tc>
        <w:tc>
          <w:tcPr>
            <w:tcW w:w="1392" w:type="pct"/>
            <w:tcBorders>
              <w:bottom w:val="single" w:sz="4" w:space="0" w:color="auto"/>
            </w:tcBorders>
            <w:shd w:val="clear" w:color="auto" w:fill="FFF2CC"/>
            <w:vAlign w:val="center"/>
          </w:tcPr>
          <w:p w14:paraId="21D7C91D"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3</w:t>
            </w:r>
          </w:p>
        </w:tc>
        <w:tc>
          <w:tcPr>
            <w:tcW w:w="1392" w:type="pct"/>
            <w:tcBorders>
              <w:bottom w:val="single" w:sz="4" w:space="0" w:color="auto"/>
            </w:tcBorders>
            <w:shd w:val="clear" w:color="auto" w:fill="FFF2CC"/>
            <w:vAlign w:val="center"/>
          </w:tcPr>
          <w:p w14:paraId="6E4B119C"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8</w:t>
            </w:r>
          </w:p>
        </w:tc>
      </w:tr>
      <w:tr w:rsidR="00284C7C" w:rsidRPr="000A17D1" w14:paraId="362DA071" w14:textId="77777777" w:rsidTr="003749F4">
        <w:tc>
          <w:tcPr>
            <w:tcW w:w="2215" w:type="pct"/>
            <w:tcBorders>
              <w:top w:val="single" w:sz="4" w:space="0" w:color="auto"/>
              <w:bottom w:val="single" w:sz="4" w:space="0" w:color="auto"/>
            </w:tcBorders>
            <w:shd w:val="clear" w:color="auto" w:fill="FFF2CC"/>
            <w:vAlign w:val="center"/>
          </w:tcPr>
          <w:p w14:paraId="0CC46E82" w14:textId="77777777" w:rsidR="00284C7C" w:rsidRPr="003749F4" w:rsidRDefault="00284C7C" w:rsidP="00AA1AE2">
            <w:pPr>
              <w:rPr>
                <w:rFonts w:ascii="Times New Roman" w:hAnsi="Times New Roman" w:cs="Times New Roman"/>
                <w:b/>
                <w:bCs/>
                <w:sz w:val="20"/>
                <w:szCs w:val="20"/>
                <w:lang w:val="en-GB"/>
              </w:rPr>
            </w:pPr>
            <w:r w:rsidRPr="003749F4">
              <w:rPr>
                <w:rFonts w:ascii="Times New Roman" w:hAnsi="Times New Roman" w:cs="Times New Roman"/>
                <w:b/>
                <w:bCs/>
                <w:sz w:val="20"/>
                <w:szCs w:val="20"/>
                <w:lang w:val="en-GB"/>
              </w:rPr>
              <w:t>TOTAL POLICIES</w:t>
            </w:r>
          </w:p>
        </w:tc>
        <w:tc>
          <w:tcPr>
            <w:tcW w:w="1392" w:type="pct"/>
            <w:tcBorders>
              <w:top w:val="single" w:sz="4" w:space="0" w:color="auto"/>
              <w:bottom w:val="single" w:sz="4" w:space="0" w:color="auto"/>
            </w:tcBorders>
            <w:shd w:val="clear" w:color="auto" w:fill="FFF2CC"/>
            <w:vAlign w:val="center"/>
          </w:tcPr>
          <w:p w14:paraId="66D02A05"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b/>
                <w:sz w:val="20"/>
                <w:szCs w:val="20"/>
                <w:lang w:val="en-GB"/>
              </w:rPr>
              <w:t>27</w:t>
            </w:r>
          </w:p>
        </w:tc>
        <w:tc>
          <w:tcPr>
            <w:tcW w:w="1392" w:type="pct"/>
            <w:tcBorders>
              <w:top w:val="single" w:sz="4" w:space="0" w:color="auto"/>
              <w:bottom w:val="single" w:sz="4" w:space="0" w:color="auto"/>
            </w:tcBorders>
            <w:shd w:val="clear" w:color="auto" w:fill="FFF2CC"/>
            <w:vAlign w:val="center"/>
          </w:tcPr>
          <w:p w14:paraId="5AE8F5E1" w14:textId="77777777" w:rsidR="00284C7C" w:rsidRPr="003749F4" w:rsidRDefault="00284C7C" w:rsidP="00AA1AE2">
            <w:pPr>
              <w:jc w:val="center"/>
              <w:rPr>
                <w:rFonts w:ascii="Times New Roman" w:hAnsi="Times New Roman" w:cs="Times New Roman"/>
                <w:b/>
                <w:sz w:val="20"/>
                <w:szCs w:val="20"/>
                <w:lang w:val="en-GB"/>
              </w:rPr>
            </w:pPr>
            <w:r w:rsidRPr="003749F4">
              <w:rPr>
                <w:rFonts w:ascii="Times New Roman" w:hAnsi="Times New Roman" w:cs="Times New Roman"/>
                <w:b/>
                <w:sz w:val="20"/>
                <w:szCs w:val="20"/>
                <w:lang w:val="en-GB"/>
              </w:rPr>
              <w:t>112</w:t>
            </w:r>
          </w:p>
        </w:tc>
      </w:tr>
      <w:tr w:rsidR="00284C7C" w:rsidRPr="000A17D1" w14:paraId="783E28DD" w14:textId="77777777" w:rsidTr="003749F4">
        <w:tc>
          <w:tcPr>
            <w:tcW w:w="2215" w:type="pct"/>
            <w:tcBorders>
              <w:top w:val="single" w:sz="4" w:space="0" w:color="auto"/>
            </w:tcBorders>
            <w:shd w:val="clear" w:color="auto" w:fill="EDEDED"/>
            <w:vAlign w:val="center"/>
          </w:tcPr>
          <w:p w14:paraId="0F70D184" w14:textId="77777777" w:rsidR="00284C7C" w:rsidRPr="003749F4" w:rsidRDefault="00284C7C" w:rsidP="00AA1AE2">
            <w:pPr>
              <w:rPr>
                <w:rFonts w:ascii="Times New Roman" w:hAnsi="Times New Roman" w:cs="Times New Roman"/>
                <w:sz w:val="20"/>
                <w:szCs w:val="20"/>
                <w:lang w:val="en-GB"/>
              </w:rPr>
            </w:pPr>
            <w:r w:rsidRPr="003749F4">
              <w:rPr>
                <w:rFonts w:ascii="Times New Roman" w:hAnsi="Times New Roman" w:cs="Times New Roman"/>
                <w:sz w:val="20"/>
                <w:szCs w:val="20"/>
                <w:lang w:val="en-GB"/>
              </w:rPr>
              <w:t>Leadership</w:t>
            </w:r>
          </w:p>
        </w:tc>
        <w:tc>
          <w:tcPr>
            <w:tcW w:w="1392" w:type="pct"/>
            <w:tcBorders>
              <w:top w:val="single" w:sz="4" w:space="0" w:color="auto"/>
            </w:tcBorders>
            <w:shd w:val="clear" w:color="auto" w:fill="EDEDED"/>
            <w:vAlign w:val="center"/>
          </w:tcPr>
          <w:p w14:paraId="76226CD9"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4</w:t>
            </w:r>
          </w:p>
        </w:tc>
        <w:tc>
          <w:tcPr>
            <w:tcW w:w="1392" w:type="pct"/>
            <w:tcBorders>
              <w:top w:val="single" w:sz="4" w:space="0" w:color="auto"/>
            </w:tcBorders>
            <w:shd w:val="clear" w:color="auto" w:fill="EDEDED"/>
            <w:vAlign w:val="center"/>
          </w:tcPr>
          <w:p w14:paraId="21B6AE01"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20</w:t>
            </w:r>
          </w:p>
        </w:tc>
      </w:tr>
      <w:tr w:rsidR="00284C7C" w:rsidRPr="000A17D1" w14:paraId="7797BB9E" w14:textId="77777777" w:rsidTr="003749F4">
        <w:tc>
          <w:tcPr>
            <w:tcW w:w="2215" w:type="pct"/>
            <w:shd w:val="clear" w:color="auto" w:fill="EDEDED"/>
            <w:vAlign w:val="center"/>
          </w:tcPr>
          <w:p w14:paraId="03B29196" w14:textId="77777777" w:rsidR="00284C7C" w:rsidRPr="003749F4" w:rsidRDefault="00284C7C" w:rsidP="00AA1AE2">
            <w:pPr>
              <w:rPr>
                <w:rFonts w:ascii="Times New Roman" w:hAnsi="Times New Roman" w:cs="Times New Roman"/>
                <w:sz w:val="20"/>
                <w:szCs w:val="20"/>
                <w:lang w:val="en-GB"/>
              </w:rPr>
            </w:pPr>
            <w:r w:rsidRPr="003749F4">
              <w:rPr>
                <w:rFonts w:ascii="Times New Roman" w:hAnsi="Times New Roman" w:cs="Times New Roman"/>
                <w:sz w:val="20"/>
                <w:szCs w:val="20"/>
                <w:lang w:val="en-GB"/>
              </w:rPr>
              <w:t>Governance</w:t>
            </w:r>
          </w:p>
        </w:tc>
        <w:tc>
          <w:tcPr>
            <w:tcW w:w="1392" w:type="pct"/>
            <w:shd w:val="clear" w:color="auto" w:fill="EDEDED"/>
            <w:vAlign w:val="center"/>
          </w:tcPr>
          <w:p w14:paraId="7487DF29"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3</w:t>
            </w:r>
          </w:p>
        </w:tc>
        <w:tc>
          <w:tcPr>
            <w:tcW w:w="1392" w:type="pct"/>
            <w:shd w:val="clear" w:color="auto" w:fill="EDEDED"/>
            <w:vAlign w:val="center"/>
          </w:tcPr>
          <w:p w14:paraId="1B892687"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16</w:t>
            </w:r>
          </w:p>
        </w:tc>
      </w:tr>
      <w:tr w:rsidR="00284C7C" w:rsidRPr="000A17D1" w14:paraId="283175A3" w14:textId="77777777" w:rsidTr="003749F4">
        <w:tc>
          <w:tcPr>
            <w:tcW w:w="2215" w:type="pct"/>
            <w:shd w:val="clear" w:color="auto" w:fill="EDEDED"/>
            <w:vAlign w:val="center"/>
          </w:tcPr>
          <w:p w14:paraId="13058D8B" w14:textId="77777777" w:rsidR="00284C7C" w:rsidRPr="003749F4" w:rsidRDefault="00284C7C" w:rsidP="00AA1AE2">
            <w:pPr>
              <w:rPr>
                <w:rFonts w:ascii="Times New Roman" w:hAnsi="Times New Roman" w:cs="Times New Roman"/>
                <w:sz w:val="20"/>
                <w:szCs w:val="20"/>
                <w:lang w:val="en-GB"/>
              </w:rPr>
            </w:pPr>
            <w:r w:rsidRPr="003749F4">
              <w:rPr>
                <w:rFonts w:ascii="Times New Roman" w:hAnsi="Times New Roman" w:cs="Times New Roman"/>
                <w:sz w:val="20"/>
                <w:szCs w:val="20"/>
                <w:lang w:val="en-GB"/>
              </w:rPr>
              <w:t>Monitoring and evaluation</w:t>
            </w:r>
          </w:p>
        </w:tc>
        <w:tc>
          <w:tcPr>
            <w:tcW w:w="1392" w:type="pct"/>
            <w:shd w:val="clear" w:color="auto" w:fill="EDEDED"/>
            <w:vAlign w:val="center"/>
          </w:tcPr>
          <w:p w14:paraId="5713CBC3"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5</w:t>
            </w:r>
          </w:p>
        </w:tc>
        <w:tc>
          <w:tcPr>
            <w:tcW w:w="1392" w:type="pct"/>
            <w:shd w:val="clear" w:color="auto" w:fill="EDEDED"/>
            <w:vAlign w:val="center"/>
          </w:tcPr>
          <w:p w14:paraId="2D7CCF82"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23</w:t>
            </w:r>
          </w:p>
        </w:tc>
      </w:tr>
      <w:tr w:rsidR="00284C7C" w:rsidRPr="000A17D1" w14:paraId="229446CE" w14:textId="77777777" w:rsidTr="003749F4">
        <w:tc>
          <w:tcPr>
            <w:tcW w:w="2215" w:type="pct"/>
            <w:shd w:val="clear" w:color="auto" w:fill="EDEDED"/>
            <w:vAlign w:val="center"/>
          </w:tcPr>
          <w:p w14:paraId="0C7AA5AA" w14:textId="77777777" w:rsidR="00284C7C" w:rsidRPr="003749F4" w:rsidRDefault="00284C7C" w:rsidP="00AA1AE2">
            <w:pPr>
              <w:rPr>
                <w:rFonts w:ascii="Times New Roman" w:hAnsi="Times New Roman" w:cs="Times New Roman"/>
                <w:sz w:val="20"/>
                <w:szCs w:val="20"/>
                <w:lang w:val="en-GB"/>
              </w:rPr>
            </w:pPr>
            <w:r w:rsidRPr="003749F4">
              <w:rPr>
                <w:rFonts w:ascii="Times New Roman" w:hAnsi="Times New Roman" w:cs="Times New Roman"/>
                <w:sz w:val="20"/>
                <w:szCs w:val="20"/>
                <w:lang w:val="en-GB"/>
              </w:rPr>
              <w:t>Funding and resources</w:t>
            </w:r>
          </w:p>
        </w:tc>
        <w:tc>
          <w:tcPr>
            <w:tcW w:w="1392" w:type="pct"/>
            <w:shd w:val="clear" w:color="auto" w:fill="EDEDED"/>
            <w:vAlign w:val="center"/>
          </w:tcPr>
          <w:p w14:paraId="58322E1E"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3</w:t>
            </w:r>
          </w:p>
        </w:tc>
        <w:tc>
          <w:tcPr>
            <w:tcW w:w="1392" w:type="pct"/>
            <w:shd w:val="clear" w:color="auto" w:fill="EDEDED"/>
            <w:vAlign w:val="center"/>
          </w:tcPr>
          <w:p w14:paraId="18201A0E"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12</w:t>
            </w:r>
          </w:p>
        </w:tc>
      </w:tr>
      <w:tr w:rsidR="00284C7C" w:rsidRPr="000A17D1" w14:paraId="73A3DCD9" w14:textId="77777777" w:rsidTr="003749F4">
        <w:tc>
          <w:tcPr>
            <w:tcW w:w="2215" w:type="pct"/>
            <w:shd w:val="clear" w:color="auto" w:fill="EDEDED"/>
            <w:vAlign w:val="center"/>
          </w:tcPr>
          <w:p w14:paraId="2D6D1DC3" w14:textId="77777777" w:rsidR="00284C7C" w:rsidRPr="003749F4" w:rsidRDefault="00284C7C" w:rsidP="00AA1AE2">
            <w:pPr>
              <w:rPr>
                <w:rFonts w:ascii="Times New Roman" w:hAnsi="Times New Roman" w:cs="Times New Roman"/>
                <w:sz w:val="20"/>
                <w:szCs w:val="20"/>
                <w:lang w:val="en-GB"/>
              </w:rPr>
            </w:pPr>
            <w:r w:rsidRPr="003749F4">
              <w:rPr>
                <w:rFonts w:ascii="Times New Roman" w:hAnsi="Times New Roman" w:cs="Times New Roman"/>
                <w:sz w:val="20"/>
                <w:szCs w:val="20"/>
                <w:lang w:val="en-GB"/>
              </w:rPr>
              <w:t>Platforms for interaction</w:t>
            </w:r>
          </w:p>
        </w:tc>
        <w:tc>
          <w:tcPr>
            <w:tcW w:w="1392" w:type="pct"/>
            <w:shd w:val="clear" w:color="auto" w:fill="EDEDED"/>
            <w:vAlign w:val="center"/>
          </w:tcPr>
          <w:p w14:paraId="4E1B7BE9"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3</w:t>
            </w:r>
          </w:p>
        </w:tc>
        <w:tc>
          <w:tcPr>
            <w:tcW w:w="1392" w:type="pct"/>
            <w:shd w:val="clear" w:color="auto" w:fill="EDEDED"/>
            <w:vAlign w:val="center"/>
          </w:tcPr>
          <w:p w14:paraId="0F6D6AB8"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20</w:t>
            </w:r>
          </w:p>
        </w:tc>
      </w:tr>
      <w:tr w:rsidR="00284C7C" w:rsidRPr="000A17D1" w14:paraId="6A0D3A9E" w14:textId="77777777" w:rsidTr="003749F4">
        <w:tc>
          <w:tcPr>
            <w:tcW w:w="2215" w:type="pct"/>
            <w:tcBorders>
              <w:bottom w:val="single" w:sz="4" w:space="0" w:color="auto"/>
            </w:tcBorders>
            <w:shd w:val="clear" w:color="auto" w:fill="EDEDED"/>
            <w:vAlign w:val="center"/>
          </w:tcPr>
          <w:p w14:paraId="705C6006" w14:textId="77777777" w:rsidR="00284C7C" w:rsidRPr="003749F4" w:rsidRDefault="00284C7C" w:rsidP="00AA1AE2">
            <w:pPr>
              <w:rPr>
                <w:rFonts w:ascii="Times New Roman" w:hAnsi="Times New Roman" w:cs="Times New Roman"/>
                <w:sz w:val="20"/>
                <w:szCs w:val="20"/>
                <w:lang w:val="en-GB"/>
              </w:rPr>
            </w:pPr>
            <w:r w:rsidRPr="003749F4">
              <w:rPr>
                <w:rFonts w:ascii="Times New Roman" w:hAnsi="Times New Roman" w:cs="Times New Roman"/>
                <w:sz w:val="20"/>
                <w:szCs w:val="20"/>
                <w:lang w:val="en-GB"/>
              </w:rPr>
              <w:t>Health in all policies</w:t>
            </w:r>
          </w:p>
        </w:tc>
        <w:tc>
          <w:tcPr>
            <w:tcW w:w="1392" w:type="pct"/>
            <w:tcBorders>
              <w:bottom w:val="single" w:sz="4" w:space="0" w:color="auto"/>
            </w:tcBorders>
            <w:shd w:val="clear" w:color="auto" w:fill="EDEDED"/>
            <w:vAlign w:val="center"/>
          </w:tcPr>
          <w:p w14:paraId="22DCB54D"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2</w:t>
            </w:r>
          </w:p>
        </w:tc>
        <w:tc>
          <w:tcPr>
            <w:tcW w:w="1392" w:type="pct"/>
            <w:tcBorders>
              <w:bottom w:val="single" w:sz="4" w:space="0" w:color="auto"/>
            </w:tcBorders>
            <w:shd w:val="clear" w:color="auto" w:fill="EDEDED"/>
            <w:vAlign w:val="center"/>
          </w:tcPr>
          <w:p w14:paraId="08240CD7"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sz w:val="20"/>
                <w:szCs w:val="20"/>
                <w:lang w:val="en-GB"/>
              </w:rPr>
              <w:t>10</w:t>
            </w:r>
          </w:p>
        </w:tc>
      </w:tr>
      <w:tr w:rsidR="00284C7C" w:rsidRPr="000A17D1" w14:paraId="47672782" w14:textId="77777777" w:rsidTr="003749F4">
        <w:tc>
          <w:tcPr>
            <w:tcW w:w="2215" w:type="pct"/>
            <w:tcBorders>
              <w:top w:val="single" w:sz="4" w:space="0" w:color="auto"/>
              <w:bottom w:val="single" w:sz="4" w:space="0" w:color="auto"/>
            </w:tcBorders>
            <w:shd w:val="clear" w:color="auto" w:fill="EDEDED"/>
            <w:vAlign w:val="center"/>
          </w:tcPr>
          <w:p w14:paraId="188EA72D" w14:textId="77777777" w:rsidR="00284C7C" w:rsidRPr="003749F4" w:rsidRDefault="00284C7C" w:rsidP="00AA1AE2">
            <w:pPr>
              <w:rPr>
                <w:rFonts w:ascii="Times New Roman" w:hAnsi="Times New Roman" w:cs="Times New Roman"/>
                <w:b/>
                <w:bCs/>
                <w:sz w:val="20"/>
                <w:szCs w:val="20"/>
                <w:lang w:val="en-GB"/>
              </w:rPr>
            </w:pPr>
            <w:r w:rsidRPr="003749F4">
              <w:rPr>
                <w:rFonts w:ascii="Times New Roman" w:hAnsi="Times New Roman" w:cs="Times New Roman"/>
                <w:b/>
                <w:bCs/>
                <w:sz w:val="20"/>
                <w:szCs w:val="20"/>
                <w:lang w:val="en-GB"/>
              </w:rPr>
              <w:t xml:space="preserve">TOTAL INFRASTRUCTURE SUPPORT </w:t>
            </w:r>
          </w:p>
        </w:tc>
        <w:tc>
          <w:tcPr>
            <w:tcW w:w="1392" w:type="pct"/>
            <w:tcBorders>
              <w:top w:val="single" w:sz="4" w:space="0" w:color="auto"/>
              <w:bottom w:val="single" w:sz="4" w:space="0" w:color="auto"/>
            </w:tcBorders>
            <w:shd w:val="clear" w:color="auto" w:fill="EDEDED"/>
            <w:vAlign w:val="center"/>
          </w:tcPr>
          <w:p w14:paraId="33B032C7" w14:textId="77777777" w:rsidR="00284C7C" w:rsidRPr="003749F4" w:rsidRDefault="00284C7C" w:rsidP="00AA1AE2">
            <w:pPr>
              <w:jc w:val="center"/>
              <w:rPr>
                <w:rFonts w:ascii="Times New Roman" w:hAnsi="Times New Roman" w:cs="Times New Roman"/>
                <w:sz w:val="20"/>
                <w:szCs w:val="20"/>
                <w:lang w:val="en-GB"/>
              </w:rPr>
            </w:pPr>
            <w:r w:rsidRPr="003749F4">
              <w:rPr>
                <w:rFonts w:ascii="Times New Roman" w:hAnsi="Times New Roman" w:cs="Times New Roman"/>
                <w:b/>
                <w:sz w:val="20"/>
                <w:szCs w:val="20"/>
                <w:lang w:val="en-GB"/>
              </w:rPr>
              <w:t>20</w:t>
            </w:r>
          </w:p>
        </w:tc>
        <w:tc>
          <w:tcPr>
            <w:tcW w:w="1392" w:type="pct"/>
            <w:tcBorders>
              <w:top w:val="single" w:sz="4" w:space="0" w:color="auto"/>
              <w:bottom w:val="single" w:sz="4" w:space="0" w:color="auto"/>
            </w:tcBorders>
            <w:shd w:val="clear" w:color="auto" w:fill="EDEDED"/>
            <w:vAlign w:val="center"/>
          </w:tcPr>
          <w:p w14:paraId="0998D66F" w14:textId="77777777" w:rsidR="00284C7C" w:rsidRPr="003749F4" w:rsidRDefault="00284C7C" w:rsidP="00AA1AE2">
            <w:pPr>
              <w:jc w:val="center"/>
              <w:rPr>
                <w:rFonts w:ascii="Times New Roman" w:hAnsi="Times New Roman" w:cs="Times New Roman"/>
                <w:b/>
                <w:sz w:val="20"/>
                <w:szCs w:val="20"/>
                <w:lang w:val="en-GB"/>
              </w:rPr>
            </w:pPr>
            <w:r w:rsidRPr="003749F4">
              <w:rPr>
                <w:rFonts w:ascii="Times New Roman" w:hAnsi="Times New Roman" w:cs="Times New Roman"/>
                <w:b/>
                <w:sz w:val="20"/>
                <w:szCs w:val="20"/>
                <w:lang w:val="en-GB"/>
              </w:rPr>
              <w:t>101</w:t>
            </w:r>
          </w:p>
        </w:tc>
      </w:tr>
      <w:tr w:rsidR="00284C7C" w:rsidRPr="000A17D1" w14:paraId="4BD0361B" w14:textId="77777777" w:rsidTr="003749F4">
        <w:trPr>
          <w:trHeight w:val="78"/>
        </w:trPr>
        <w:tc>
          <w:tcPr>
            <w:tcW w:w="2215" w:type="pct"/>
            <w:tcBorders>
              <w:top w:val="single" w:sz="4" w:space="0" w:color="auto"/>
              <w:bottom w:val="single" w:sz="4" w:space="0" w:color="auto"/>
            </w:tcBorders>
            <w:shd w:val="clear" w:color="auto" w:fill="E2EFD9"/>
            <w:vAlign w:val="center"/>
          </w:tcPr>
          <w:p w14:paraId="5B636F21" w14:textId="77777777" w:rsidR="00284C7C" w:rsidRPr="003749F4" w:rsidRDefault="00284C7C" w:rsidP="00AA1AE2">
            <w:pPr>
              <w:rPr>
                <w:rFonts w:ascii="Times New Roman" w:hAnsi="Times New Roman" w:cs="Times New Roman"/>
                <w:b/>
                <w:bCs/>
                <w:sz w:val="20"/>
                <w:szCs w:val="20"/>
                <w:lang w:val="en-GB"/>
              </w:rPr>
            </w:pPr>
            <w:r w:rsidRPr="003749F4">
              <w:rPr>
                <w:rFonts w:ascii="Times New Roman" w:hAnsi="Times New Roman" w:cs="Times New Roman"/>
                <w:b/>
                <w:bCs/>
                <w:sz w:val="20"/>
                <w:szCs w:val="20"/>
                <w:lang w:val="en-GB"/>
              </w:rPr>
              <w:t>TOTAL INDICATORS</w:t>
            </w:r>
          </w:p>
        </w:tc>
        <w:tc>
          <w:tcPr>
            <w:tcW w:w="1392" w:type="pct"/>
            <w:tcBorders>
              <w:top w:val="single" w:sz="4" w:space="0" w:color="auto"/>
              <w:bottom w:val="single" w:sz="4" w:space="0" w:color="auto"/>
            </w:tcBorders>
            <w:shd w:val="clear" w:color="auto" w:fill="E2EFD9"/>
            <w:vAlign w:val="center"/>
          </w:tcPr>
          <w:p w14:paraId="10AB3B14" w14:textId="77777777" w:rsidR="00284C7C" w:rsidRPr="003749F4" w:rsidRDefault="00284C7C" w:rsidP="00AA1AE2">
            <w:pPr>
              <w:jc w:val="center"/>
              <w:rPr>
                <w:rFonts w:ascii="Times New Roman" w:hAnsi="Times New Roman" w:cs="Times New Roman"/>
                <w:iCs/>
                <w:sz w:val="20"/>
                <w:szCs w:val="20"/>
                <w:lang w:val="en-GB"/>
              </w:rPr>
            </w:pPr>
            <w:r w:rsidRPr="003749F4">
              <w:rPr>
                <w:rFonts w:ascii="Times New Roman" w:hAnsi="Times New Roman" w:cs="Times New Roman"/>
                <w:iCs/>
                <w:sz w:val="20"/>
                <w:szCs w:val="20"/>
                <w:lang w:val="en-GB"/>
              </w:rPr>
              <w:t>47</w:t>
            </w:r>
          </w:p>
        </w:tc>
        <w:tc>
          <w:tcPr>
            <w:tcW w:w="1392" w:type="pct"/>
            <w:tcBorders>
              <w:top w:val="single" w:sz="4" w:space="0" w:color="auto"/>
              <w:bottom w:val="single" w:sz="4" w:space="0" w:color="auto"/>
            </w:tcBorders>
            <w:shd w:val="clear" w:color="auto" w:fill="E2EFD9"/>
            <w:vAlign w:val="center"/>
          </w:tcPr>
          <w:p w14:paraId="14062BEF" w14:textId="77777777" w:rsidR="00284C7C" w:rsidRPr="003749F4" w:rsidRDefault="00284C7C" w:rsidP="00AA1AE2">
            <w:pPr>
              <w:jc w:val="center"/>
              <w:rPr>
                <w:rFonts w:ascii="Times New Roman" w:hAnsi="Times New Roman" w:cs="Times New Roman"/>
                <w:b/>
                <w:iCs/>
                <w:sz w:val="20"/>
                <w:szCs w:val="20"/>
                <w:lang w:val="en-GB"/>
              </w:rPr>
            </w:pPr>
            <w:r w:rsidRPr="003749F4">
              <w:rPr>
                <w:rFonts w:ascii="Times New Roman" w:hAnsi="Times New Roman" w:cs="Times New Roman"/>
                <w:b/>
                <w:iCs/>
                <w:sz w:val="20"/>
                <w:szCs w:val="20"/>
                <w:lang w:val="en-GB"/>
              </w:rPr>
              <w:t>213(*)</w:t>
            </w:r>
          </w:p>
        </w:tc>
      </w:tr>
    </w:tbl>
    <w:p w14:paraId="7E1A322E" w14:textId="77777777" w:rsidR="003749F4" w:rsidRPr="003749F4" w:rsidRDefault="003749F4" w:rsidP="003749F4">
      <w:pPr>
        <w:jc w:val="both"/>
        <w:rPr>
          <w:rFonts w:ascii="Times New Roman" w:hAnsi="Times New Roman" w:cs="Times New Roman"/>
          <w:color w:val="404040" w:themeColor="text1" w:themeTint="BF"/>
          <w:sz w:val="28"/>
          <w:szCs w:val="28"/>
          <w:lang w:val="en-US"/>
        </w:rPr>
      </w:pPr>
      <w:r w:rsidRPr="003749F4">
        <w:rPr>
          <w:rFonts w:ascii="Times New Roman" w:hAnsi="Times New Roman" w:cs="Times New Roman"/>
          <w:sz w:val="24"/>
          <w:szCs w:val="24"/>
          <w:lang w:val="en-US"/>
        </w:rPr>
        <w:t>(*) Some documents served as evidence for various indicators</w:t>
      </w:r>
    </w:p>
    <w:p w14:paraId="53A6E5FD" w14:textId="77777777" w:rsidR="00FC7E61" w:rsidRPr="00FC7E61" w:rsidRDefault="00FC7E61" w:rsidP="00FC7E61">
      <w:pPr>
        <w:spacing w:after="0" w:line="240" w:lineRule="auto"/>
        <w:jc w:val="both"/>
        <w:rPr>
          <w:rFonts w:ascii="Times New Roman" w:eastAsia="PT Sans Narrow" w:hAnsi="Times New Roman" w:cs="Times New Roman"/>
          <w:b/>
          <w:color w:val="FF9900"/>
          <w:sz w:val="28"/>
          <w:szCs w:val="28"/>
          <w:lang w:val="en-US" w:eastAsia="en-GB"/>
        </w:rPr>
      </w:pPr>
    </w:p>
    <w:p w14:paraId="44D1FE57" w14:textId="77777777" w:rsidR="00FC7E61" w:rsidRPr="00FC7E61" w:rsidRDefault="00FC7E61" w:rsidP="00FC7E61">
      <w:pPr>
        <w:spacing w:after="0" w:line="240" w:lineRule="auto"/>
        <w:rPr>
          <w:rFonts w:ascii="Times New Roman" w:eastAsia="PT Sans Narrow" w:hAnsi="Times New Roman" w:cs="Times New Roman"/>
          <w:b/>
          <w:color w:val="FF9900"/>
          <w:sz w:val="28"/>
          <w:szCs w:val="28"/>
          <w:lang w:val="en-US" w:eastAsia="en-GB"/>
        </w:rPr>
      </w:pPr>
      <w:r w:rsidRPr="00FC7E61">
        <w:rPr>
          <w:rFonts w:ascii="Times New Roman" w:eastAsia="PT Sans Narrow" w:hAnsi="Times New Roman" w:cs="Times New Roman"/>
          <w:b/>
          <w:color w:val="FF9900"/>
          <w:sz w:val="28"/>
          <w:szCs w:val="28"/>
          <w:lang w:val="en-US" w:eastAsia="en-GB"/>
        </w:rPr>
        <w:br w:type="page"/>
      </w:r>
    </w:p>
    <w:p w14:paraId="18120F4D" w14:textId="77777777" w:rsidR="005E6EA8" w:rsidRPr="00CA1F19" w:rsidRDefault="005E6EA8" w:rsidP="005E6EA8">
      <w:pPr>
        <w:spacing w:after="200" w:line="276" w:lineRule="auto"/>
        <w:rPr>
          <w:rFonts w:ascii="Times New Roman" w:hAnsi="Times New Roman" w:cs="Times New Roman"/>
          <w:sz w:val="24"/>
          <w:szCs w:val="24"/>
          <w:lang w:val="en-GB"/>
        </w:rPr>
      </w:pPr>
      <w:r w:rsidRPr="00CA1F19">
        <w:rPr>
          <w:rFonts w:ascii="Times New Roman" w:hAnsi="Times New Roman" w:cs="Times New Roman"/>
          <w:b/>
          <w:color w:val="FF9900"/>
          <w:sz w:val="24"/>
          <w:szCs w:val="24"/>
          <w:lang w:val="en-GB"/>
        </w:rPr>
        <w:lastRenderedPageBreak/>
        <w:t xml:space="preserve">Acknowledgments </w:t>
      </w:r>
    </w:p>
    <w:p w14:paraId="07E1C2CF" w14:textId="77777777" w:rsidR="005E6EA8" w:rsidRPr="005E6EA8" w:rsidRDefault="005E6EA8" w:rsidP="005E6EA8">
      <w:pPr>
        <w:spacing w:line="320" w:lineRule="atLeast"/>
        <w:contextualSpacing/>
        <w:jc w:val="both"/>
        <w:rPr>
          <w:rFonts w:ascii="Times New Roman" w:eastAsiaTheme="minorEastAsia" w:hAnsi="Times New Roman" w:cs="Times New Roman"/>
          <w:lang w:val="en-GB"/>
        </w:rPr>
      </w:pPr>
      <w:r w:rsidRPr="005E6EA8">
        <w:rPr>
          <w:rFonts w:ascii="Times New Roman" w:eastAsiaTheme="minorEastAsia" w:hAnsi="Times New Roman" w:cs="Times New Roman"/>
          <w:lang w:val="en-GB"/>
        </w:rPr>
        <w:t>This research was led by Professor Michelle Holdsworth from the French National Research Institute for Sustainable Development, Dr Rebecca Pradeilles from Loughborough University (UK), and MSc Violeta Rojas from Universidad Nacional Mayor de San Marcos (Peru). The research team included Hilary Creed-</w:t>
      </w:r>
      <w:proofErr w:type="spellStart"/>
      <w:r w:rsidRPr="005E6EA8">
        <w:rPr>
          <w:rFonts w:ascii="Times New Roman" w:eastAsiaTheme="minorEastAsia" w:hAnsi="Times New Roman" w:cs="Times New Roman"/>
          <w:lang w:val="en-GB"/>
        </w:rPr>
        <w:t>Kanashiro</w:t>
      </w:r>
      <w:proofErr w:type="spellEnd"/>
      <w:r w:rsidRPr="005E6EA8">
        <w:rPr>
          <w:rFonts w:ascii="Times New Roman" w:eastAsiaTheme="minorEastAsia" w:hAnsi="Times New Roman" w:cs="Times New Roman"/>
          <w:lang w:val="en-GB"/>
        </w:rPr>
        <w:t xml:space="preserve">, MPhil and Rossina Pareja, MSc, from Instituto de </w:t>
      </w:r>
      <w:proofErr w:type="spellStart"/>
      <w:r w:rsidRPr="005E6EA8">
        <w:rPr>
          <w:rFonts w:ascii="Times New Roman" w:eastAsiaTheme="minorEastAsia" w:hAnsi="Times New Roman" w:cs="Times New Roman"/>
          <w:lang w:val="en-GB"/>
        </w:rPr>
        <w:t>Investigación</w:t>
      </w:r>
      <w:proofErr w:type="spellEnd"/>
      <w:r w:rsidRPr="005E6EA8">
        <w:rPr>
          <w:rFonts w:ascii="Times New Roman" w:eastAsiaTheme="minorEastAsia" w:hAnsi="Times New Roman" w:cs="Times New Roman"/>
          <w:lang w:val="en-GB"/>
        </w:rPr>
        <w:t xml:space="preserve"> </w:t>
      </w:r>
      <w:proofErr w:type="spellStart"/>
      <w:r w:rsidRPr="005E6EA8">
        <w:rPr>
          <w:rFonts w:ascii="Times New Roman" w:eastAsiaTheme="minorEastAsia" w:hAnsi="Times New Roman" w:cs="Times New Roman"/>
          <w:lang w:val="en-GB"/>
        </w:rPr>
        <w:t>Nutricional</w:t>
      </w:r>
      <w:proofErr w:type="spellEnd"/>
      <w:r w:rsidRPr="005E6EA8">
        <w:rPr>
          <w:rFonts w:ascii="Times New Roman" w:eastAsiaTheme="minorEastAsia" w:hAnsi="Times New Roman" w:cs="Times New Roman"/>
          <w:lang w:val="en-GB"/>
        </w:rPr>
        <w:t xml:space="preserve"> (Perú), Dr Emily Rousham from Loughborough University(UK), Dr Doris Delgado form Universidad Nacional Mayor de San Marcos (Peru), Dr Nervo Verdezoto from Cardiff University (UK), Dr Edwige Landais from the French National Research Institute for Sustainable Development and Dr Emma Haycraft from Loughborough University (UK).</w:t>
      </w:r>
    </w:p>
    <w:p w14:paraId="7AFB3DC3" w14:textId="77777777" w:rsidR="005E6EA8" w:rsidRPr="005E6EA8" w:rsidRDefault="005E6EA8" w:rsidP="005E6EA8">
      <w:pPr>
        <w:spacing w:line="320" w:lineRule="atLeast"/>
        <w:contextualSpacing/>
        <w:jc w:val="both"/>
        <w:rPr>
          <w:rFonts w:ascii="Times New Roman" w:eastAsiaTheme="minorEastAsia" w:hAnsi="Times New Roman" w:cs="Times New Roman"/>
          <w:lang w:val="en-GB"/>
        </w:rPr>
      </w:pPr>
      <w:r w:rsidRPr="005E6EA8">
        <w:rPr>
          <w:rFonts w:ascii="Times New Roman" w:eastAsiaTheme="minorEastAsia" w:hAnsi="Times New Roman" w:cs="Times New Roman"/>
          <w:lang w:val="en-GB"/>
        </w:rPr>
        <w:t xml:space="preserve">We thankfully acknowledge the 16 experts </w:t>
      </w:r>
      <w:r w:rsidRPr="005E6EA8">
        <w:rPr>
          <w:rFonts w:ascii="Times New Roman" w:hAnsi="Times New Roman" w:cs="Times New Roman"/>
          <w:lang w:val="en-GB"/>
        </w:rPr>
        <w:t xml:space="preserve">from government and international cooperation agencies </w:t>
      </w:r>
      <w:r w:rsidRPr="005E6EA8">
        <w:rPr>
          <w:rFonts w:ascii="Times New Roman" w:eastAsiaTheme="minorEastAsia" w:hAnsi="Times New Roman" w:cs="Times New Roman"/>
          <w:lang w:val="en-GB"/>
        </w:rPr>
        <w:t xml:space="preserve">who participated in the validation of the evidence document, the rating of identified actions, and the prioritisation of actions for the Peruvian government. </w:t>
      </w:r>
    </w:p>
    <w:p w14:paraId="137D5562" w14:textId="77777777" w:rsidR="005E6EA8" w:rsidRPr="005E6EA8" w:rsidRDefault="005E6EA8" w:rsidP="005E6EA8">
      <w:pPr>
        <w:spacing w:line="320" w:lineRule="atLeast"/>
        <w:contextualSpacing/>
        <w:jc w:val="both"/>
        <w:rPr>
          <w:rFonts w:ascii="Times New Roman" w:eastAsiaTheme="minorEastAsia" w:hAnsi="Times New Roman" w:cs="Times New Roman"/>
          <w:lang w:val="en-GB"/>
        </w:rPr>
      </w:pPr>
      <w:r w:rsidRPr="005E6EA8">
        <w:rPr>
          <w:rFonts w:ascii="Times New Roman" w:eastAsiaTheme="minorEastAsia" w:hAnsi="Times New Roman" w:cs="Times New Roman"/>
          <w:lang w:val="en-GB"/>
        </w:rPr>
        <w:t xml:space="preserve">We acknowledge the support from nutritionists </w:t>
      </w:r>
      <w:proofErr w:type="spellStart"/>
      <w:r w:rsidRPr="005E6EA8">
        <w:rPr>
          <w:rFonts w:ascii="Times New Roman" w:eastAsiaTheme="minorEastAsia" w:hAnsi="Times New Roman" w:cs="Times New Roman"/>
          <w:lang w:val="en-GB"/>
        </w:rPr>
        <w:t>Yuliza</w:t>
      </w:r>
      <w:proofErr w:type="spellEnd"/>
      <w:r w:rsidRPr="005E6EA8">
        <w:rPr>
          <w:rFonts w:ascii="Times New Roman" w:eastAsiaTheme="minorEastAsia" w:hAnsi="Times New Roman" w:cs="Times New Roman"/>
          <w:lang w:val="en-GB"/>
        </w:rPr>
        <w:t xml:space="preserve"> Lara Romero, Mirella </w:t>
      </w:r>
      <w:proofErr w:type="gramStart"/>
      <w:r w:rsidRPr="005E6EA8">
        <w:rPr>
          <w:rFonts w:ascii="Times New Roman" w:eastAsiaTheme="minorEastAsia" w:hAnsi="Times New Roman" w:cs="Times New Roman"/>
          <w:lang w:val="en-GB"/>
        </w:rPr>
        <w:t>Carrillo</w:t>
      </w:r>
      <w:proofErr w:type="gramEnd"/>
      <w:r w:rsidRPr="005E6EA8">
        <w:rPr>
          <w:rFonts w:ascii="Times New Roman" w:eastAsiaTheme="minorEastAsia" w:hAnsi="Times New Roman" w:cs="Times New Roman"/>
          <w:lang w:val="en-GB"/>
        </w:rPr>
        <w:t xml:space="preserve"> and Deysi Lozano, as well as UNMSM nutrition students Marcos Chávez and Adela </w:t>
      </w:r>
      <w:proofErr w:type="spellStart"/>
      <w:r w:rsidRPr="005E6EA8">
        <w:rPr>
          <w:rFonts w:ascii="Times New Roman" w:eastAsiaTheme="minorEastAsia" w:hAnsi="Times New Roman" w:cs="Times New Roman"/>
          <w:lang w:val="en-GB"/>
        </w:rPr>
        <w:t>Alcedo</w:t>
      </w:r>
      <w:proofErr w:type="spellEnd"/>
      <w:r w:rsidRPr="005E6EA8">
        <w:rPr>
          <w:rFonts w:ascii="Times New Roman" w:eastAsiaTheme="minorEastAsia" w:hAnsi="Times New Roman" w:cs="Times New Roman"/>
          <w:lang w:val="en-GB"/>
        </w:rPr>
        <w:t xml:space="preserve">, for their help in transcribing interviews, preparing graphs, diagrams and formatting references in the evidence document and in the research brief.     </w:t>
      </w:r>
    </w:p>
    <w:p w14:paraId="4A4147AC" w14:textId="77777777" w:rsidR="005E6EA8" w:rsidRPr="005E6EA8" w:rsidRDefault="005E6EA8" w:rsidP="005E6EA8">
      <w:pPr>
        <w:spacing w:line="320" w:lineRule="atLeast"/>
        <w:contextualSpacing/>
        <w:jc w:val="both"/>
        <w:rPr>
          <w:rFonts w:ascii="Times New Roman" w:eastAsiaTheme="minorEastAsia" w:hAnsi="Times New Roman" w:cs="Times New Roman"/>
          <w:lang w:val="en-GB"/>
        </w:rPr>
      </w:pPr>
    </w:p>
    <w:p w14:paraId="45677EBB" w14:textId="77777777" w:rsidR="005E6EA8" w:rsidRPr="00CA1F19" w:rsidRDefault="005E6EA8" w:rsidP="005E6EA8">
      <w:pPr>
        <w:spacing w:line="360" w:lineRule="auto"/>
        <w:contextualSpacing/>
        <w:jc w:val="both"/>
        <w:rPr>
          <w:rFonts w:ascii="Times New Roman" w:hAnsi="Times New Roman" w:cs="Times New Roman"/>
          <w:b/>
          <w:color w:val="FF9900"/>
          <w:sz w:val="24"/>
          <w:szCs w:val="24"/>
          <w:lang w:val="en-GB"/>
        </w:rPr>
      </w:pPr>
      <w:r w:rsidRPr="00CA1F19">
        <w:rPr>
          <w:rFonts w:ascii="Times New Roman" w:hAnsi="Times New Roman" w:cs="Times New Roman"/>
          <w:b/>
          <w:color w:val="FF9900"/>
          <w:sz w:val="24"/>
          <w:szCs w:val="24"/>
          <w:lang w:val="en-GB"/>
        </w:rPr>
        <w:t xml:space="preserve">Funding acknowledgement </w:t>
      </w:r>
    </w:p>
    <w:p w14:paraId="2E759F55" w14:textId="77777777" w:rsidR="005E6EA8" w:rsidRPr="005E6EA8" w:rsidRDefault="005E6EA8" w:rsidP="005E6EA8">
      <w:pPr>
        <w:spacing w:line="276" w:lineRule="auto"/>
        <w:contextualSpacing/>
        <w:jc w:val="both"/>
        <w:rPr>
          <w:rFonts w:ascii="Times New Roman" w:eastAsiaTheme="minorEastAsia" w:hAnsi="Times New Roman" w:cs="Times New Roman"/>
          <w:lang w:val="en-GB" w:eastAsia="en-GB"/>
        </w:rPr>
      </w:pPr>
      <w:r w:rsidRPr="005E6EA8">
        <w:rPr>
          <w:rFonts w:ascii="Times New Roman" w:eastAsiaTheme="minorEastAsia" w:hAnsi="Times New Roman" w:cs="Times New Roman"/>
          <w:lang w:val="en-GB" w:eastAsia="en-GB"/>
        </w:rPr>
        <w:t>Funding support for the study was received from the UK-Peru Newton Fund, UK Medical Research Council (MR/S024921/1) and CONCYTEC/FONDECYT Perú (032-2019).</w:t>
      </w:r>
    </w:p>
    <w:p w14:paraId="1119FEC8" w14:textId="53620A9A" w:rsidR="00FC7E61" w:rsidRPr="00FC7E61" w:rsidRDefault="00FC7E61" w:rsidP="00FC7E61">
      <w:pPr>
        <w:spacing w:after="0" w:line="240" w:lineRule="auto"/>
        <w:jc w:val="both"/>
        <w:rPr>
          <w:rFonts w:ascii="Times New Roman" w:eastAsia="PT Sans Narrow" w:hAnsi="Times New Roman" w:cs="Times New Roman"/>
          <w:b/>
          <w:color w:val="FF9900"/>
          <w:sz w:val="28"/>
          <w:szCs w:val="28"/>
          <w:lang w:eastAsia="en-GB"/>
        </w:rPr>
      </w:pPr>
      <w:r w:rsidRPr="00FC7E61">
        <w:rPr>
          <w:rFonts w:ascii="Times New Roman" w:eastAsia="PT Sans Narrow" w:hAnsi="Times New Roman" w:cs="Times New Roman"/>
          <w:b/>
          <w:color w:val="FF9900"/>
          <w:sz w:val="28"/>
          <w:szCs w:val="28"/>
          <w:lang w:val="en-US" w:eastAsia="en-GB"/>
        </w:rPr>
        <w:t> </w:t>
      </w:r>
      <w:r w:rsidRPr="00FC7E61">
        <w:rPr>
          <w:rFonts w:ascii="Times New Roman" w:eastAsia="PT Sans Narrow" w:hAnsi="Times New Roman" w:cs="Times New Roman"/>
          <w:b/>
          <w:noProof/>
          <w:color w:val="FF9900"/>
          <w:sz w:val="28"/>
          <w:szCs w:val="28"/>
          <w:lang w:val="en-GB" w:eastAsia="en-GB"/>
        </w:rPr>
        <w:drawing>
          <wp:inline distT="0" distB="0" distL="0" distR="0" wp14:anchorId="19DC41EC" wp14:editId="31D9B508">
            <wp:extent cx="1012394" cy="529903"/>
            <wp:effectExtent l="0" t="0" r="0" b="3810"/>
            <wp:docPr id="1076" name="Imagen 1076"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Imagen 1076" descr="Texto&#10;&#10;Descripción generada automáticamente con confianza medi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23617" cy="535777"/>
                    </a:xfrm>
                    <a:prstGeom prst="rect">
                      <a:avLst/>
                    </a:prstGeom>
                    <a:noFill/>
                  </pic:spPr>
                </pic:pic>
              </a:graphicData>
            </a:graphic>
          </wp:inline>
        </w:drawing>
      </w:r>
      <w:r w:rsidRPr="00FC7E61">
        <w:rPr>
          <w:rFonts w:ascii="Times New Roman" w:eastAsia="PT Sans Narrow" w:hAnsi="Times New Roman" w:cs="Times New Roman"/>
          <w:b/>
          <w:color w:val="FF9900"/>
          <w:sz w:val="28"/>
          <w:szCs w:val="28"/>
          <w:lang w:eastAsia="en-GB"/>
        </w:rPr>
        <w:t xml:space="preserve">  </w:t>
      </w:r>
      <w:commentRangeStart w:id="7"/>
      <w:r w:rsidR="00DE7E47">
        <w:rPr>
          <w:rFonts w:eastAsia="Times New Roman"/>
          <w:noProof/>
        </w:rPr>
        <w:drawing>
          <wp:inline distT="0" distB="0" distL="0" distR="0" wp14:anchorId="3F0FA74C" wp14:editId="451F0DD2">
            <wp:extent cx="2118360" cy="525780"/>
            <wp:effectExtent l="0" t="0" r="1524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2118360" cy="525780"/>
                    </a:xfrm>
                    <a:prstGeom prst="rect">
                      <a:avLst/>
                    </a:prstGeom>
                    <a:noFill/>
                    <a:ln>
                      <a:noFill/>
                    </a:ln>
                  </pic:spPr>
                </pic:pic>
              </a:graphicData>
            </a:graphic>
          </wp:inline>
        </w:drawing>
      </w:r>
      <w:commentRangeEnd w:id="7"/>
      <w:r w:rsidR="008C6BD7">
        <w:rPr>
          <w:rStyle w:val="CommentReference"/>
        </w:rPr>
        <w:commentReference w:id="7"/>
      </w:r>
    </w:p>
    <w:p w14:paraId="2D5002C4" w14:textId="77777777" w:rsidR="00FC7E61" w:rsidRPr="005E6EA8" w:rsidRDefault="00FC7E61" w:rsidP="00FC7E61">
      <w:pPr>
        <w:spacing w:after="0" w:line="240" w:lineRule="auto"/>
        <w:jc w:val="both"/>
        <w:rPr>
          <w:rFonts w:ascii="Times New Roman" w:eastAsia="PT Sans Narrow" w:hAnsi="Times New Roman" w:cs="Times New Roman"/>
          <w:b/>
          <w:color w:val="FF9900"/>
          <w:sz w:val="28"/>
          <w:szCs w:val="28"/>
          <w:lang w:val="en-GB" w:eastAsia="en-GB"/>
        </w:rPr>
      </w:pPr>
    </w:p>
    <w:p w14:paraId="7186F74F" w14:textId="6596EF0F" w:rsidR="00FC7E61" w:rsidRPr="00FC7E61" w:rsidRDefault="00FC7E61" w:rsidP="00FC7E61">
      <w:pPr>
        <w:spacing w:after="0" w:line="240" w:lineRule="auto"/>
        <w:jc w:val="both"/>
        <w:rPr>
          <w:rFonts w:ascii="Times New Roman" w:eastAsia="Calibri" w:hAnsi="Times New Roman" w:cs="Times New Roman"/>
          <w:sz w:val="24"/>
          <w:szCs w:val="24"/>
          <w:lang w:val="en-GB"/>
        </w:rPr>
      </w:pPr>
      <w:r w:rsidRPr="00FC7E61">
        <w:rPr>
          <w:rFonts w:ascii="Times New Roman" w:eastAsia="PT Sans Narrow" w:hAnsi="Times New Roman" w:cs="Times New Roman"/>
          <w:b/>
          <w:color w:val="FF9900"/>
          <w:sz w:val="24"/>
          <w:szCs w:val="24"/>
          <w:lang w:val="en-GB" w:eastAsia="en-GB"/>
        </w:rPr>
        <w:t>Collaborating institutions:</w:t>
      </w:r>
    </w:p>
    <w:p w14:paraId="61CA974B" w14:textId="6A5E09A8" w:rsidR="00FC7E61" w:rsidRPr="00FC7E61" w:rsidRDefault="00FC7E61" w:rsidP="00FC7E61">
      <w:pPr>
        <w:keepNext/>
        <w:keepLines/>
        <w:widowControl w:val="0"/>
        <w:pBdr>
          <w:top w:val="nil"/>
          <w:left w:val="nil"/>
          <w:bottom w:val="nil"/>
          <w:right w:val="nil"/>
          <w:between w:val="nil"/>
        </w:pBdr>
        <w:spacing w:before="240" w:after="240" w:line="320" w:lineRule="atLeast"/>
        <w:jc w:val="both"/>
        <w:outlineLvl w:val="0"/>
        <w:rPr>
          <w:rFonts w:ascii="Times New Roman" w:eastAsia="PT Sans Narrow" w:hAnsi="Times New Roman" w:cs="Times New Roman"/>
          <w:b/>
          <w:color w:val="FF9900"/>
          <w:sz w:val="28"/>
          <w:szCs w:val="28"/>
          <w:lang w:val="en-GB" w:eastAsia="en-GB"/>
        </w:rPr>
      </w:pPr>
      <w:r w:rsidRPr="00FC7E61">
        <w:rPr>
          <w:rFonts w:ascii="Times New Roman" w:eastAsia="PT Sans Narrow" w:hAnsi="Times New Roman" w:cs="Times New Roman"/>
          <w:b/>
          <w:noProof/>
          <w:color w:val="FF9900"/>
          <w:sz w:val="24"/>
          <w:szCs w:val="24"/>
          <w:lang w:val="en-GB" w:eastAsia="en-GB"/>
        </w:rPr>
        <w:drawing>
          <wp:anchor distT="0" distB="0" distL="114300" distR="114300" simplePos="0" relativeHeight="251658243" behindDoc="1" locked="0" layoutInCell="1" allowOverlap="1" wp14:anchorId="2ECC244F" wp14:editId="2B31DD3D">
            <wp:simplePos x="0" y="0"/>
            <wp:positionH relativeFrom="column">
              <wp:posOffset>5569816</wp:posOffset>
            </wp:positionH>
            <wp:positionV relativeFrom="paragraph">
              <wp:posOffset>143856</wp:posOffset>
            </wp:positionV>
            <wp:extent cx="697831" cy="913268"/>
            <wp:effectExtent l="0" t="0" r="1270" b="1270"/>
            <wp:wrapNone/>
            <wp:docPr id="12" name="Imagen 11" descr="Imagen que contiene Logotipo&#10;&#10;Descripción generada automáticamente">
              <a:extLst xmlns:a="http://schemas.openxmlformats.org/drawingml/2006/main">
                <a:ext uri="{FF2B5EF4-FFF2-40B4-BE49-F238E27FC236}">
                  <a16:creationId xmlns:a16="http://schemas.microsoft.com/office/drawing/2014/main" id="{B901E536-34DC-44EA-B15D-1D929153C5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1" descr="Imagen que contiene Logotipo&#10;&#10;Descripción generada automáticamente">
                      <a:extLst>
                        <a:ext uri="{FF2B5EF4-FFF2-40B4-BE49-F238E27FC236}">
                          <a16:creationId xmlns:a16="http://schemas.microsoft.com/office/drawing/2014/main" id="{B901E536-34DC-44EA-B15D-1D929153C57F}"/>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97831" cy="913268"/>
                    </a:xfrm>
                    <a:prstGeom prst="rect">
                      <a:avLst/>
                    </a:prstGeom>
                  </pic:spPr>
                </pic:pic>
              </a:graphicData>
            </a:graphic>
            <wp14:sizeRelH relativeFrom="margin">
              <wp14:pctWidth>0</wp14:pctWidth>
            </wp14:sizeRelH>
            <wp14:sizeRelV relativeFrom="margin">
              <wp14:pctHeight>0</wp14:pctHeight>
            </wp14:sizeRelV>
          </wp:anchor>
        </w:drawing>
      </w:r>
      <w:r w:rsidRPr="00FC7E61">
        <w:rPr>
          <w:rFonts w:ascii="Times New Roman" w:eastAsia="PT Sans Narrow" w:hAnsi="Times New Roman" w:cs="Times New Roman"/>
          <w:b/>
          <w:noProof/>
          <w:color w:val="FF9900"/>
          <w:sz w:val="24"/>
          <w:szCs w:val="24"/>
          <w:lang w:val="en-GB" w:eastAsia="en-GB"/>
        </w:rPr>
        <w:drawing>
          <wp:anchor distT="0" distB="0" distL="114300" distR="114300" simplePos="0" relativeHeight="251658241" behindDoc="1" locked="0" layoutInCell="1" allowOverlap="1" wp14:anchorId="2A2A551C" wp14:editId="48A436D5">
            <wp:simplePos x="0" y="0"/>
            <wp:positionH relativeFrom="column">
              <wp:posOffset>4625283</wp:posOffset>
            </wp:positionH>
            <wp:positionV relativeFrom="paragraph">
              <wp:posOffset>476134</wp:posOffset>
            </wp:positionV>
            <wp:extent cx="826169" cy="441163"/>
            <wp:effectExtent l="0" t="0" r="0" b="3810"/>
            <wp:wrapNone/>
            <wp:docPr id="36" name="Picture 2"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2" descr="Texto&#10;&#10;Descripción generada automáticamente con confianza medi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26169" cy="441163"/>
                    </a:xfrm>
                    <a:prstGeom prst="rect">
                      <a:avLst/>
                    </a:prstGeom>
                    <a:noFill/>
                    <a:ln>
                      <a:noFill/>
                    </a:ln>
                    <a:effectLst/>
                    <a:extLst>
                      <a:ext uri="{909E8E84-426E-40dd-AFC4-6F175D3DCCD1}">
                        <a14:hiddenFill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xmlns:arto="http://schemas.microsoft.com/office/word/2006/arto">
                          <a:solidFill>
                            <a:schemeClr val="accent1"/>
                          </a:solidFill>
                        </a14:hiddenFill>
                      </a:ext>
                      <a:ext uri="{91240B29-F687-4f45-9708-019B960494DF}">
                        <a14:hiddenLine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xmlns:arto="http://schemas.microsoft.com/office/word/2006/arto" w="9525">
                          <a:solidFill>
                            <a:schemeClr val="tx1"/>
                          </a:solidFill>
                          <a:miter lim="800000"/>
                          <a:headEnd/>
                          <a:tailEnd/>
                        </a14:hiddenLine>
                      </a:ext>
                      <a:ext uri="{AF507438-7753-43e0-B8FC-AC1667EBCBE1}">
                        <a14:hiddenEffects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xmlns:arto="http://schemas.microsoft.com/office/word/2006/arto">
                          <a:effectLst>
                            <a:outerShdw dist="35921" dir="2700000" algn="ctr" rotWithShape="0">
                              <a:schemeClr val="bg2"/>
                            </a:outerShdw>
                          </a:effectLst>
                        </a14:hiddenEffects>
                      </a:ext>
                    </a:extLst>
                  </pic:spPr>
                </pic:pic>
              </a:graphicData>
            </a:graphic>
            <wp14:sizeRelH relativeFrom="margin">
              <wp14:pctWidth>0</wp14:pctWidth>
            </wp14:sizeRelH>
            <wp14:sizeRelV relativeFrom="margin">
              <wp14:pctHeight>0</wp14:pctHeight>
            </wp14:sizeRelV>
          </wp:anchor>
        </w:drawing>
      </w:r>
      <w:r w:rsidRPr="00FC7E61">
        <w:rPr>
          <w:rFonts w:ascii="Times New Roman" w:eastAsia="PT Sans Narrow" w:hAnsi="Times New Roman" w:cs="Times New Roman"/>
          <w:b/>
          <w:noProof/>
          <w:color w:val="FF9900"/>
          <w:sz w:val="24"/>
          <w:szCs w:val="24"/>
          <w:lang w:val="en-GB" w:eastAsia="en-GB"/>
        </w:rPr>
        <w:drawing>
          <wp:anchor distT="0" distB="0" distL="114300" distR="114300" simplePos="0" relativeHeight="251658240" behindDoc="1" locked="0" layoutInCell="1" allowOverlap="1" wp14:anchorId="3ADFAD7C" wp14:editId="2881A993">
            <wp:simplePos x="0" y="0"/>
            <wp:positionH relativeFrom="column">
              <wp:posOffset>1205000</wp:posOffset>
            </wp:positionH>
            <wp:positionV relativeFrom="paragraph">
              <wp:posOffset>255386</wp:posOffset>
            </wp:positionV>
            <wp:extent cx="2486526" cy="859740"/>
            <wp:effectExtent l="0" t="0" r="3175" b="4445"/>
            <wp:wrapNone/>
            <wp:docPr id="35" name="Imagen 35"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n 35" descr="Imagen que contiene Texto&#10;&#10;Descripción generada automáticament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86526" cy="859740"/>
                    </a:xfrm>
                    <a:prstGeom prst="rect">
                      <a:avLst/>
                    </a:prstGeom>
                    <a:noFill/>
                  </pic:spPr>
                </pic:pic>
              </a:graphicData>
            </a:graphic>
            <wp14:sizeRelH relativeFrom="page">
              <wp14:pctWidth>0</wp14:pctWidth>
            </wp14:sizeRelH>
            <wp14:sizeRelV relativeFrom="page">
              <wp14:pctHeight>0</wp14:pctHeight>
            </wp14:sizeRelV>
          </wp:anchor>
        </w:drawing>
      </w:r>
      <w:r w:rsidRPr="00FC7E61">
        <w:rPr>
          <w:rFonts w:ascii="Times New Roman" w:eastAsia="PT Sans Narrow" w:hAnsi="Times New Roman" w:cs="Times New Roman"/>
          <w:b/>
          <w:noProof/>
          <w:color w:val="FF9900"/>
          <w:sz w:val="24"/>
          <w:szCs w:val="24"/>
          <w:lang w:val="en-GB" w:eastAsia="en-GB"/>
        </w:rPr>
        <w:drawing>
          <wp:anchor distT="0" distB="0" distL="114300" distR="114300" simplePos="0" relativeHeight="251658244" behindDoc="1" locked="0" layoutInCell="1" allowOverlap="1" wp14:anchorId="694A4B06" wp14:editId="1C5EC53F">
            <wp:simplePos x="0" y="0"/>
            <wp:positionH relativeFrom="margin">
              <wp:align>left</wp:align>
            </wp:positionH>
            <wp:positionV relativeFrom="paragraph">
              <wp:posOffset>353060</wp:posOffset>
            </wp:positionV>
            <wp:extent cx="1267326" cy="551615"/>
            <wp:effectExtent l="0" t="0" r="0" b="1270"/>
            <wp:wrapNone/>
            <wp:docPr id="5" name="Picture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Imagen que contiene Logotipo&#10;&#10;Descripción generada automáticament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67326" cy="551615"/>
                    </a:xfrm>
                    <a:prstGeom prst="rect">
                      <a:avLst/>
                    </a:prstGeom>
                    <a:noFill/>
                    <a:ln>
                      <a:noFill/>
                    </a:ln>
                    <a:effectLst/>
                    <a:extLst>
                      <a:ext uri="{909E8E84-426E-40dd-AFC4-6F175D3DCCD1}">
                        <a14:hiddenFill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xmlns:arto="http://schemas.microsoft.com/office/word/2006/arto">
                          <a:solidFill>
                            <a:schemeClr val="accent1"/>
                          </a:solidFill>
                        </a14:hiddenFill>
                      </a:ext>
                      <a:ext uri="{91240B29-F687-4f45-9708-019B960494DF}">
                        <a14:hiddenLine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xmlns:arto="http://schemas.microsoft.com/office/word/2006/arto" w="9525">
                          <a:solidFill>
                            <a:schemeClr val="tx1"/>
                          </a:solidFill>
                          <a:miter lim="800000"/>
                          <a:headEnd/>
                          <a:tailEnd/>
                        </a14:hiddenLine>
                      </a:ext>
                      <a:ext uri="{AF507438-7753-43e0-B8FC-AC1667EBCBE1}">
                        <a14:hiddenEffects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xmlns:arto="http://schemas.microsoft.com/office/word/2006/arto">
                          <a:effectLst>
                            <a:outerShdw dist="35921" dir="2700000" algn="ctr" rotWithShape="0">
                              <a:schemeClr val="bg2"/>
                            </a:outerShdw>
                          </a:effectLst>
                        </a14:hiddenEffects>
                      </a:ext>
                    </a:extLst>
                  </pic:spPr>
                </pic:pic>
              </a:graphicData>
            </a:graphic>
            <wp14:sizeRelH relativeFrom="page">
              <wp14:pctWidth>0</wp14:pctWidth>
            </wp14:sizeRelH>
            <wp14:sizeRelV relativeFrom="page">
              <wp14:pctHeight>0</wp14:pctHeight>
            </wp14:sizeRelV>
          </wp:anchor>
        </w:drawing>
      </w:r>
    </w:p>
    <w:p w14:paraId="341B135B" w14:textId="4281AF9E" w:rsidR="00FC7E61" w:rsidRPr="00FC7E61" w:rsidRDefault="00FC7E61" w:rsidP="00FC7E61">
      <w:pPr>
        <w:keepNext/>
        <w:keepLines/>
        <w:widowControl w:val="0"/>
        <w:pBdr>
          <w:top w:val="nil"/>
          <w:left w:val="nil"/>
          <w:bottom w:val="nil"/>
          <w:right w:val="nil"/>
          <w:between w:val="nil"/>
        </w:pBdr>
        <w:spacing w:before="240" w:after="240" w:line="320" w:lineRule="atLeast"/>
        <w:jc w:val="both"/>
        <w:outlineLvl w:val="0"/>
        <w:rPr>
          <w:rFonts w:ascii="Times New Roman" w:eastAsia="PT Sans Narrow" w:hAnsi="Times New Roman" w:cs="Times New Roman"/>
          <w:b/>
          <w:color w:val="FF9900"/>
          <w:sz w:val="28"/>
          <w:szCs w:val="28"/>
          <w:lang w:val="en-GB" w:eastAsia="en-GB"/>
        </w:rPr>
      </w:pPr>
      <w:r w:rsidRPr="00FC7E61">
        <w:rPr>
          <w:rFonts w:ascii="Times New Roman" w:eastAsia="PT Sans Narrow" w:hAnsi="Times New Roman" w:cs="Times New Roman"/>
          <w:b/>
          <w:noProof/>
          <w:color w:val="FF9900"/>
          <w:sz w:val="24"/>
          <w:szCs w:val="24"/>
          <w:lang w:val="en-GB" w:eastAsia="en-GB"/>
        </w:rPr>
        <w:drawing>
          <wp:anchor distT="0" distB="0" distL="114300" distR="114300" simplePos="0" relativeHeight="251658242" behindDoc="1" locked="0" layoutInCell="1" allowOverlap="1" wp14:anchorId="0D2099D7" wp14:editId="32FA7835">
            <wp:simplePos x="0" y="0"/>
            <wp:positionH relativeFrom="column">
              <wp:posOffset>3240752</wp:posOffset>
            </wp:positionH>
            <wp:positionV relativeFrom="paragraph">
              <wp:posOffset>11950</wp:posOffset>
            </wp:positionV>
            <wp:extent cx="1225466" cy="401182"/>
            <wp:effectExtent l="0" t="0" r="0" b="5715"/>
            <wp:wrapNone/>
            <wp:docPr id="11" name="Picture 5" descr="A close up of a logo&#10;&#10;Description automatically generated">
              <a:extLst xmlns:a="http://schemas.openxmlformats.org/drawingml/2006/main">
                <a:ext uri="{FF2B5EF4-FFF2-40B4-BE49-F238E27FC236}">
                  <a16:creationId xmlns:a16="http://schemas.microsoft.com/office/drawing/2014/main" id="{D8FCCB8D-392C-D746-ADDD-8EC038AB5B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5" descr="A close up of a logo&#10;&#10;Description automatically generated">
                      <a:extLst>
                        <a:ext uri="{FF2B5EF4-FFF2-40B4-BE49-F238E27FC236}">
                          <a16:creationId xmlns:a16="http://schemas.microsoft.com/office/drawing/2014/main" id="{D8FCCB8D-392C-D746-ADDD-8EC038AB5B63}"/>
                        </a:ext>
                      </a:extLst>
                    </pic:cNvPr>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1225466" cy="401182"/>
                    </a:xfrm>
                    <a:prstGeom prst="rect">
                      <a:avLst/>
                    </a:prstGeom>
                  </pic:spPr>
                </pic:pic>
              </a:graphicData>
            </a:graphic>
            <wp14:sizeRelH relativeFrom="margin">
              <wp14:pctWidth>0</wp14:pctWidth>
            </wp14:sizeRelH>
            <wp14:sizeRelV relativeFrom="margin">
              <wp14:pctHeight>0</wp14:pctHeight>
            </wp14:sizeRelV>
          </wp:anchor>
        </w:drawing>
      </w:r>
    </w:p>
    <w:p w14:paraId="0DC24E3F" w14:textId="77777777" w:rsidR="00FC7E61" w:rsidRPr="00FC7E61" w:rsidRDefault="00FC7E61" w:rsidP="00FC7E61">
      <w:pPr>
        <w:keepNext/>
        <w:keepLines/>
        <w:widowControl w:val="0"/>
        <w:pBdr>
          <w:top w:val="nil"/>
          <w:left w:val="nil"/>
          <w:bottom w:val="nil"/>
          <w:right w:val="nil"/>
          <w:between w:val="nil"/>
        </w:pBdr>
        <w:spacing w:before="240" w:after="240" w:line="320" w:lineRule="atLeast"/>
        <w:jc w:val="both"/>
        <w:outlineLvl w:val="0"/>
        <w:rPr>
          <w:rFonts w:ascii="Times New Roman" w:eastAsia="PT Sans Narrow" w:hAnsi="Times New Roman" w:cs="Times New Roman"/>
          <w:b/>
          <w:color w:val="FF9900"/>
          <w:sz w:val="28"/>
          <w:szCs w:val="28"/>
          <w:lang w:val="en-GB" w:eastAsia="en-GB"/>
        </w:rPr>
      </w:pPr>
    </w:p>
    <w:p w14:paraId="582159E5" w14:textId="77777777" w:rsidR="005E6EA8" w:rsidRDefault="005E6EA8" w:rsidP="00FC7E61">
      <w:pPr>
        <w:spacing w:after="0" w:line="240" w:lineRule="auto"/>
        <w:rPr>
          <w:rFonts w:ascii="Times New Roman" w:eastAsia="Calibri" w:hAnsi="Times New Roman" w:cs="Times New Roman"/>
          <w:color w:val="FF9900"/>
          <w:sz w:val="28"/>
          <w:szCs w:val="28"/>
          <w:lang w:val="en-GB"/>
        </w:rPr>
      </w:pPr>
    </w:p>
    <w:p w14:paraId="2FBA74FD" w14:textId="77777777" w:rsidR="005E6EA8" w:rsidRPr="00CA1F19" w:rsidRDefault="005E6EA8" w:rsidP="005E6EA8">
      <w:pPr>
        <w:spacing w:after="200" w:line="240" w:lineRule="auto"/>
        <w:rPr>
          <w:rFonts w:ascii="Times New Roman" w:hAnsi="Times New Roman" w:cs="Times New Roman"/>
          <w:b/>
          <w:color w:val="FF9900"/>
          <w:sz w:val="24"/>
          <w:szCs w:val="24"/>
        </w:rPr>
      </w:pPr>
      <w:commentRangeStart w:id="8"/>
      <w:proofErr w:type="spellStart"/>
      <w:r w:rsidRPr="00CA1F19">
        <w:rPr>
          <w:rFonts w:ascii="Times New Roman" w:hAnsi="Times New Roman" w:cs="Times New Roman"/>
          <w:b/>
          <w:color w:val="FF9900"/>
          <w:sz w:val="24"/>
          <w:szCs w:val="24"/>
        </w:rPr>
        <w:t>References</w:t>
      </w:r>
      <w:commentRangeEnd w:id="8"/>
      <w:proofErr w:type="spellEnd"/>
      <w:r w:rsidR="008C6BD7">
        <w:rPr>
          <w:rStyle w:val="CommentReference"/>
        </w:rPr>
        <w:commentReference w:id="8"/>
      </w:r>
      <w:r w:rsidRPr="00CA1F19">
        <w:rPr>
          <w:rFonts w:ascii="Times New Roman" w:hAnsi="Times New Roman" w:cs="Times New Roman"/>
          <w:b/>
          <w:color w:val="FF9900"/>
          <w:sz w:val="24"/>
          <w:szCs w:val="24"/>
        </w:rPr>
        <w:t xml:space="preserve"> </w:t>
      </w:r>
    </w:p>
    <w:tbl>
      <w:tblPr>
        <w:tblW w:w="5000" w:type="pct"/>
        <w:tblCellSpacing w:w="15" w:type="dxa"/>
        <w:tblInd w:w="-45" w:type="dxa"/>
        <w:tblCellMar>
          <w:top w:w="15" w:type="dxa"/>
          <w:left w:w="15" w:type="dxa"/>
          <w:bottom w:w="15" w:type="dxa"/>
          <w:right w:w="15" w:type="dxa"/>
        </w:tblCellMar>
        <w:tblLook w:val="04A0" w:firstRow="1" w:lastRow="0" w:firstColumn="1" w:lastColumn="0" w:noHBand="0" w:noVBand="1"/>
      </w:tblPr>
      <w:tblGrid>
        <w:gridCol w:w="8504"/>
      </w:tblGrid>
      <w:tr w:rsidR="005E6EA8" w:rsidRPr="005E6EA8" w14:paraId="14F02035" w14:textId="77777777" w:rsidTr="00A53583">
        <w:trPr>
          <w:trHeight w:val="1135"/>
          <w:tblCellSpacing w:w="15" w:type="dxa"/>
        </w:trPr>
        <w:tc>
          <w:tcPr>
            <w:tcW w:w="0" w:type="auto"/>
            <w:hideMark/>
          </w:tcPr>
          <w:p w14:paraId="1F26E5A7" w14:textId="77777777" w:rsidR="005E6EA8" w:rsidRPr="005E6EA8" w:rsidRDefault="005E6EA8" w:rsidP="005E6EA8">
            <w:pPr>
              <w:spacing w:line="240" w:lineRule="auto"/>
              <w:jc w:val="both"/>
              <w:rPr>
                <w:rFonts w:ascii="Times New Roman" w:eastAsia="Calibri" w:hAnsi="Times New Roman" w:cs="Times New Roman"/>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414"/>
            </w:tblGrid>
            <w:tr w:rsidR="005E6EA8" w:rsidRPr="005E6EA8" w14:paraId="43C43872" w14:textId="77777777" w:rsidTr="00A53583">
              <w:trPr>
                <w:tblCellSpacing w:w="15" w:type="dxa"/>
              </w:trPr>
              <w:tc>
                <w:tcPr>
                  <w:tcW w:w="0" w:type="auto"/>
                  <w:hideMark/>
                </w:tcPr>
                <w:p w14:paraId="1D05ADB0" w14:textId="75C22D0B" w:rsidR="005E6EA8" w:rsidRPr="005E6EA8" w:rsidRDefault="005E6EA8" w:rsidP="005E6EA8">
                  <w:pPr>
                    <w:spacing w:line="240" w:lineRule="auto"/>
                    <w:jc w:val="both"/>
                    <w:rPr>
                      <w:rFonts w:ascii="Times New Roman" w:eastAsia="Calibri" w:hAnsi="Times New Roman" w:cs="Times New Roman"/>
                      <w:lang w:val="en-GB"/>
                    </w:rPr>
                  </w:pPr>
                  <w:r w:rsidRPr="005E6EA8">
                    <w:rPr>
                      <w:rFonts w:ascii="Times New Roman" w:eastAsia="Calibri" w:hAnsi="Times New Roman" w:cs="Times New Roman"/>
                      <w:lang w:val="en-GB"/>
                    </w:rPr>
                    <w:t xml:space="preserve">Development Initiatives. 2020 Global Nutrition Report: shining a light to spur action on nutrition. Country Nutrition Profiles. Available at: </w:t>
                  </w:r>
                  <w:hyperlink r:id="rId24" w:history="1">
                    <w:r w:rsidRPr="005E6EA8">
                      <w:rPr>
                        <w:rStyle w:val="Hyperlink"/>
                        <w:rFonts w:ascii="Times New Roman" w:eastAsia="Calibri" w:hAnsi="Times New Roman" w:cs="Times New Roman"/>
                        <w:color w:val="0070C0"/>
                        <w:lang w:val="en-GB"/>
                      </w:rPr>
                      <w:t>https://globalnutritionreport.org/resources/nutrition-profiles/</w:t>
                    </w:r>
                  </w:hyperlink>
                </w:p>
                <w:p w14:paraId="54BE341D" w14:textId="354703EB" w:rsidR="005E6EA8" w:rsidRPr="004548DD" w:rsidRDefault="005E6EA8" w:rsidP="005E6EA8">
                  <w:pPr>
                    <w:spacing w:line="240" w:lineRule="auto"/>
                    <w:rPr>
                      <w:rFonts w:ascii="Times New Roman" w:eastAsia="Calibri" w:hAnsi="Times New Roman" w:cs="Times New Roman"/>
                      <w:lang w:val="en-GB"/>
                    </w:rPr>
                  </w:pPr>
                  <w:r w:rsidRPr="005E6EA8">
                    <w:rPr>
                      <w:rFonts w:ascii="Times New Roman" w:eastAsia="Calibri" w:hAnsi="Times New Roman" w:cs="Times New Roman"/>
                      <w:lang w:val="en-GB"/>
                    </w:rPr>
                    <w:t xml:space="preserve">INFORMAS. Benchmarking food environments. [Online].; 2020. [The Healthy Food Environment Policy Index (Food-EPI)]. </w:t>
                  </w:r>
                  <w:r w:rsidRPr="004548DD">
                    <w:rPr>
                      <w:rFonts w:ascii="Times New Roman" w:eastAsia="Calibri" w:hAnsi="Times New Roman" w:cs="Times New Roman"/>
                      <w:lang w:val="en-GB"/>
                    </w:rPr>
                    <w:t xml:space="preserve">Available at: </w:t>
                  </w:r>
                  <w:hyperlink r:id="rId25" w:history="1">
                    <w:r w:rsidRPr="004548DD">
                      <w:rPr>
                        <w:rStyle w:val="Hyperlink"/>
                        <w:rFonts w:ascii="Times New Roman" w:eastAsia="Calibri" w:hAnsi="Times New Roman" w:cs="Times New Roman"/>
                        <w:color w:val="0070C0"/>
                        <w:lang w:val="en-GB"/>
                      </w:rPr>
                      <w:t>https://www.informas.org/food-epi/</w:t>
                    </w:r>
                  </w:hyperlink>
                </w:p>
                <w:p w14:paraId="1FE23074" w14:textId="77777777" w:rsidR="005E6EA8" w:rsidRPr="005E6EA8" w:rsidRDefault="005E6EA8" w:rsidP="005E6EA8">
                  <w:pPr>
                    <w:spacing w:line="240" w:lineRule="auto"/>
                    <w:jc w:val="both"/>
                    <w:rPr>
                      <w:rFonts w:ascii="Times New Roman" w:eastAsia="Calibri" w:hAnsi="Times New Roman" w:cs="Times New Roman"/>
                      <w:lang w:val="en-GB"/>
                    </w:rPr>
                  </w:pPr>
                  <w:r w:rsidRPr="004548DD">
                    <w:rPr>
                      <w:rFonts w:ascii="Times New Roman" w:eastAsia="Calibri" w:hAnsi="Times New Roman" w:cs="Times New Roman"/>
                      <w:lang w:val="en-GB"/>
                    </w:rPr>
                    <w:t xml:space="preserve">Instituto Nacional de </w:t>
                  </w:r>
                  <w:proofErr w:type="spellStart"/>
                  <w:r w:rsidRPr="004548DD">
                    <w:rPr>
                      <w:rFonts w:ascii="Times New Roman" w:eastAsia="Calibri" w:hAnsi="Times New Roman" w:cs="Times New Roman"/>
                      <w:lang w:val="en-GB"/>
                    </w:rPr>
                    <w:t>Estadística</w:t>
                  </w:r>
                  <w:proofErr w:type="spellEnd"/>
                  <w:r w:rsidRPr="004548DD">
                    <w:rPr>
                      <w:rFonts w:ascii="Times New Roman" w:eastAsia="Calibri" w:hAnsi="Times New Roman" w:cs="Times New Roman"/>
                      <w:lang w:val="en-GB"/>
                    </w:rPr>
                    <w:t xml:space="preserve"> e </w:t>
                  </w:r>
                  <w:proofErr w:type="spellStart"/>
                  <w:r w:rsidRPr="004548DD">
                    <w:rPr>
                      <w:rFonts w:ascii="Times New Roman" w:eastAsia="Calibri" w:hAnsi="Times New Roman" w:cs="Times New Roman"/>
                      <w:lang w:val="en-GB"/>
                    </w:rPr>
                    <w:t>Informática</w:t>
                  </w:r>
                  <w:proofErr w:type="spellEnd"/>
                  <w:r w:rsidRPr="004548DD">
                    <w:rPr>
                      <w:rFonts w:ascii="Times New Roman" w:eastAsia="Calibri" w:hAnsi="Times New Roman" w:cs="Times New Roman"/>
                      <w:lang w:val="en-GB"/>
                    </w:rPr>
                    <w:t xml:space="preserve">. </w:t>
                  </w:r>
                  <w:proofErr w:type="spellStart"/>
                  <w:r w:rsidRPr="004548DD">
                    <w:rPr>
                      <w:rFonts w:ascii="Times New Roman" w:eastAsia="Calibri" w:hAnsi="Times New Roman" w:cs="Times New Roman"/>
                      <w:lang w:val="en-GB"/>
                    </w:rPr>
                    <w:t>Encuesta</w:t>
                  </w:r>
                  <w:proofErr w:type="spellEnd"/>
                  <w:r w:rsidRPr="004548DD">
                    <w:rPr>
                      <w:rFonts w:ascii="Times New Roman" w:eastAsia="Calibri" w:hAnsi="Times New Roman" w:cs="Times New Roman"/>
                      <w:lang w:val="en-GB"/>
                    </w:rPr>
                    <w:t xml:space="preserve"> </w:t>
                  </w:r>
                  <w:proofErr w:type="spellStart"/>
                  <w:r w:rsidRPr="004548DD">
                    <w:rPr>
                      <w:rFonts w:ascii="Times New Roman" w:eastAsia="Calibri" w:hAnsi="Times New Roman" w:cs="Times New Roman"/>
                      <w:lang w:val="en-GB"/>
                    </w:rPr>
                    <w:t>Demográfica</w:t>
                  </w:r>
                  <w:proofErr w:type="spellEnd"/>
                  <w:r w:rsidRPr="004548DD">
                    <w:rPr>
                      <w:rFonts w:ascii="Times New Roman" w:eastAsia="Calibri" w:hAnsi="Times New Roman" w:cs="Times New Roman"/>
                      <w:lang w:val="en-GB"/>
                    </w:rPr>
                    <w:t xml:space="preserve"> y de </w:t>
                  </w:r>
                  <w:proofErr w:type="spellStart"/>
                  <w:r w:rsidRPr="004548DD">
                    <w:rPr>
                      <w:rFonts w:ascii="Times New Roman" w:eastAsia="Calibri" w:hAnsi="Times New Roman" w:cs="Times New Roman"/>
                      <w:lang w:val="en-GB"/>
                    </w:rPr>
                    <w:t>Salud</w:t>
                  </w:r>
                  <w:proofErr w:type="spellEnd"/>
                  <w:r w:rsidRPr="004548DD">
                    <w:rPr>
                      <w:rFonts w:ascii="Times New Roman" w:eastAsia="Calibri" w:hAnsi="Times New Roman" w:cs="Times New Roman"/>
                      <w:lang w:val="en-GB"/>
                    </w:rPr>
                    <w:t xml:space="preserve"> Familiar [Online]. </w:t>
                  </w:r>
                  <w:r w:rsidRPr="005E6EA8">
                    <w:rPr>
                      <w:rFonts w:ascii="Times New Roman" w:eastAsia="Calibri" w:hAnsi="Times New Roman" w:cs="Times New Roman"/>
                      <w:lang w:val="en-GB"/>
                    </w:rPr>
                    <w:t xml:space="preserve">Available at: </w:t>
                  </w:r>
                  <w:hyperlink r:id="rId26" w:history="1">
                    <w:r w:rsidRPr="005E6EA8">
                      <w:rPr>
                        <w:rStyle w:val="Hyperlink"/>
                        <w:rFonts w:ascii="Times New Roman" w:eastAsia="Calibri" w:hAnsi="Times New Roman" w:cs="Times New Roman"/>
                        <w:color w:val="0070C0"/>
                        <w:lang w:val="en-GB"/>
                      </w:rPr>
                      <w:t>https://proyectos.inei.gob.pe/endes/</w:t>
                    </w:r>
                  </w:hyperlink>
                  <w:r w:rsidRPr="005E6EA8">
                    <w:rPr>
                      <w:rFonts w:ascii="Times New Roman" w:eastAsia="Calibri" w:hAnsi="Times New Roman" w:cs="Times New Roman"/>
                      <w:color w:val="0070C0"/>
                      <w:lang w:val="en-GB"/>
                    </w:rPr>
                    <w:t xml:space="preserve"> </w:t>
                  </w:r>
                </w:p>
                <w:p w14:paraId="4369858B" w14:textId="77777777" w:rsidR="005E6EA8" w:rsidRPr="005E6EA8" w:rsidRDefault="005E6EA8" w:rsidP="005E6EA8">
                  <w:pPr>
                    <w:spacing w:line="240" w:lineRule="auto"/>
                    <w:ind w:left="360"/>
                    <w:jc w:val="both"/>
                    <w:rPr>
                      <w:rFonts w:ascii="Times New Roman" w:eastAsia="Calibri" w:hAnsi="Times New Roman" w:cs="Times New Roman"/>
                      <w:lang w:val="en-GB"/>
                    </w:rPr>
                  </w:pPr>
                </w:p>
                <w:p w14:paraId="03EFB20B" w14:textId="006E3135" w:rsidR="005E6EA8" w:rsidRPr="005E6EA8" w:rsidRDefault="005E6EA8" w:rsidP="005E6EA8">
                  <w:pPr>
                    <w:spacing w:line="240" w:lineRule="auto"/>
                    <w:jc w:val="both"/>
                    <w:rPr>
                      <w:rFonts w:ascii="Times New Roman" w:eastAsia="Calibri" w:hAnsi="Times New Roman" w:cs="Times New Roman"/>
                      <w:color w:val="0070C0"/>
                      <w:lang w:val="en-GB"/>
                    </w:rPr>
                  </w:pPr>
                  <w:r w:rsidRPr="005E6EA8">
                    <w:rPr>
                      <w:rFonts w:ascii="Times New Roman" w:eastAsia="Calibri" w:hAnsi="Times New Roman" w:cs="Times New Roman"/>
                      <w:lang w:val="en-GB"/>
                    </w:rPr>
                    <w:lastRenderedPageBreak/>
                    <w:t xml:space="preserve">Irache, A., Gill, P., &amp; </w:t>
                  </w:r>
                  <w:proofErr w:type="spellStart"/>
                  <w:r w:rsidRPr="005E6EA8">
                    <w:rPr>
                      <w:rFonts w:ascii="Times New Roman" w:eastAsia="Calibri" w:hAnsi="Times New Roman" w:cs="Times New Roman"/>
                      <w:lang w:val="en-GB"/>
                    </w:rPr>
                    <w:t>Caleyachetty</w:t>
                  </w:r>
                  <w:proofErr w:type="spellEnd"/>
                  <w:r w:rsidRPr="005E6EA8">
                    <w:rPr>
                      <w:rFonts w:ascii="Times New Roman" w:eastAsia="Calibri" w:hAnsi="Times New Roman" w:cs="Times New Roman"/>
                      <w:lang w:val="en-GB"/>
                    </w:rPr>
                    <w:t xml:space="preserve">, R. (2021). The co-occurrence of overweight/obesity and anaemia among adult women, adolescent girls and children living in fifty-two low- and middle-income countries. Public Health Nutrition, 1-12. </w:t>
                  </w:r>
                  <w:hyperlink r:id="rId27" w:history="1">
                    <w:r w:rsidRPr="005E6EA8">
                      <w:rPr>
                        <w:rStyle w:val="Hyperlink"/>
                        <w:rFonts w:ascii="Times New Roman" w:eastAsia="Calibri" w:hAnsi="Times New Roman" w:cs="Times New Roman"/>
                        <w:color w:val="0070C0"/>
                        <w:lang w:val="en-GB"/>
                      </w:rPr>
                      <w:t>https://doi.org/10.1017/S1368980021002512</w:t>
                    </w:r>
                  </w:hyperlink>
                </w:p>
                <w:p w14:paraId="6A5C1F52" w14:textId="1E6261C6" w:rsidR="005E6EA8" w:rsidRPr="005E6EA8" w:rsidRDefault="005E6EA8" w:rsidP="005E6EA8">
                  <w:pPr>
                    <w:spacing w:line="240" w:lineRule="auto"/>
                    <w:jc w:val="both"/>
                    <w:rPr>
                      <w:rFonts w:ascii="Times New Roman" w:eastAsia="Calibri" w:hAnsi="Times New Roman" w:cs="Times New Roman"/>
                      <w:lang w:val="en-GB"/>
                    </w:rPr>
                  </w:pPr>
                  <w:r w:rsidRPr="005E6EA8">
                    <w:rPr>
                      <w:rFonts w:ascii="Times New Roman" w:eastAsia="Calibri" w:hAnsi="Times New Roman" w:cs="Times New Roman"/>
                      <w:lang w:val="en-GB"/>
                    </w:rPr>
                    <w:t xml:space="preserve">Hawkes, C., Ruel, M. T., Salm, L., Sinclair, B., &amp; </w:t>
                  </w:r>
                  <w:proofErr w:type="spellStart"/>
                  <w:r w:rsidRPr="005E6EA8">
                    <w:rPr>
                      <w:rFonts w:ascii="Times New Roman" w:eastAsia="Calibri" w:hAnsi="Times New Roman" w:cs="Times New Roman"/>
                      <w:lang w:val="en-GB"/>
                    </w:rPr>
                    <w:t>Branca</w:t>
                  </w:r>
                  <w:proofErr w:type="spellEnd"/>
                  <w:r w:rsidRPr="005E6EA8">
                    <w:rPr>
                      <w:rFonts w:ascii="Times New Roman" w:eastAsia="Calibri" w:hAnsi="Times New Roman" w:cs="Times New Roman"/>
                      <w:lang w:val="en-GB"/>
                    </w:rPr>
                    <w:t xml:space="preserve">, F. (2020). Double-duty actions: seizing programme and policy opportunities to address malnutrition in all its forms. The Lancet, 395(10218), 142–155. </w:t>
                  </w:r>
                  <w:hyperlink r:id="rId28" w:history="1">
                    <w:r w:rsidRPr="005E6EA8">
                      <w:rPr>
                        <w:rStyle w:val="Hyperlink"/>
                        <w:rFonts w:ascii="Times New Roman" w:eastAsia="Calibri" w:hAnsi="Times New Roman" w:cs="Times New Roman"/>
                        <w:color w:val="0070C0"/>
                        <w:lang w:val="en-GB"/>
                      </w:rPr>
                      <w:t>https://doi.org/10.1016/S0140-6736(19)32506-1</w:t>
                    </w:r>
                  </w:hyperlink>
                </w:p>
                <w:p w14:paraId="6B2A6D5F" w14:textId="77777777" w:rsidR="005E6EA8" w:rsidRPr="005E6EA8" w:rsidRDefault="005E6EA8" w:rsidP="005E6EA8">
                  <w:pPr>
                    <w:spacing w:line="240" w:lineRule="auto"/>
                    <w:jc w:val="both"/>
                    <w:rPr>
                      <w:rFonts w:ascii="Times New Roman" w:eastAsia="Calibri" w:hAnsi="Times New Roman" w:cs="Times New Roman"/>
                    </w:rPr>
                  </w:pPr>
                  <w:r w:rsidRPr="005E6EA8">
                    <w:rPr>
                      <w:rFonts w:ascii="Times New Roman" w:eastAsia="Calibri" w:hAnsi="Times New Roman" w:cs="Times New Roman"/>
                      <w:lang w:val="en-GB"/>
                    </w:rPr>
                    <w:t xml:space="preserve">Mendenhall, E., &amp; Singer, M. (2019). The global </w:t>
                  </w:r>
                  <w:proofErr w:type="spellStart"/>
                  <w:r w:rsidRPr="005E6EA8">
                    <w:rPr>
                      <w:rFonts w:ascii="Times New Roman" w:eastAsia="Calibri" w:hAnsi="Times New Roman" w:cs="Times New Roman"/>
                      <w:lang w:val="en-GB"/>
                    </w:rPr>
                    <w:t>syndemic</w:t>
                  </w:r>
                  <w:proofErr w:type="spellEnd"/>
                  <w:r w:rsidRPr="005E6EA8">
                    <w:rPr>
                      <w:rFonts w:ascii="Times New Roman" w:eastAsia="Calibri" w:hAnsi="Times New Roman" w:cs="Times New Roman"/>
                      <w:lang w:val="en-GB"/>
                    </w:rPr>
                    <w:t xml:space="preserve"> of obesity, undernutrition, and climate change. </w:t>
                  </w:r>
                  <w:r w:rsidRPr="005E6EA8">
                    <w:rPr>
                      <w:rFonts w:ascii="Times New Roman" w:eastAsia="Calibri" w:hAnsi="Times New Roman" w:cs="Times New Roman"/>
                    </w:rPr>
                    <w:t xml:space="preserve">The Lancet, 393(10173), 741. </w:t>
                  </w:r>
                  <w:hyperlink r:id="rId29" w:history="1">
                    <w:r w:rsidRPr="005E6EA8">
                      <w:rPr>
                        <w:rFonts w:ascii="Times New Roman" w:eastAsia="Calibri" w:hAnsi="Times New Roman" w:cs="Times New Roman"/>
                        <w:color w:val="0070C0"/>
                        <w:u w:val="single"/>
                      </w:rPr>
                      <w:t>https://doi.org/10.1016/S0140-6736(19)30310-1</w:t>
                    </w:r>
                  </w:hyperlink>
                </w:p>
                <w:p w14:paraId="55B2B485" w14:textId="77777777" w:rsidR="005E6EA8" w:rsidRPr="005E6EA8" w:rsidRDefault="005E6EA8" w:rsidP="005E6EA8">
                  <w:pPr>
                    <w:spacing w:line="240" w:lineRule="auto"/>
                    <w:jc w:val="both"/>
                    <w:rPr>
                      <w:rFonts w:ascii="Times New Roman" w:eastAsia="Calibri" w:hAnsi="Times New Roman" w:cs="Times New Roman"/>
                    </w:rPr>
                  </w:pPr>
                </w:p>
              </w:tc>
            </w:tr>
            <w:tr w:rsidR="005E6EA8" w:rsidRPr="005E6EA8" w14:paraId="47532416" w14:textId="77777777" w:rsidTr="00A53583">
              <w:trPr>
                <w:tblCellSpacing w:w="15" w:type="dxa"/>
              </w:trPr>
              <w:tc>
                <w:tcPr>
                  <w:tcW w:w="0" w:type="auto"/>
                  <w:hideMark/>
                </w:tcPr>
                <w:p w14:paraId="4D5CB9A2" w14:textId="5827CA3B" w:rsidR="005E6EA8" w:rsidRPr="005E6EA8" w:rsidRDefault="005E6EA8" w:rsidP="005E6EA8">
                  <w:pPr>
                    <w:spacing w:line="240" w:lineRule="auto"/>
                    <w:jc w:val="both"/>
                    <w:rPr>
                      <w:rFonts w:ascii="Times New Roman" w:eastAsia="Calibri" w:hAnsi="Times New Roman" w:cs="Times New Roman"/>
                      <w:lang w:val="en-GB"/>
                    </w:rPr>
                  </w:pPr>
                  <w:proofErr w:type="spellStart"/>
                  <w:r w:rsidRPr="005E6EA8">
                    <w:rPr>
                      <w:rFonts w:ascii="Times New Roman" w:eastAsia="Calibri" w:hAnsi="Times New Roman" w:cs="Times New Roman"/>
                      <w:lang w:val="fr-FR"/>
                    </w:rPr>
                    <w:lastRenderedPageBreak/>
                    <w:t>Pomati</w:t>
                  </w:r>
                  <w:proofErr w:type="spellEnd"/>
                  <w:r w:rsidRPr="005E6EA8">
                    <w:rPr>
                      <w:rFonts w:ascii="Times New Roman" w:eastAsia="Calibri" w:hAnsi="Times New Roman" w:cs="Times New Roman"/>
                      <w:lang w:val="fr-FR"/>
                    </w:rPr>
                    <w:t xml:space="preserve"> M, Mendoza-</w:t>
                  </w:r>
                  <w:proofErr w:type="spellStart"/>
                  <w:r w:rsidRPr="005E6EA8">
                    <w:rPr>
                      <w:rFonts w:ascii="Times New Roman" w:eastAsia="Calibri" w:hAnsi="Times New Roman" w:cs="Times New Roman"/>
                      <w:lang w:val="fr-FR"/>
                    </w:rPr>
                    <w:t>Quispe</w:t>
                  </w:r>
                  <w:proofErr w:type="spellEnd"/>
                  <w:r w:rsidRPr="005E6EA8">
                    <w:rPr>
                      <w:rFonts w:ascii="Times New Roman" w:eastAsia="Calibri" w:hAnsi="Times New Roman" w:cs="Times New Roman"/>
                      <w:lang w:val="fr-FR"/>
                    </w:rPr>
                    <w:t xml:space="preserve"> D, </w:t>
                  </w:r>
                  <w:proofErr w:type="spellStart"/>
                  <w:r w:rsidRPr="005E6EA8">
                    <w:rPr>
                      <w:rFonts w:ascii="Times New Roman" w:eastAsia="Calibri" w:hAnsi="Times New Roman" w:cs="Times New Roman"/>
                      <w:lang w:val="fr-FR"/>
                    </w:rPr>
                    <w:t>Anza</w:t>
                  </w:r>
                  <w:proofErr w:type="spellEnd"/>
                  <w:r w:rsidRPr="005E6EA8">
                    <w:rPr>
                      <w:rFonts w:ascii="Times New Roman" w:eastAsia="Calibri" w:hAnsi="Times New Roman" w:cs="Times New Roman"/>
                      <w:lang w:val="fr-FR"/>
                    </w:rPr>
                    <w:t xml:space="preserve">-Ramirez C. et al. </w:t>
                  </w:r>
                  <w:r w:rsidRPr="005E6EA8">
                    <w:rPr>
                      <w:rFonts w:ascii="Times New Roman" w:eastAsia="Calibri" w:hAnsi="Times New Roman" w:cs="Times New Roman"/>
                      <w:lang w:val="en-GB"/>
                    </w:rPr>
                    <w:t>(2021). Trends and patterns of the double burden of</w:t>
                  </w:r>
                  <w:r>
                    <w:rPr>
                      <w:rFonts w:ascii="Times New Roman" w:eastAsia="Calibri" w:hAnsi="Times New Roman" w:cs="Times New Roman"/>
                      <w:lang w:val="en-GB"/>
                    </w:rPr>
                    <w:t xml:space="preserve"> </w:t>
                  </w:r>
                  <w:r w:rsidRPr="005E6EA8">
                    <w:rPr>
                      <w:rFonts w:ascii="Times New Roman" w:eastAsia="Calibri" w:hAnsi="Times New Roman" w:cs="Times New Roman"/>
                      <w:lang w:val="en-GB"/>
                    </w:rPr>
                    <w:t>malnutrition (DBM) in Peru: a pooled analysis of 129,159 mother–child dyads. International Journal of Obesity 45, 609–618.</w:t>
                  </w:r>
                  <w:hyperlink r:id="rId30" w:history="1">
                    <w:r w:rsidRPr="005E6EA8">
                      <w:rPr>
                        <w:rStyle w:val="Hyperlink"/>
                        <w:rFonts w:ascii="Times New Roman" w:eastAsia="Calibri" w:hAnsi="Times New Roman" w:cs="Times New Roman"/>
                        <w:color w:val="0070C0"/>
                        <w:lang w:val="en-GB"/>
                      </w:rPr>
                      <w:t>https://doi.org/10.1038/s41366-020-00725-x</w:t>
                    </w:r>
                  </w:hyperlink>
                </w:p>
                <w:p w14:paraId="371912B1" w14:textId="77777777" w:rsidR="005E6EA8" w:rsidRPr="005E6EA8" w:rsidRDefault="005E6EA8" w:rsidP="005E6EA8">
                  <w:pPr>
                    <w:spacing w:line="240" w:lineRule="auto"/>
                    <w:jc w:val="both"/>
                    <w:rPr>
                      <w:rFonts w:ascii="Times New Roman" w:eastAsia="Calibri" w:hAnsi="Times New Roman" w:cs="Times New Roman"/>
                      <w:color w:val="0070C0"/>
                      <w:lang w:val="en-GB"/>
                    </w:rPr>
                  </w:pPr>
                  <w:r w:rsidRPr="005E6EA8">
                    <w:rPr>
                      <w:rFonts w:ascii="Times New Roman" w:eastAsia="Calibri" w:hAnsi="Times New Roman" w:cs="Times New Roman"/>
                      <w:lang w:val="en-GB"/>
                    </w:rPr>
                    <w:t xml:space="preserve">Popkin, B. M., </w:t>
                  </w:r>
                  <w:proofErr w:type="spellStart"/>
                  <w:r w:rsidRPr="005E6EA8">
                    <w:rPr>
                      <w:rFonts w:ascii="Times New Roman" w:eastAsia="Calibri" w:hAnsi="Times New Roman" w:cs="Times New Roman"/>
                      <w:lang w:val="en-GB"/>
                    </w:rPr>
                    <w:t>Corvalan</w:t>
                  </w:r>
                  <w:proofErr w:type="spellEnd"/>
                  <w:r w:rsidRPr="005E6EA8">
                    <w:rPr>
                      <w:rFonts w:ascii="Times New Roman" w:eastAsia="Calibri" w:hAnsi="Times New Roman" w:cs="Times New Roman"/>
                      <w:lang w:val="en-GB"/>
                    </w:rPr>
                    <w:t xml:space="preserve">, C., &amp; </w:t>
                  </w:r>
                  <w:proofErr w:type="spellStart"/>
                  <w:r w:rsidRPr="005E6EA8">
                    <w:rPr>
                      <w:rFonts w:ascii="Times New Roman" w:eastAsia="Calibri" w:hAnsi="Times New Roman" w:cs="Times New Roman"/>
                      <w:lang w:val="en-GB"/>
                    </w:rPr>
                    <w:t>Grummer</w:t>
                  </w:r>
                  <w:proofErr w:type="spellEnd"/>
                  <w:r w:rsidRPr="005E6EA8">
                    <w:rPr>
                      <w:rFonts w:ascii="Times New Roman" w:eastAsia="Calibri" w:hAnsi="Times New Roman" w:cs="Times New Roman"/>
                      <w:lang w:val="en-GB"/>
                    </w:rPr>
                    <w:t xml:space="preserve">-Strawn, L. M. (2020). Dynamics of the double burden of malnutrition and the changing nutrition reality. The Lancet, 395(10217), 65–74. </w:t>
                  </w:r>
                  <w:hyperlink r:id="rId31" w:history="1">
                    <w:r w:rsidRPr="005E6EA8">
                      <w:rPr>
                        <w:rStyle w:val="Hyperlink"/>
                        <w:rFonts w:ascii="Times New Roman" w:eastAsia="Calibri" w:hAnsi="Times New Roman" w:cs="Times New Roman"/>
                        <w:color w:val="0070C0"/>
                        <w:lang w:val="en-GB"/>
                      </w:rPr>
                      <w:t>https://doi.org/10.1016/S0140-6736(19)32497-3</w:t>
                    </w:r>
                  </w:hyperlink>
                </w:p>
                <w:p w14:paraId="04B8ABD2" w14:textId="77777777" w:rsidR="005E6EA8" w:rsidRPr="005E6EA8" w:rsidRDefault="005E6EA8" w:rsidP="005E6EA8">
                  <w:pPr>
                    <w:spacing w:line="240" w:lineRule="auto"/>
                    <w:jc w:val="both"/>
                    <w:rPr>
                      <w:rFonts w:ascii="Times New Roman" w:eastAsia="Calibri" w:hAnsi="Times New Roman" w:cs="Times New Roman"/>
                      <w:lang w:val="en-GB"/>
                    </w:rPr>
                  </w:pPr>
                  <w:r w:rsidRPr="005E6EA8">
                    <w:rPr>
                      <w:rFonts w:ascii="Times New Roman" w:eastAsia="Calibri" w:hAnsi="Times New Roman" w:cs="Times New Roman"/>
                      <w:lang w:val="en-GB"/>
                    </w:rPr>
                    <w:t xml:space="preserve">Pradeilles R, Baye K, Holdsworth M. Addressing malnutrition in low-and middle-income countries with double-duty actions (2019). Proceedings of Nutrition Society.;78(3):388-397. </w:t>
                  </w:r>
                  <w:hyperlink r:id="rId32" w:history="1">
                    <w:r w:rsidRPr="005E6EA8">
                      <w:rPr>
                        <w:rStyle w:val="Hyperlink"/>
                        <w:rFonts w:ascii="Times New Roman" w:eastAsia="Calibri" w:hAnsi="Times New Roman" w:cs="Times New Roman"/>
                        <w:color w:val="0070C0"/>
                        <w:lang w:val="en-GB"/>
                      </w:rPr>
                      <w:t>https://doi.org/10.1017/S0029665118002616</w:t>
                    </w:r>
                  </w:hyperlink>
                </w:p>
                <w:p w14:paraId="2A3F4295" w14:textId="77777777" w:rsidR="005E6EA8" w:rsidRPr="005E6EA8" w:rsidRDefault="005E6EA8" w:rsidP="005E6EA8">
                  <w:pPr>
                    <w:spacing w:line="240" w:lineRule="auto"/>
                    <w:jc w:val="both"/>
                    <w:rPr>
                      <w:rFonts w:ascii="Times New Roman" w:eastAsia="Calibri" w:hAnsi="Times New Roman" w:cs="Times New Roman"/>
                      <w:lang w:val="en-GB"/>
                    </w:rPr>
                  </w:pPr>
                  <w:r w:rsidRPr="005E6EA8">
                    <w:rPr>
                      <w:rFonts w:ascii="Times New Roman" w:eastAsia="Calibri" w:hAnsi="Times New Roman" w:cs="Times New Roman"/>
                      <w:lang w:val="en-GB"/>
                    </w:rPr>
                    <w:t xml:space="preserve">Vandevijvere S, Dominick C, Devi A, Swinburn B; International Network for Food and Obesity/non-communicable diseases Research, Monitoring and Action Support (2015). The healthy food environment policy index: findings of an expert panel in New Zealand. Bulletin of the World Health Organization. 93(5):294-302. </w:t>
                  </w:r>
                  <w:hyperlink r:id="rId33" w:history="1">
                    <w:r w:rsidRPr="005E6EA8">
                      <w:rPr>
                        <w:rStyle w:val="Hyperlink"/>
                        <w:rFonts w:ascii="Times New Roman" w:eastAsia="Calibri" w:hAnsi="Times New Roman" w:cs="Times New Roman"/>
                        <w:color w:val="0070C0"/>
                        <w:lang w:val="en-GB"/>
                      </w:rPr>
                      <w:t>https://doi.org/10.2471/BLT.14.145540</w:t>
                    </w:r>
                  </w:hyperlink>
                </w:p>
                <w:p w14:paraId="49E74AFA" w14:textId="448E7B80" w:rsidR="005E6EA8" w:rsidRPr="005E6EA8" w:rsidRDefault="005E6EA8" w:rsidP="005E6EA8">
                  <w:pPr>
                    <w:spacing w:line="240" w:lineRule="auto"/>
                    <w:jc w:val="both"/>
                    <w:rPr>
                      <w:rFonts w:ascii="Times New Roman" w:eastAsia="Calibri" w:hAnsi="Times New Roman" w:cs="Times New Roman"/>
                      <w:lang w:val="en-GB"/>
                    </w:rPr>
                  </w:pPr>
                  <w:r w:rsidRPr="005E6EA8">
                    <w:rPr>
                      <w:rFonts w:ascii="Times New Roman" w:eastAsia="Calibri" w:hAnsi="Times New Roman" w:cs="Times New Roman"/>
                      <w:lang w:val="en-GB"/>
                    </w:rPr>
                    <w:t>W</w:t>
                  </w:r>
                  <w:r w:rsidR="00DE7E47">
                    <w:rPr>
                      <w:rFonts w:ascii="Times New Roman" w:eastAsia="Calibri" w:hAnsi="Times New Roman" w:cs="Times New Roman"/>
                      <w:lang w:val="en-GB"/>
                    </w:rPr>
                    <w:t>orld Health Organization</w:t>
                  </w:r>
                  <w:r w:rsidRPr="005E6EA8">
                    <w:rPr>
                      <w:rFonts w:ascii="Times New Roman" w:eastAsia="Calibri" w:hAnsi="Times New Roman" w:cs="Times New Roman"/>
                      <w:lang w:val="en-GB"/>
                    </w:rPr>
                    <w:t xml:space="preserve">. Double-duty actions for nutrition: Policy Brief. 2017. Available at: </w:t>
                  </w:r>
                  <w:hyperlink r:id="rId34" w:history="1">
                    <w:r w:rsidRPr="005E6EA8">
                      <w:rPr>
                        <w:rFonts w:ascii="Times New Roman" w:eastAsia="Calibri" w:hAnsi="Times New Roman" w:cs="Times New Roman"/>
                        <w:color w:val="0070C0"/>
                        <w:u w:val="single"/>
                        <w:lang w:val="en-GB"/>
                      </w:rPr>
                      <w:t>https://www.who.int/nutrition/publications/double-duty-actions-nutrition-policybrief/en/</w:t>
                    </w:r>
                  </w:hyperlink>
                </w:p>
                <w:p w14:paraId="72EA0AAB" w14:textId="410CB62A" w:rsidR="005E6EA8" w:rsidRPr="005E6EA8" w:rsidRDefault="005E6EA8" w:rsidP="005E6EA8">
                  <w:pPr>
                    <w:spacing w:line="240" w:lineRule="auto"/>
                    <w:jc w:val="both"/>
                    <w:rPr>
                      <w:rFonts w:ascii="Times New Roman" w:eastAsia="Calibri" w:hAnsi="Times New Roman" w:cs="Times New Roman"/>
                      <w:color w:val="0563C1"/>
                      <w:u w:val="single"/>
                      <w:lang w:val="en-GB"/>
                    </w:rPr>
                  </w:pPr>
                  <w:r w:rsidRPr="005E6EA8">
                    <w:rPr>
                      <w:rFonts w:ascii="Times New Roman" w:eastAsia="Calibri" w:hAnsi="Times New Roman" w:cs="Times New Roman"/>
                      <w:lang w:val="en-GB"/>
                    </w:rPr>
                    <w:t>W</w:t>
                  </w:r>
                  <w:r w:rsidR="00DE7E47">
                    <w:rPr>
                      <w:rFonts w:ascii="Times New Roman" w:eastAsia="Calibri" w:hAnsi="Times New Roman" w:cs="Times New Roman"/>
                      <w:lang w:val="en-GB"/>
                    </w:rPr>
                    <w:t>orld Food Programme</w:t>
                  </w:r>
                  <w:r w:rsidRPr="005E6EA8">
                    <w:rPr>
                      <w:rFonts w:ascii="Times New Roman" w:eastAsia="Calibri" w:hAnsi="Times New Roman" w:cs="Times New Roman"/>
                      <w:lang w:val="en-GB"/>
                    </w:rPr>
                    <w:t xml:space="preserve">. The cost of the double burden of child malnutrition: social and economic impact. 2017. Available at: </w:t>
                  </w:r>
                  <w:hyperlink r:id="rId35" w:history="1">
                    <w:r w:rsidRPr="005E6EA8">
                      <w:rPr>
                        <w:rFonts w:ascii="Times New Roman" w:eastAsia="Calibri" w:hAnsi="Times New Roman" w:cs="Times New Roman"/>
                        <w:color w:val="0070C0"/>
                        <w:u w:val="single"/>
                        <w:lang w:val="en-GB"/>
                      </w:rPr>
                      <w:t>https://www.wfp.org/publications/2017-cost-double-burden-malnutrition-social-and-economic-impact</w:t>
                    </w:r>
                  </w:hyperlink>
                </w:p>
                <w:p w14:paraId="17A828DA" w14:textId="77777777" w:rsidR="005E6EA8" w:rsidRPr="005E6EA8" w:rsidRDefault="005E6EA8" w:rsidP="005E6EA8">
                  <w:pPr>
                    <w:spacing w:line="240" w:lineRule="auto"/>
                    <w:ind w:left="360"/>
                    <w:jc w:val="both"/>
                    <w:rPr>
                      <w:rFonts w:ascii="Times New Roman" w:eastAsia="Calibri" w:hAnsi="Times New Roman" w:cs="Times New Roman"/>
                      <w:lang w:val="en-GB"/>
                    </w:rPr>
                  </w:pPr>
                </w:p>
                <w:p w14:paraId="2933E7DF" w14:textId="77777777" w:rsidR="005E6EA8" w:rsidRPr="005E6EA8" w:rsidRDefault="005E6EA8" w:rsidP="005E6EA8">
                  <w:pPr>
                    <w:spacing w:line="240" w:lineRule="auto"/>
                    <w:ind w:left="720"/>
                    <w:contextualSpacing/>
                    <w:jc w:val="both"/>
                    <w:rPr>
                      <w:rFonts w:ascii="Times New Roman" w:eastAsia="Calibri" w:hAnsi="Times New Roman" w:cs="Times New Roman"/>
                      <w:lang w:val="en-GB"/>
                    </w:rPr>
                  </w:pPr>
                </w:p>
              </w:tc>
            </w:tr>
          </w:tbl>
          <w:p w14:paraId="5B9C442C" w14:textId="77777777" w:rsidR="005E6EA8" w:rsidRPr="005E6EA8" w:rsidRDefault="005E6EA8" w:rsidP="005E6EA8">
            <w:pPr>
              <w:spacing w:line="240" w:lineRule="auto"/>
              <w:ind w:left="720"/>
              <w:contextualSpacing/>
              <w:jc w:val="both"/>
              <w:rPr>
                <w:rFonts w:ascii="Times New Roman" w:eastAsia="Calibri" w:hAnsi="Times New Roman" w:cs="Times New Roman"/>
                <w:lang w:val="en-GB"/>
              </w:rPr>
            </w:pPr>
          </w:p>
        </w:tc>
      </w:tr>
    </w:tbl>
    <w:p w14:paraId="35876CC8" w14:textId="77777777" w:rsidR="005E6EA8" w:rsidRPr="005E6EA8" w:rsidRDefault="005E6EA8" w:rsidP="005E6EA8">
      <w:pPr>
        <w:spacing w:after="0" w:line="240" w:lineRule="auto"/>
        <w:rPr>
          <w:rFonts w:ascii="Times New Roman" w:eastAsia="Calibri" w:hAnsi="Times New Roman" w:cs="Times New Roman"/>
          <w:color w:val="FF9900"/>
          <w:sz w:val="28"/>
          <w:szCs w:val="28"/>
          <w:lang w:val="en-GB"/>
        </w:rPr>
      </w:pPr>
    </w:p>
    <w:p w14:paraId="6C31A110" w14:textId="77777777" w:rsidR="005E6EA8" w:rsidRDefault="005E6EA8" w:rsidP="00FC7E61">
      <w:pPr>
        <w:spacing w:after="0" w:line="240" w:lineRule="auto"/>
        <w:rPr>
          <w:rFonts w:ascii="Times New Roman" w:eastAsia="Calibri" w:hAnsi="Times New Roman" w:cs="Times New Roman"/>
          <w:color w:val="FF9900"/>
          <w:sz w:val="28"/>
          <w:szCs w:val="28"/>
          <w:lang w:val="en-GB"/>
        </w:rPr>
      </w:pPr>
    </w:p>
    <w:p w14:paraId="6D227345" w14:textId="77777777" w:rsidR="005E6EA8" w:rsidRDefault="005E6EA8" w:rsidP="00FC7E61">
      <w:pPr>
        <w:spacing w:after="0" w:line="240" w:lineRule="auto"/>
        <w:rPr>
          <w:rFonts w:ascii="Times New Roman" w:eastAsia="Calibri" w:hAnsi="Times New Roman" w:cs="Times New Roman"/>
          <w:color w:val="FF9900"/>
          <w:sz w:val="28"/>
          <w:szCs w:val="28"/>
          <w:lang w:val="en-GB"/>
        </w:rPr>
      </w:pPr>
    </w:p>
    <w:p w14:paraId="51B1D9F4" w14:textId="77777777" w:rsidR="005E6EA8" w:rsidRDefault="005E6EA8" w:rsidP="00FC7E61">
      <w:pPr>
        <w:spacing w:after="0" w:line="240" w:lineRule="auto"/>
        <w:rPr>
          <w:rFonts w:ascii="Times New Roman" w:eastAsia="Calibri" w:hAnsi="Times New Roman" w:cs="Times New Roman"/>
          <w:color w:val="FF9900"/>
          <w:sz w:val="28"/>
          <w:szCs w:val="28"/>
          <w:lang w:val="en-GB"/>
        </w:rPr>
      </w:pPr>
    </w:p>
    <w:p w14:paraId="2B5C3B36" w14:textId="77777777" w:rsidR="005E6EA8" w:rsidRDefault="005E6EA8" w:rsidP="00FC7E61">
      <w:pPr>
        <w:spacing w:after="0" w:line="240" w:lineRule="auto"/>
        <w:rPr>
          <w:rFonts w:ascii="Times New Roman" w:eastAsia="Calibri" w:hAnsi="Times New Roman" w:cs="Times New Roman"/>
          <w:color w:val="FF9900"/>
          <w:sz w:val="28"/>
          <w:szCs w:val="28"/>
          <w:lang w:val="en-GB"/>
        </w:rPr>
      </w:pPr>
    </w:p>
    <w:p w14:paraId="30FE4DC7" w14:textId="77777777" w:rsidR="005E6EA8" w:rsidRDefault="005E6EA8" w:rsidP="00FC7E61">
      <w:pPr>
        <w:spacing w:after="0" w:line="240" w:lineRule="auto"/>
        <w:rPr>
          <w:rFonts w:ascii="Times New Roman" w:eastAsia="Calibri" w:hAnsi="Times New Roman" w:cs="Times New Roman"/>
          <w:color w:val="FF9900"/>
          <w:sz w:val="28"/>
          <w:szCs w:val="28"/>
          <w:lang w:val="en-GB"/>
        </w:rPr>
      </w:pPr>
    </w:p>
    <w:p w14:paraId="7F14E506" w14:textId="77777777" w:rsidR="000A0C69" w:rsidRPr="008A7254" w:rsidRDefault="000A0C69">
      <w:pPr>
        <w:rPr>
          <w:lang w:val="en-US"/>
        </w:rPr>
      </w:pPr>
    </w:p>
    <w:sectPr w:rsidR="000A0C69" w:rsidRPr="008A7254" w:rsidSect="00FC7E61">
      <w:pgSz w:w="11906" w:h="16838"/>
      <w:pgMar w:top="1134" w:right="1701"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Rebecca Pradeilles" w:date="2022-12-01T15:16:00Z" w:initials="RP">
    <w:p w14:paraId="2B29463F" w14:textId="77777777" w:rsidR="00484C43" w:rsidRDefault="00484C43" w:rsidP="00487FCB">
      <w:pPr>
        <w:pStyle w:val="CommentText"/>
      </w:pPr>
      <w:r>
        <w:rPr>
          <w:rStyle w:val="CommentReference"/>
        </w:rPr>
        <w:annotationRef/>
      </w:r>
      <w:r>
        <w:t>Violeta could you insert page 1 of the spanish evidence pack here - I tried to do copy/paste but it does not work. That way I can put title, list of contributors on page 1 and date. We should add list of contributors on page 1 (same as for paper) not just logos of institutions.</w:t>
      </w:r>
    </w:p>
  </w:comment>
  <w:comment w:id="0" w:author="Rebecca Pradeilles" w:date="2022-12-01T15:12:00Z" w:initials="RP">
    <w:p w14:paraId="2804EE58" w14:textId="526AD846" w:rsidR="00E02472" w:rsidRDefault="002168C9" w:rsidP="00A34509">
      <w:pPr>
        <w:pStyle w:val="CommentText"/>
      </w:pPr>
      <w:r>
        <w:rPr>
          <w:rStyle w:val="CommentReference"/>
        </w:rPr>
        <w:annotationRef/>
      </w:r>
      <w:r w:rsidR="00E02472">
        <w:t>Michelle/Violeta - what title shall we put? I looked at the Ghana/Kenya example but we did not use FOOD-EPI so shall we say Evidence paper: double-duty actions to tackle multiple forms of malnutrition in IYC in Peru or sth along these lines? Violeta what is the translation of the title in the spanish evidence pack?</w:t>
      </w:r>
    </w:p>
  </w:comment>
  <w:comment w:id="2" w:author="Rebecca Pradeilles" w:date="2022-12-01T15:12:00Z" w:initials="RP">
    <w:p w14:paraId="2255BFAC" w14:textId="53A0705E" w:rsidR="002168C9" w:rsidRDefault="002168C9" w:rsidP="00766373">
      <w:pPr>
        <w:pStyle w:val="CommentText"/>
      </w:pPr>
      <w:r>
        <w:rPr>
          <w:rStyle w:val="CommentReference"/>
        </w:rPr>
        <w:annotationRef/>
      </w:r>
      <w:r>
        <w:t>Which date shall I report?</w:t>
      </w:r>
    </w:p>
  </w:comment>
  <w:comment w:id="3" w:author="Rebecca Pradeilles" w:date="2022-12-01T15:18:00Z" w:initials="RP">
    <w:p w14:paraId="69630D4A" w14:textId="77777777" w:rsidR="008C6BD7" w:rsidRDefault="008C6BD7" w:rsidP="00FC0926">
      <w:pPr>
        <w:pStyle w:val="CommentText"/>
      </w:pPr>
      <w:r>
        <w:rPr>
          <w:rStyle w:val="CommentReference"/>
        </w:rPr>
        <w:annotationRef/>
      </w:r>
      <w:r>
        <w:t>Violeta I made some minor changes in the intro of your paper (latest version) and inserted it here instead of text we had. Can you make sure all refs listed in intro are listed at the end please?</w:t>
      </w:r>
    </w:p>
  </w:comment>
  <w:comment w:id="7" w:author="Rebecca Pradeilles" w:date="2022-12-01T15:18:00Z" w:initials="RP">
    <w:p w14:paraId="242B7B54" w14:textId="77777777" w:rsidR="008C6BD7" w:rsidRDefault="008C6BD7" w:rsidP="000534CD">
      <w:pPr>
        <w:pStyle w:val="CommentText"/>
      </w:pPr>
      <w:r>
        <w:rPr>
          <w:rStyle w:val="CommentReference"/>
        </w:rPr>
        <w:annotationRef/>
      </w:r>
      <w:r>
        <w:t>This is the new logo we should use for Fondecyt so I changed here but will need changing in spanish version</w:t>
      </w:r>
    </w:p>
  </w:comment>
  <w:comment w:id="8" w:author="Rebecca Pradeilles" w:date="2022-12-01T15:18:00Z" w:initials="RP">
    <w:p w14:paraId="6AB20EEA" w14:textId="77777777" w:rsidR="008C6BD7" w:rsidRDefault="008C6BD7" w:rsidP="00EE2701">
      <w:pPr>
        <w:pStyle w:val="CommentText"/>
      </w:pPr>
      <w:r>
        <w:rPr>
          <w:rStyle w:val="CommentReference"/>
        </w:rPr>
        <w:annotationRef/>
      </w:r>
      <w:r>
        <w:t>Violeta to 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29463F" w15:done="0"/>
  <w15:commentEx w15:paraId="2804EE58" w15:done="0"/>
  <w15:commentEx w15:paraId="2255BFAC" w15:done="0"/>
  <w15:commentEx w15:paraId="69630D4A" w15:done="0"/>
  <w15:commentEx w15:paraId="242B7B54" w15:done="0"/>
  <w15:commentEx w15:paraId="6AB20E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343E4" w16cex:dateUtc="2022-12-01T15:16:00Z"/>
  <w16cex:commentExtensible w16cex:durableId="273342ED" w16cex:dateUtc="2022-12-01T15:12:00Z"/>
  <w16cex:commentExtensible w16cex:durableId="273342FB" w16cex:dateUtc="2022-12-01T15:12:00Z"/>
  <w16cex:commentExtensible w16cex:durableId="2733442D" w16cex:dateUtc="2022-12-01T15:18:00Z"/>
  <w16cex:commentExtensible w16cex:durableId="2733444D" w16cex:dateUtc="2022-12-01T15:18:00Z"/>
  <w16cex:commentExtensible w16cex:durableId="27334457" w16cex:dateUtc="2022-12-01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29463F" w16cid:durableId="273343E4"/>
  <w16cid:commentId w16cid:paraId="2804EE58" w16cid:durableId="273342ED"/>
  <w16cid:commentId w16cid:paraId="2255BFAC" w16cid:durableId="273342FB"/>
  <w16cid:commentId w16cid:paraId="69630D4A" w16cid:durableId="2733442D"/>
  <w16cid:commentId w16cid:paraId="242B7B54" w16cid:durableId="2733444D"/>
  <w16cid:commentId w16cid:paraId="6AB20EEA" w16cid:durableId="273344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404D1" w14:textId="77777777" w:rsidR="0057557C" w:rsidRDefault="0057557C" w:rsidP="008A0DB3">
      <w:pPr>
        <w:spacing w:after="0" w:line="240" w:lineRule="auto"/>
      </w:pPr>
      <w:r>
        <w:separator/>
      </w:r>
    </w:p>
  </w:endnote>
  <w:endnote w:type="continuationSeparator" w:id="0">
    <w:p w14:paraId="40934F26" w14:textId="77777777" w:rsidR="0057557C" w:rsidRDefault="0057557C" w:rsidP="008A0DB3">
      <w:pPr>
        <w:spacing w:after="0" w:line="240" w:lineRule="auto"/>
      </w:pPr>
      <w:r>
        <w:continuationSeparator/>
      </w:r>
    </w:p>
  </w:endnote>
  <w:endnote w:type="continuationNotice" w:id="1">
    <w:p w14:paraId="14837404" w14:textId="77777777" w:rsidR="0057557C" w:rsidRDefault="005755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T Sans Narrow">
    <w:altName w:val="PT Sans Narrow"/>
    <w:charset w:val="00"/>
    <w:family w:val="swiss"/>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2514251"/>
      <w:docPartObj>
        <w:docPartGallery w:val="Page Numbers (Bottom of Page)"/>
        <w:docPartUnique/>
      </w:docPartObj>
    </w:sdtPr>
    <w:sdtEndPr>
      <w:rPr>
        <w:noProof/>
      </w:rPr>
    </w:sdtEndPr>
    <w:sdtContent>
      <w:p w14:paraId="78A2E7B8" w14:textId="512AC579" w:rsidR="004548DD" w:rsidRDefault="004548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C6ABD0B" w14:textId="77777777" w:rsidR="004548DD" w:rsidRDefault="004548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2528F" w14:textId="77777777" w:rsidR="0057557C" w:rsidRDefault="0057557C" w:rsidP="008A0DB3">
      <w:pPr>
        <w:spacing w:after="0" w:line="240" w:lineRule="auto"/>
      </w:pPr>
      <w:r>
        <w:separator/>
      </w:r>
    </w:p>
  </w:footnote>
  <w:footnote w:type="continuationSeparator" w:id="0">
    <w:p w14:paraId="7FAB6537" w14:textId="77777777" w:rsidR="0057557C" w:rsidRDefault="0057557C" w:rsidP="008A0DB3">
      <w:pPr>
        <w:spacing w:after="0" w:line="240" w:lineRule="auto"/>
      </w:pPr>
      <w:r>
        <w:continuationSeparator/>
      </w:r>
    </w:p>
  </w:footnote>
  <w:footnote w:type="continuationNotice" w:id="1">
    <w:p w14:paraId="3AE372AB" w14:textId="77777777" w:rsidR="0057557C" w:rsidRDefault="0057557C">
      <w:pPr>
        <w:spacing w:after="0" w:line="240" w:lineRule="auto"/>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becca Pradeilles">
    <w15:presenceInfo w15:providerId="AD" w15:userId="S::psrp12@lunet.lboro.ac.uk::3b6769f7-e09d-4c62-95ce-15ea35348e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E61"/>
    <w:rsid w:val="000232D6"/>
    <w:rsid w:val="000506CD"/>
    <w:rsid w:val="000A0C69"/>
    <w:rsid w:val="000A44BD"/>
    <w:rsid w:val="000B4DB0"/>
    <w:rsid w:val="000C3F8B"/>
    <w:rsid w:val="000E64D0"/>
    <w:rsid w:val="000F009A"/>
    <w:rsid w:val="00104050"/>
    <w:rsid w:val="00116DD8"/>
    <w:rsid w:val="00132370"/>
    <w:rsid w:val="001409CB"/>
    <w:rsid w:val="00160715"/>
    <w:rsid w:val="001760CA"/>
    <w:rsid w:val="00180C39"/>
    <w:rsid w:val="001B1249"/>
    <w:rsid w:val="001C53ED"/>
    <w:rsid w:val="00212BC4"/>
    <w:rsid w:val="002168C9"/>
    <w:rsid w:val="00221316"/>
    <w:rsid w:val="00221BD7"/>
    <w:rsid w:val="00251142"/>
    <w:rsid w:val="00254ED8"/>
    <w:rsid w:val="00274735"/>
    <w:rsid w:val="00284C7C"/>
    <w:rsid w:val="00285F62"/>
    <w:rsid w:val="002D53D0"/>
    <w:rsid w:val="003021D8"/>
    <w:rsid w:val="0030372B"/>
    <w:rsid w:val="00321A47"/>
    <w:rsid w:val="00340BEB"/>
    <w:rsid w:val="00373777"/>
    <w:rsid w:val="003749F4"/>
    <w:rsid w:val="003A7C63"/>
    <w:rsid w:val="003B21F6"/>
    <w:rsid w:val="003E2F19"/>
    <w:rsid w:val="003E7E7F"/>
    <w:rsid w:val="003F40B5"/>
    <w:rsid w:val="00401A4B"/>
    <w:rsid w:val="004163EC"/>
    <w:rsid w:val="004548DD"/>
    <w:rsid w:val="00475538"/>
    <w:rsid w:val="00484C43"/>
    <w:rsid w:val="00484C65"/>
    <w:rsid w:val="004D16CA"/>
    <w:rsid w:val="004F0586"/>
    <w:rsid w:val="004F0A1E"/>
    <w:rsid w:val="00515479"/>
    <w:rsid w:val="005225CA"/>
    <w:rsid w:val="00531214"/>
    <w:rsid w:val="00560350"/>
    <w:rsid w:val="0057557C"/>
    <w:rsid w:val="00580440"/>
    <w:rsid w:val="00586CFB"/>
    <w:rsid w:val="00593BFA"/>
    <w:rsid w:val="00596836"/>
    <w:rsid w:val="005E6EA8"/>
    <w:rsid w:val="006378AB"/>
    <w:rsid w:val="00647A16"/>
    <w:rsid w:val="006849E6"/>
    <w:rsid w:val="00687534"/>
    <w:rsid w:val="006D48DB"/>
    <w:rsid w:val="006E03D5"/>
    <w:rsid w:val="006F42D9"/>
    <w:rsid w:val="006F5535"/>
    <w:rsid w:val="0071715B"/>
    <w:rsid w:val="00722BDE"/>
    <w:rsid w:val="00724BD4"/>
    <w:rsid w:val="0074009C"/>
    <w:rsid w:val="00744EF0"/>
    <w:rsid w:val="007752FC"/>
    <w:rsid w:val="007A0058"/>
    <w:rsid w:val="007D32AE"/>
    <w:rsid w:val="007D4453"/>
    <w:rsid w:val="007D7B93"/>
    <w:rsid w:val="007F5344"/>
    <w:rsid w:val="008356B2"/>
    <w:rsid w:val="008526D2"/>
    <w:rsid w:val="00875F42"/>
    <w:rsid w:val="008A0DB3"/>
    <w:rsid w:val="008A7254"/>
    <w:rsid w:val="008C014E"/>
    <w:rsid w:val="008C6BD7"/>
    <w:rsid w:val="008D0DC8"/>
    <w:rsid w:val="00901817"/>
    <w:rsid w:val="00983660"/>
    <w:rsid w:val="00990DC7"/>
    <w:rsid w:val="00995516"/>
    <w:rsid w:val="009C1632"/>
    <w:rsid w:val="00A12CD0"/>
    <w:rsid w:val="00A6417A"/>
    <w:rsid w:val="00A93525"/>
    <w:rsid w:val="00AA06ED"/>
    <w:rsid w:val="00AB2C66"/>
    <w:rsid w:val="00AF274A"/>
    <w:rsid w:val="00B576C0"/>
    <w:rsid w:val="00B605C6"/>
    <w:rsid w:val="00B65E1A"/>
    <w:rsid w:val="00B757FB"/>
    <w:rsid w:val="00BE0135"/>
    <w:rsid w:val="00BF77E2"/>
    <w:rsid w:val="00C250E4"/>
    <w:rsid w:val="00C42E8B"/>
    <w:rsid w:val="00C51669"/>
    <w:rsid w:val="00C83663"/>
    <w:rsid w:val="00C964F6"/>
    <w:rsid w:val="00CA1F19"/>
    <w:rsid w:val="00CB1BD4"/>
    <w:rsid w:val="00CC207C"/>
    <w:rsid w:val="00CF65BD"/>
    <w:rsid w:val="00CF6E7F"/>
    <w:rsid w:val="00D13BCF"/>
    <w:rsid w:val="00D20D13"/>
    <w:rsid w:val="00D22AF3"/>
    <w:rsid w:val="00D373AC"/>
    <w:rsid w:val="00D60E1E"/>
    <w:rsid w:val="00DA6729"/>
    <w:rsid w:val="00DC155F"/>
    <w:rsid w:val="00DE7E47"/>
    <w:rsid w:val="00DF73F7"/>
    <w:rsid w:val="00E02472"/>
    <w:rsid w:val="00E03D5B"/>
    <w:rsid w:val="00E1623B"/>
    <w:rsid w:val="00E169D7"/>
    <w:rsid w:val="00E23B6A"/>
    <w:rsid w:val="00E311BD"/>
    <w:rsid w:val="00E62CDE"/>
    <w:rsid w:val="00E82384"/>
    <w:rsid w:val="00EA4BBB"/>
    <w:rsid w:val="00EC7304"/>
    <w:rsid w:val="00ED03AB"/>
    <w:rsid w:val="00ED296B"/>
    <w:rsid w:val="00ED2C35"/>
    <w:rsid w:val="00F00E33"/>
    <w:rsid w:val="00F42DAC"/>
    <w:rsid w:val="00FB328D"/>
    <w:rsid w:val="00FC7E61"/>
    <w:rsid w:val="00FE5A8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3D30A"/>
  <w15:chartTrackingRefBased/>
  <w15:docId w15:val="{0E875765-CC22-49C5-A75C-75C5BDCC4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ocomentario1">
    <w:name w:val="Texto comentario1"/>
    <w:basedOn w:val="Normal"/>
    <w:next w:val="CommentText"/>
    <w:link w:val="TextocomentarioCar"/>
    <w:uiPriority w:val="99"/>
    <w:unhideWhenUsed/>
    <w:rsid w:val="00FC7E61"/>
    <w:pPr>
      <w:spacing w:after="0" w:line="240" w:lineRule="auto"/>
    </w:pPr>
    <w:rPr>
      <w:sz w:val="20"/>
      <w:szCs w:val="20"/>
    </w:rPr>
  </w:style>
  <w:style w:type="character" w:customStyle="1" w:styleId="TextocomentarioCar">
    <w:name w:val="Texto comentario Car"/>
    <w:basedOn w:val="DefaultParagraphFont"/>
    <w:link w:val="Textocomentario1"/>
    <w:uiPriority w:val="99"/>
    <w:rsid w:val="00FC7E61"/>
    <w:rPr>
      <w:sz w:val="20"/>
      <w:szCs w:val="20"/>
    </w:rPr>
  </w:style>
  <w:style w:type="character" w:styleId="CommentReference">
    <w:name w:val="annotation reference"/>
    <w:basedOn w:val="DefaultParagraphFont"/>
    <w:uiPriority w:val="99"/>
    <w:semiHidden/>
    <w:unhideWhenUsed/>
    <w:rsid w:val="00FC7E61"/>
    <w:rPr>
      <w:sz w:val="18"/>
      <w:szCs w:val="18"/>
    </w:rPr>
  </w:style>
  <w:style w:type="table" w:customStyle="1" w:styleId="Tablaconcuadrcula1">
    <w:name w:val="Tabla con cuadrícula1"/>
    <w:basedOn w:val="TableNormal"/>
    <w:next w:val="TableGrid"/>
    <w:uiPriority w:val="39"/>
    <w:rsid w:val="00FC7E6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FC7E61"/>
    <w:pPr>
      <w:spacing w:line="240" w:lineRule="auto"/>
    </w:pPr>
    <w:rPr>
      <w:sz w:val="20"/>
      <w:szCs w:val="20"/>
    </w:rPr>
  </w:style>
  <w:style w:type="character" w:customStyle="1" w:styleId="CommentTextChar">
    <w:name w:val="Comment Text Char"/>
    <w:basedOn w:val="DefaultParagraphFont"/>
    <w:link w:val="CommentText"/>
    <w:uiPriority w:val="99"/>
    <w:rsid w:val="00FC7E61"/>
    <w:rPr>
      <w:sz w:val="20"/>
      <w:szCs w:val="20"/>
    </w:rPr>
  </w:style>
  <w:style w:type="table" w:styleId="TableGrid">
    <w:name w:val="Table Grid"/>
    <w:basedOn w:val="TableNormal"/>
    <w:uiPriority w:val="39"/>
    <w:rsid w:val="00FC7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C7E61"/>
    <w:rPr>
      <w:color w:val="0563C1" w:themeColor="hyperlink"/>
      <w:u w:val="single"/>
    </w:rPr>
  </w:style>
  <w:style w:type="character" w:styleId="UnresolvedMention">
    <w:name w:val="Unresolved Mention"/>
    <w:basedOn w:val="DefaultParagraphFont"/>
    <w:uiPriority w:val="99"/>
    <w:semiHidden/>
    <w:unhideWhenUsed/>
    <w:rsid w:val="00FC7E6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84C65"/>
    <w:rPr>
      <w:b/>
      <w:bCs/>
    </w:rPr>
  </w:style>
  <w:style w:type="character" w:customStyle="1" w:styleId="CommentSubjectChar">
    <w:name w:val="Comment Subject Char"/>
    <w:basedOn w:val="CommentTextChar"/>
    <w:link w:val="CommentSubject"/>
    <w:uiPriority w:val="99"/>
    <w:semiHidden/>
    <w:rsid w:val="00484C65"/>
    <w:rPr>
      <w:b/>
      <w:bCs/>
      <w:sz w:val="20"/>
      <w:szCs w:val="20"/>
    </w:rPr>
  </w:style>
  <w:style w:type="paragraph" w:styleId="Header">
    <w:name w:val="header"/>
    <w:basedOn w:val="Normal"/>
    <w:link w:val="HeaderChar"/>
    <w:uiPriority w:val="99"/>
    <w:unhideWhenUsed/>
    <w:rsid w:val="008A0DB3"/>
    <w:pPr>
      <w:tabs>
        <w:tab w:val="center" w:pos="4252"/>
        <w:tab w:val="right" w:pos="8504"/>
      </w:tabs>
      <w:spacing w:after="0" w:line="240" w:lineRule="auto"/>
    </w:pPr>
  </w:style>
  <w:style w:type="character" w:customStyle="1" w:styleId="HeaderChar">
    <w:name w:val="Header Char"/>
    <w:basedOn w:val="DefaultParagraphFont"/>
    <w:link w:val="Header"/>
    <w:uiPriority w:val="99"/>
    <w:rsid w:val="008A0DB3"/>
  </w:style>
  <w:style w:type="paragraph" w:styleId="Footer">
    <w:name w:val="footer"/>
    <w:basedOn w:val="Normal"/>
    <w:link w:val="FooterChar"/>
    <w:uiPriority w:val="99"/>
    <w:unhideWhenUsed/>
    <w:rsid w:val="008A0DB3"/>
    <w:pPr>
      <w:tabs>
        <w:tab w:val="center" w:pos="4252"/>
        <w:tab w:val="right" w:pos="8504"/>
      </w:tabs>
      <w:spacing w:after="0" w:line="240" w:lineRule="auto"/>
    </w:pPr>
  </w:style>
  <w:style w:type="character" w:customStyle="1" w:styleId="FooterChar">
    <w:name w:val="Footer Char"/>
    <w:basedOn w:val="DefaultParagraphFont"/>
    <w:link w:val="Footer"/>
    <w:uiPriority w:val="99"/>
    <w:rsid w:val="008A0DB3"/>
  </w:style>
  <w:style w:type="paragraph" w:styleId="ListParagraph">
    <w:name w:val="List Paragraph"/>
    <w:basedOn w:val="Normal"/>
    <w:uiPriority w:val="34"/>
    <w:qFormat/>
    <w:rsid w:val="0071715B"/>
    <w:pPr>
      <w:ind w:left="720"/>
      <w:contextualSpacing/>
    </w:pPr>
  </w:style>
  <w:style w:type="paragraph" w:styleId="Revision">
    <w:name w:val="Revision"/>
    <w:hidden/>
    <w:uiPriority w:val="99"/>
    <w:semiHidden/>
    <w:rsid w:val="007171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cid:ii_lb3s6k9i0" TargetMode="External"/><Relationship Id="rId26" Type="http://schemas.openxmlformats.org/officeDocument/2006/relationships/hyperlink" Target="https://proyectos.inei.gob.pe/endes/" TargetMode="External"/><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hyperlink" Target="https://www.who.int/nutrition/publications/double-duty-actions-nutrition-policybrief/en/" TargetMode="Externa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image" Target="media/image4.png"/><Relationship Id="rId25" Type="http://schemas.openxmlformats.org/officeDocument/2006/relationships/hyperlink" Target="https://www.informas.org/food-epi/" TargetMode="External"/><Relationship Id="rId33" Type="http://schemas.openxmlformats.org/officeDocument/2006/relationships/hyperlink" Target="https://doi.org/10.2471/BLT.14.145540"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hyperlink" Target="https://doi.org/10.1016/S0140-6736(19)3031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24" Type="http://schemas.openxmlformats.org/officeDocument/2006/relationships/hyperlink" Target="https://globalnutritionreport.org/resources/nutrition-profiles/" TargetMode="External"/><Relationship Id="rId32" Type="http://schemas.openxmlformats.org/officeDocument/2006/relationships/hyperlink" Target="https://doi.org/10.1017/S0029665118002616" TargetMode="External"/><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hyperlink" Target="https://doi.org/10.1016/S0140-6736(19)32506-1" TargetMode="External"/><Relationship Id="rId36"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image" Target="media/image5.jpeg"/><Relationship Id="rId31" Type="http://schemas.openxmlformats.org/officeDocument/2006/relationships/hyperlink" Target="https://doi.org/10.1016/S0140-6736(19)32497-3" TargetMode="Externa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image" Target="media/image1.png"/><Relationship Id="rId22" Type="http://schemas.openxmlformats.org/officeDocument/2006/relationships/image" Target="media/image8.png"/><Relationship Id="rId27" Type="http://schemas.openxmlformats.org/officeDocument/2006/relationships/hyperlink" Target="https://doi.org/10.1017/S1368980021002512" TargetMode="External"/><Relationship Id="rId30" Type="http://schemas.openxmlformats.org/officeDocument/2006/relationships/hyperlink" Target="https://doi.org/10.1038/s41366-020-00725-x" TargetMode="External"/><Relationship Id="rId35" Type="http://schemas.openxmlformats.org/officeDocument/2006/relationships/hyperlink" Target="https://www.wfp.org/publications/2017-cost-double-burden-malnutrition-social-and-economic-impac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bbeaa-37a6-4581-a4db-f1b5c5c8acbc">
      <Terms xmlns="http://schemas.microsoft.com/office/infopath/2007/PartnerControls"/>
    </lcf76f155ced4ddcb4097134ff3c332f>
    <TaxCatchAll xmlns="1942b08e-b99e-4ec8-ae15-28484496df1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2285219602F840866CF62544B3B551" ma:contentTypeVersion="17" ma:contentTypeDescription="Create a new document." ma:contentTypeScope="" ma:versionID="f6eff4ddf8667d55cb802dbe4c1dca67">
  <xsd:schema xmlns:xsd="http://www.w3.org/2001/XMLSchema" xmlns:xs="http://www.w3.org/2001/XMLSchema" xmlns:p="http://schemas.microsoft.com/office/2006/metadata/properties" xmlns:ns2="6eabbeaa-37a6-4581-a4db-f1b5c5c8acbc" xmlns:ns3="1942b08e-b99e-4ec8-ae15-28484496df14" targetNamespace="http://schemas.microsoft.com/office/2006/metadata/properties" ma:root="true" ma:fieldsID="1f4bbd47a2319b286d8989fd0eb686bf" ns2:_="" ns3:_="">
    <xsd:import namespace="6eabbeaa-37a6-4581-a4db-f1b5c5c8acbc"/>
    <xsd:import namespace="1942b08e-b99e-4ec8-ae15-28484496df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bbeaa-37a6-4581-a4db-f1b5c5c8a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3b1f9f8-f5cc-49a8-8ca6-8016371bfc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2b08e-b99e-4ec8-ae15-28484496df1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330a458-f808-4834-85be-45a163adc88b}" ma:internalName="TaxCatchAll" ma:showField="CatchAllData" ma:web="1942b08e-b99e-4ec8-ae15-28484496df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1"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7E8F1B-BDC3-4EEE-B342-EEB2F5DAA75B}">
  <ds:schemaRefs>
    <ds:schemaRef ds:uri="http://schemas.microsoft.com/sharepoint/v3/contenttype/forms"/>
  </ds:schemaRefs>
</ds:datastoreItem>
</file>

<file path=customXml/itemProps2.xml><?xml version="1.0" encoding="utf-8"?>
<ds:datastoreItem xmlns:ds="http://schemas.openxmlformats.org/officeDocument/2006/customXml" ds:itemID="{2E0D3A82-A33F-4E3E-B5EB-81BC82A0839C}">
  <ds:schemaRefs>
    <ds:schemaRef ds:uri="http://schemas.microsoft.com/office/2006/metadata/properties"/>
    <ds:schemaRef ds:uri="http://schemas.microsoft.com/office/infopath/2007/PartnerControls"/>
    <ds:schemaRef ds:uri="6eabbeaa-37a6-4581-a4db-f1b5c5c8acbc"/>
    <ds:schemaRef ds:uri="1942b08e-b99e-4ec8-ae15-28484496df14"/>
  </ds:schemaRefs>
</ds:datastoreItem>
</file>

<file path=customXml/itemProps3.xml><?xml version="1.0" encoding="utf-8"?>
<ds:datastoreItem xmlns:ds="http://schemas.openxmlformats.org/officeDocument/2006/customXml" ds:itemID="{843B5D34-A562-4701-BEDD-6C2FF9FF8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bbeaa-37a6-4581-a4db-f1b5c5c8acbc"/>
    <ds:schemaRef ds:uri="1942b08e-b99e-4ec8-ae15-28484496df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2136</Words>
  <Characters>12180</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Violeta Magdalena Rojas Huayta</dc:creator>
  <cp:keywords/>
  <dc:description/>
  <cp:lastModifiedBy>Rebecca Pradeilles</cp:lastModifiedBy>
  <cp:revision>27</cp:revision>
  <dcterms:created xsi:type="dcterms:W3CDTF">2021-11-30T05:19:00Z</dcterms:created>
  <dcterms:modified xsi:type="dcterms:W3CDTF">2022-12-01T15:18:00Z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0x010100072285219602F840866CF62544B3B551</vt:lpwstr>
  </property>
  <property fmtid="{D5CDD505-2E9C-101B-9397-08002B2CF9AE}" pid="3" name="MediaServiceImageTags">
    <vt:lpwstr/>
  </property>
</Properties>
</file>