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5EA3" w14:textId="77777777" w:rsidR="00827D96" w:rsidRPr="002B68DB" w:rsidRDefault="00827D96" w:rsidP="00827D96">
      <w:pPr>
        <w:spacing w:before="240" w:after="240" w:line="480" w:lineRule="auto"/>
        <w:jc w:val="center"/>
        <w:rPr>
          <w:b/>
          <w:bCs/>
          <w:sz w:val="28"/>
          <w:szCs w:val="28"/>
          <w:lang w:val="en-US"/>
        </w:rPr>
      </w:pPr>
      <w:r w:rsidRPr="00903CEF">
        <w:rPr>
          <w:b/>
          <w:bCs/>
          <w:sz w:val="28"/>
          <w:szCs w:val="28"/>
          <w:lang w:val="en-US"/>
        </w:rPr>
        <w:t xml:space="preserve">The relationships between biotic uniqueness and environmental uniqueness are context dependent across drainage basins </w:t>
      </w:r>
      <w:proofErr w:type="gramStart"/>
      <w:r w:rsidRPr="00903CEF">
        <w:rPr>
          <w:b/>
          <w:bCs/>
          <w:sz w:val="28"/>
          <w:szCs w:val="28"/>
          <w:lang w:val="en-US"/>
        </w:rPr>
        <w:t>worldwide</w:t>
      </w:r>
      <w:proofErr w:type="gramEnd"/>
    </w:p>
    <w:p w14:paraId="13AEFBDB" w14:textId="77777777" w:rsidR="00434145" w:rsidRPr="00434145" w:rsidRDefault="00434145" w:rsidP="00434145">
      <w:pPr>
        <w:spacing w:before="240" w:after="240" w:line="480" w:lineRule="auto"/>
        <w:rPr>
          <w:rFonts w:eastAsia="Arial" w:cs="Arial"/>
          <w:vertAlign w:val="superscript"/>
          <w:lang w:val="en-GB"/>
        </w:rPr>
      </w:pPr>
      <w:r w:rsidRPr="00434145">
        <w:rPr>
          <w:rFonts w:eastAsia="Arial" w:cs="Arial"/>
          <w:lang w:val="en-GB"/>
        </w:rPr>
        <w:t>Henna Snåre</w:t>
      </w:r>
      <w:r w:rsidRPr="00434145">
        <w:rPr>
          <w:rFonts w:eastAsia="Arial" w:cs="Arial"/>
          <w:vertAlign w:val="superscript"/>
          <w:lang w:val="en-GB"/>
        </w:rPr>
        <w:t>1,2</w:t>
      </w:r>
      <w:r w:rsidRPr="00434145">
        <w:rPr>
          <w:rFonts w:eastAsia="Arial" w:cs="Arial"/>
          <w:lang w:val="en-GB"/>
        </w:rPr>
        <w:t>, Jorge García-Girón</w:t>
      </w:r>
      <w:r w:rsidRPr="00434145">
        <w:rPr>
          <w:rFonts w:eastAsia="Arial" w:cs="Arial"/>
          <w:vertAlign w:val="superscript"/>
          <w:lang w:val="en-GB"/>
        </w:rPr>
        <w:t>1,3</w:t>
      </w:r>
      <w:r w:rsidRPr="00434145">
        <w:rPr>
          <w:rFonts w:eastAsia="Arial" w:cs="Arial"/>
          <w:lang w:val="en-GB"/>
        </w:rPr>
        <w:t>, Janne Alahuhta</w:t>
      </w:r>
      <w:r w:rsidRPr="00434145">
        <w:rPr>
          <w:rFonts w:eastAsia="Arial" w:cs="Arial"/>
          <w:vertAlign w:val="superscript"/>
          <w:lang w:val="en-GB"/>
        </w:rPr>
        <w:t>1</w:t>
      </w:r>
      <w:r w:rsidRPr="00434145">
        <w:rPr>
          <w:rFonts w:eastAsia="Arial" w:cs="Arial"/>
          <w:lang w:val="en-GB"/>
        </w:rPr>
        <w:t>, Luis Mauricio Bini</w:t>
      </w:r>
      <w:r w:rsidRPr="00434145">
        <w:rPr>
          <w:rFonts w:eastAsia="Arial" w:cs="Arial"/>
          <w:vertAlign w:val="superscript"/>
          <w:lang w:val="en-GB"/>
        </w:rPr>
        <w:t>4</w:t>
      </w:r>
      <w:r w:rsidRPr="00434145">
        <w:rPr>
          <w:rFonts w:eastAsia="Arial" w:cs="Arial"/>
          <w:lang w:val="en-GB"/>
        </w:rPr>
        <w:t>, Pál Boda</w:t>
      </w:r>
      <w:r w:rsidRPr="00434145">
        <w:rPr>
          <w:rFonts w:eastAsia="Arial" w:cs="Arial"/>
          <w:vertAlign w:val="superscript"/>
          <w:lang w:val="en-GB"/>
        </w:rPr>
        <w:t>5</w:t>
      </w:r>
      <w:r w:rsidRPr="00434145">
        <w:rPr>
          <w:rFonts w:eastAsia="Arial" w:cs="Arial"/>
          <w:lang w:val="en-GB"/>
        </w:rPr>
        <w:t>, Núria Bonada</w:t>
      </w:r>
      <w:r w:rsidRPr="00434145">
        <w:rPr>
          <w:rFonts w:eastAsia="Arial" w:cs="Arial"/>
          <w:vertAlign w:val="superscript"/>
          <w:lang w:val="en-GB"/>
        </w:rPr>
        <w:t>6,7</w:t>
      </w:r>
      <w:r w:rsidRPr="00434145">
        <w:rPr>
          <w:rFonts w:eastAsia="Arial" w:cs="Arial"/>
          <w:lang w:val="en-GB"/>
        </w:rPr>
        <w:t>, Leandro S. Brasil</w:t>
      </w:r>
      <w:r w:rsidRPr="00434145">
        <w:rPr>
          <w:rFonts w:eastAsia="Arial" w:cs="Arial"/>
          <w:vertAlign w:val="superscript"/>
          <w:lang w:val="en-GB"/>
        </w:rPr>
        <w:t>8</w:t>
      </w:r>
      <w:r w:rsidRPr="00434145">
        <w:rPr>
          <w:rFonts w:eastAsia="Arial" w:cs="Arial"/>
          <w:lang w:val="en-GB"/>
        </w:rPr>
        <w:t>, Marcos Callisto</w:t>
      </w:r>
      <w:r w:rsidRPr="00434145">
        <w:rPr>
          <w:rFonts w:eastAsia="Arial" w:cs="Arial"/>
          <w:vertAlign w:val="superscript"/>
          <w:lang w:val="en-GB"/>
        </w:rPr>
        <w:t>9</w:t>
      </w:r>
      <w:r w:rsidRPr="00434145">
        <w:rPr>
          <w:rFonts w:eastAsia="Arial" w:cs="Arial"/>
          <w:lang w:val="en-GB"/>
        </w:rPr>
        <w:t>, Diego M. P. Castro</w:t>
      </w:r>
      <w:r w:rsidRPr="00434145">
        <w:rPr>
          <w:rFonts w:eastAsia="Arial" w:cs="Arial"/>
          <w:vertAlign w:val="superscript"/>
          <w:lang w:val="en-GB"/>
        </w:rPr>
        <w:t>9</w:t>
      </w:r>
      <w:r w:rsidRPr="00434145">
        <w:rPr>
          <w:rFonts w:eastAsia="Arial" w:cs="Arial"/>
          <w:lang w:val="en-GB"/>
        </w:rPr>
        <w:t>, Kai Chen</w:t>
      </w:r>
      <w:r w:rsidRPr="00434145">
        <w:rPr>
          <w:rFonts w:eastAsia="Arial" w:cs="Arial"/>
          <w:vertAlign w:val="superscript"/>
          <w:lang w:val="en-GB"/>
        </w:rPr>
        <w:t>10</w:t>
      </w:r>
      <w:r w:rsidRPr="00434145">
        <w:rPr>
          <w:rFonts w:eastAsia="Arial" w:cs="Arial"/>
          <w:lang w:val="en-GB"/>
        </w:rPr>
        <w:t>, Zoltán Csabai</w:t>
      </w:r>
      <w:r w:rsidRPr="00434145">
        <w:rPr>
          <w:rFonts w:eastAsia="Arial" w:cs="Arial"/>
          <w:vertAlign w:val="superscript"/>
          <w:lang w:val="en-GB"/>
        </w:rPr>
        <w:t>11,48</w:t>
      </w:r>
      <w:r w:rsidRPr="00434145">
        <w:rPr>
          <w:rFonts w:eastAsia="Arial" w:cs="Arial"/>
          <w:lang w:val="en-GB"/>
        </w:rPr>
        <w:t>, Thibault Datry</w:t>
      </w:r>
      <w:r w:rsidRPr="00434145">
        <w:rPr>
          <w:rFonts w:eastAsia="Arial" w:cs="Arial"/>
          <w:vertAlign w:val="superscript"/>
          <w:lang w:val="en-GB"/>
        </w:rPr>
        <w:t>12</w:t>
      </w:r>
      <w:r w:rsidRPr="00434145">
        <w:rPr>
          <w:rFonts w:eastAsia="Arial" w:cs="Arial"/>
          <w:lang w:val="en-GB"/>
        </w:rPr>
        <w:t>, Sami Domisch</w:t>
      </w:r>
      <w:r w:rsidRPr="00434145">
        <w:rPr>
          <w:rFonts w:eastAsia="Arial" w:cs="Arial"/>
          <w:vertAlign w:val="superscript"/>
          <w:lang w:val="en-GB"/>
        </w:rPr>
        <w:t>13</w:t>
      </w:r>
      <w:r w:rsidRPr="00434145">
        <w:rPr>
          <w:rFonts w:eastAsia="Arial" w:cs="Arial"/>
          <w:lang w:val="en-GB"/>
        </w:rPr>
        <w:t>, Jaime R. García-Marquez</w:t>
      </w:r>
      <w:r w:rsidRPr="00434145">
        <w:rPr>
          <w:rFonts w:eastAsia="Arial" w:cs="Arial"/>
          <w:vertAlign w:val="superscript"/>
          <w:lang w:val="en-GB"/>
        </w:rPr>
        <w:t>13</w:t>
      </w:r>
      <w:r w:rsidRPr="00434145">
        <w:rPr>
          <w:rFonts w:eastAsia="Arial" w:cs="Arial"/>
          <w:lang w:val="en-GB"/>
        </w:rPr>
        <w:t>,  Mathieu Floury</w:t>
      </w:r>
      <w:r w:rsidRPr="00434145">
        <w:rPr>
          <w:rFonts w:eastAsia="Arial" w:cs="Arial"/>
          <w:vertAlign w:val="superscript"/>
          <w:lang w:val="en-GB"/>
        </w:rPr>
        <w:t>13,14</w:t>
      </w:r>
      <w:r w:rsidRPr="00434145">
        <w:rPr>
          <w:rFonts w:eastAsia="Arial" w:cs="Arial"/>
          <w:lang w:val="en-GB"/>
        </w:rPr>
        <w:t>, Nikolai Friberg</w:t>
      </w:r>
      <w:r w:rsidRPr="00434145">
        <w:rPr>
          <w:rFonts w:eastAsia="Arial" w:cs="Arial"/>
          <w:vertAlign w:val="superscript"/>
          <w:lang w:val="en-GB"/>
        </w:rPr>
        <w:t>15,16,17</w:t>
      </w:r>
      <w:r w:rsidRPr="00434145">
        <w:rPr>
          <w:rFonts w:eastAsia="Arial" w:cs="Arial"/>
          <w:lang w:val="en-GB"/>
        </w:rPr>
        <w:t>, Brian A. Gill</w:t>
      </w:r>
      <w:r w:rsidRPr="00434145">
        <w:rPr>
          <w:rFonts w:eastAsia="Arial" w:cs="Arial"/>
          <w:vertAlign w:val="superscript"/>
          <w:lang w:val="en-GB"/>
        </w:rPr>
        <w:t>18</w:t>
      </w:r>
      <w:r w:rsidRPr="00434145">
        <w:rPr>
          <w:rFonts w:eastAsia="Arial" w:cs="Arial"/>
          <w:lang w:val="en-GB"/>
        </w:rPr>
        <w:t>, Juan David González-Trujillo</w:t>
      </w:r>
      <w:r w:rsidRPr="00434145">
        <w:rPr>
          <w:rFonts w:eastAsia="Arial" w:cs="Arial"/>
          <w:vertAlign w:val="superscript"/>
          <w:lang w:val="en-GB"/>
        </w:rPr>
        <w:t>19</w:t>
      </w:r>
      <w:r w:rsidRPr="00434145">
        <w:rPr>
          <w:rFonts w:eastAsia="Arial" w:cs="Arial"/>
          <w:lang w:val="en-GB"/>
        </w:rPr>
        <w:t>, Emma Göthe</w:t>
      </w:r>
      <w:r w:rsidRPr="00434145">
        <w:rPr>
          <w:rFonts w:eastAsia="Arial" w:cs="Arial"/>
          <w:vertAlign w:val="superscript"/>
          <w:lang w:val="en-GB"/>
        </w:rPr>
        <w:t>20</w:t>
      </w:r>
      <w:r w:rsidRPr="00434145">
        <w:rPr>
          <w:rFonts w:eastAsia="Arial" w:cs="Arial"/>
          <w:lang w:val="en-GB"/>
        </w:rPr>
        <w:t>, Peter Haase</w:t>
      </w:r>
      <w:r w:rsidRPr="00434145">
        <w:rPr>
          <w:rFonts w:eastAsia="Arial" w:cs="Arial"/>
          <w:vertAlign w:val="superscript"/>
          <w:lang w:val="en-GB"/>
        </w:rPr>
        <w:t>21,22</w:t>
      </w:r>
      <w:r w:rsidRPr="00434145">
        <w:rPr>
          <w:rFonts w:eastAsia="Arial" w:cs="Arial"/>
          <w:lang w:val="en-GB"/>
        </w:rPr>
        <w:t xml:space="preserve">, </w:t>
      </w:r>
      <w:proofErr w:type="spellStart"/>
      <w:r w:rsidRPr="00434145">
        <w:rPr>
          <w:rFonts w:eastAsia="Arial" w:cs="Arial"/>
          <w:lang w:val="en-GB"/>
        </w:rPr>
        <w:t>Neusa</w:t>
      </w:r>
      <w:proofErr w:type="spellEnd"/>
      <w:r w:rsidRPr="00434145">
        <w:rPr>
          <w:rFonts w:eastAsia="Arial" w:cs="Arial"/>
          <w:lang w:val="en-GB"/>
        </w:rPr>
        <w:t xml:space="preserve"> Hamada</w:t>
      </w:r>
      <w:r w:rsidRPr="00434145">
        <w:rPr>
          <w:rFonts w:eastAsia="Arial" w:cs="Arial"/>
          <w:vertAlign w:val="superscript"/>
          <w:lang w:val="en-GB"/>
        </w:rPr>
        <w:t>23</w:t>
      </w:r>
      <w:r w:rsidRPr="00434145">
        <w:rPr>
          <w:rFonts w:eastAsia="Arial" w:cs="Arial"/>
          <w:lang w:val="en-GB"/>
        </w:rPr>
        <w:t>, Matthew J. Hill</w:t>
      </w:r>
      <w:r w:rsidRPr="00434145">
        <w:rPr>
          <w:rFonts w:eastAsia="Arial" w:cs="Arial"/>
          <w:vertAlign w:val="superscript"/>
          <w:lang w:val="en-GB"/>
        </w:rPr>
        <w:t>24</w:t>
      </w:r>
      <w:r w:rsidRPr="00434145">
        <w:rPr>
          <w:rFonts w:eastAsia="Arial" w:cs="Arial"/>
          <w:lang w:val="en-GB"/>
        </w:rPr>
        <w:t>, Jan Hjort</w:t>
      </w:r>
      <w:r w:rsidRPr="00434145">
        <w:rPr>
          <w:rFonts w:eastAsia="Arial" w:cs="Arial"/>
          <w:vertAlign w:val="superscript"/>
          <w:lang w:val="en-GB"/>
        </w:rPr>
        <w:t>1</w:t>
      </w:r>
      <w:r w:rsidRPr="00434145">
        <w:rPr>
          <w:rFonts w:eastAsia="Arial" w:cs="Arial"/>
          <w:lang w:val="en-GB"/>
        </w:rPr>
        <w:t>, Leandro Juen</w:t>
      </w:r>
      <w:r w:rsidRPr="00434145">
        <w:rPr>
          <w:rFonts w:eastAsia="Arial" w:cs="Arial"/>
          <w:vertAlign w:val="superscript"/>
          <w:lang w:val="en-GB"/>
        </w:rPr>
        <w:t>25</w:t>
      </w:r>
      <w:r w:rsidRPr="00434145">
        <w:rPr>
          <w:rFonts w:eastAsia="Arial" w:cs="Arial"/>
          <w:lang w:val="en-GB"/>
        </w:rPr>
        <w:t>, Jonathan F. Jupke</w:t>
      </w:r>
      <w:r w:rsidRPr="00434145">
        <w:rPr>
          <w:rFonts w:eastAsia="Arial" w:cs="Arial"/>
          <w:vertAlign w:val="superscript"/>
          <w:lang w:val="en-GB"/>
        </w:rPr>
        <w:t>26</w:t>
      </w:r>
      <w:r w:rsidRPr="00434145">
        <w:rPr>
          <w:rFonts w:eastAsia="Arial" w:cs="Arial"/>
          <w:lang w:val="en-GB"/>
        </w:rPr>
        <w:t>, Ana Paula Justino de Faria</w:t>
      </w:r>
      <w:r w:rsidRPr="00434145">
        <w:rPr>
          <w:rFonts w:eastAsia="Arial" w:cs="Arial"/>
          <w:vertAlign w:val="superscript"/>
          <w:lang w:val="en-GB"/>
        </w:rPr>
        <w:t>25</w:t>
      </w:r>
      <w:r w:rsidRPr="00434145">
        <w:rPr>
          <w:rFonts w:eastAsia="Arial" w:cs="Arial"/>
          <w:lang w:val="en-GB"/>
        </w:rPr>
        <w:t>, Zhengfei Li</w:t>
      </w:r>
      <w:r w:rsidRPr="00434145">
        <w:rPr>
          <w:rFonts w:eastAsia="Arial" w:cs="Arial"/>
          <w:vertAlign w:val="superscript"/>
          <w:lang w:val="en-GB"/>
        </w:rPr>
        <w:t>27</w:t>
      </w:r>
      <w:r w:rsidRPr="00434145">
        <w:rPr>
          <w:rFonts w:eastAsia="Arial" w:cs="Arial"/>
          <w:lang w:val="en-GB"/>
        </w:rPr>
        <w:t>, Raphael Ligeiro</w:t>
      </w:r>
      <w:r w:rsidRPr="00434145">
        <w:rPr>
          <w:rFonts w:eastAsia="Arial" w:cs="Arial"/>
          <w:vertAlign w:val="superscript"/>
          <w:lang w:val="en-GB"/>
        </w:rPr>
        <w:t>25</w:t>
      </w:r>
      <w:r w:rsidRPr="00434145">
        <w:rPr>
          <w:rFonts w:eastAsia="Arial" w:cs="Arial"/>
          <w:lang w:val="en-GB"/>
        </w:rPr>
        <w:t>, Marden S. Linares</w:t>
      </w:r>
      <w:r w:rsidRPr="00434145">
        <w:rPr>
          <w:rFonts w:eastAsia="Arial" w:cs="Arial"/>
          <w:vertAlign w:val="superscript"/>
          <w:lang w:val="en-GB"/>
        </w:rPr>
        <w:t>9</w:t>
      </w:r>
      <w:r w:rsidRPr="00434145">
        <w:rPr>
          <w:rFonts w:eastAsia="Arial" w:cs="Arial"/>
          <w:lang w:val="en-GB"/>
        </w:rPr>
        <w:t>, Ana Luiza-Andrade</w:t>
      </w:r>
      <w:r w:rsidRPr="00434145">
        <w:rPr>
          <w:rFonts w:eastAsia="Arial" w:cs="Arial"/>
          <w:vertAlign w:val="superscript"/>
          <w:lang w:val="en-GB"/>
        </w:rPr>
        <w:t>28</w:t>
      </w:r>
      <w:r w:rsidRPr="00434145">
        <w:rPr>
          <w:rFonts w:eastAsia="Arial" w:cs="Arial"/>
          <w:lang w:val="en-GB"/>
        </w:rPr>
        <w:t>, Diego R. Macedo</w:t>
      </w:r>
      <w:r w:rsidRPr="00434145">
        <w:rPr>
          <w:rFonts w:eastAsia="Arial" w:cs="Arial"/>
          <w:vertAlign w:val="superscript"/>
          <w:lang w:val="en-GB"/>
        </w:rPr>
        <w:t>31</w:t>
      </w:r>
      <w:r w:rsidRPr="00434145">
        <w:rPr>
          <w:rFonts w:eastAsia="Arial" w:cs="Arial"/>
          <w:lang w:val="en-GB"/>
        </w:rPr>
        <w:t>, Kate L. Mathers</w:t>
      </w:r>
      <w:r w:rsidRPr="00434145">
        <w:rPr>
          <w:rFonts w:eastAsia="Arial" w:cs="Arial"/>
          <w:vertAlign w:val="superscript"/>
          <w:lang w:val="en-GB"/>
        </w:rPr>
        <w:t>29</w:t>
      </w:r>
      <w:r w:rsidRPr="00434145">
        <w:rPr>
          <w:rFonts w:eastAsia="Arial" w:cs="Arial"/>
          <w:lang w:val="en-GB"/>
        </w:rPr>
        <w:t>, Andres Mellado-Diaz</w:t>
      </w:r>
      <w:r w:rsidRPr="00434145">
        <w:rPr>
          <w:rFonts w:eastAsia="Arial" w:cs="Arial"/>
          <w:vertAlign w:val="superscript"/>
          <w:lang w:val="en-GB"/>
        </w:rPr>
        <w:t>32</w:t>
      </w:r>
      <w:r w:rsidRPr="00434145">
        <w:rPr>
          <w:rFonts w:eastAsia="Arial" w:cs="Arial"/>
          <w:lang w:val="en-GB"/>
        </w:rPr>
        <w:t>, Djuradj Milosevic</w:t>
      </w:r>
      <w:r w:rsidRPr="00434145">
        <w:rPr>
          <w:rFonts w:eastAsia="Arial" w:cs="Arial"/>
          <w:vertAlign w:val="superscript"/>
          <w:lang w:val="en-GB"/>
        </w:rPr>
        <w:t>45</w:t>
      </w:r>
      <w:r w:rsidRPr="00434145">
        <w:rPr>
          <w:rFonts w:eastAsia="Arial" w:cs="Arial"/>
          <w:lang w:val="en-GB"/>
        </w:rPr>
        <w:t>, Nabor Moya</w:t>
      </w:r>
      <w:r w:rsidRPr="00434145">
        <w:rPr>
          <w:rFonts w:eastAsia="Arial" w:cs="Arial"/>
          <w:vertAlign w:val="superscript"/>
          <w:lang w:val="en-GB"/>
        </w:rPr>
        <w:t>30</w:t>
      </w:r>
      <w:r w:rsidRPr="00434145">
        <w:rPr>
          <w:rFonts w:eastAsia="Arial" w:cs="Arial"/>
          <w:lang w:val="en-GB"/>
        </w:rPr>
        <w:t>, N. LeRoy Poff</w:t>
      </w:r>
      <w:r w:rsidRPr="00434145">
        <w:rPr>
          <w:rFonts w:eastAsia="Arial" w:cs="Arial"/>
          <w:vertAlign w:val="superscript"/>
          <w:lang w:val="en-GB"/>
        </w:rPr>
        <w:t>46,47</w:t>
      </w:r>
      <w:r w:rsidRPr="00434145">
        <w:rPr>
          <w:rFonts w:eastAsia="Arial" w:cs="Arial"/>
          <w:lang w:val="en-GB"/>
        </w:rPr>
        <w:t>, Robert J. Rolls</w:t>
      </w:r>
      <w:r w:rsidRPr="00434145">
        <w:rPr>
          <w:rFonts w:eastAsia="Arial" w:cs="Arial"/>
          <w:vertAlign w:val="superscript"/>
          <w:lang w:val="en-GB"/>
        </w:rPr>
        <w:t>49</w:t>
      </w:r>
      <w:r w:rsidRPr="00434145">
        <w:rPr>
          <w:rFonts w:eastAsia="Arial" w:cs="Arial"/>
          <w:lang w:val="en-GB"/>
        </w:rPr>
        <w:t>, Fabio O. Roque</w:t>
      </w:r>
      <w:r w:rsidRPr="00434145">
        <w:rPr>
          <w:rFonts w:eastAsia="Arial" w:cs="Arial"/>
          <w:vertAlign w:val="superscript"/>
          <w:lang w:val="en-GB"/>
        </w:rPr>
        <w:t>33,34</w:t>
      </w:r>
      <w:r w:rsidRPr="00434145">
        <w:rPr>
          <w:rFonts w:eastAsia="Arial" w:cs="Arial"/>
          <w:lang w:val="en-GB"/>
        </w:rPr>
        <w:t>, Victor S. Saito</w:t>
      </w:r>
      <w:r w:rsidRPr="00434145">
        <w:rPr>
          <w:rFonts w:eastAsia="Arial" w:cs="Arial"/>
          <w:vertAlign w:val="superscript"/>
          <w:lang w:val="en-GB"/>
        </w:rPr>
        <w:t>35</w:t>
      </w:r>
      <w:r w:rsidRPr="00434145">
        <w:rPr>
          <w:rFonts w:eastAsia="Arial" w:cs="Arial"/>
          <w:lang w:val="en-GB"/>
        </w:rPr>
        <w:t>, Leonard Sandin</w:t>
      </w:r>
      <w:r w:rsidRPr="00434145">
        <w:rPr>
          <w:rFonts w:eastAsia="Arial" w:cs="Arial"/>
          <w:vertAlign w:val="superscript"/>
          <w:lang w:val="en-GB"/>
        </w:rPr>
        <w:t>36</w:t>
      </w:r>
      <w:r w:rsidRPr="00434145">
        <w:rPr>
          <w:rFonts w:eastAsia="Arial" w:cs="Arial"/>
          <w:lang w:val="en-GB"/>
        </w:rPr>
        <w:t>, Ralf B. Schäfer</w:t>
      </w:r>
      <w:r w:rsidRPr="00434145">
        <w:rPr>
          <w:rFonts w:eastAsia="Arial" w:cs="Arial"/>
          <w:vertAlign w:val="superscript"/>
          <w:lang w:val="en-GB"/>
        </w:rPr>
        <w:t>26</w:t>
      </w:r>
      <w:r w:rsidRPr="00434145">
        <w:rPr>
          <w:rFonts w:eastAsia="Arial" w:cs="Arial"/>
          <w:lang w:val="en-GB"/>
        </w:rPr>
        <w:t>, Alberto Scotti</w:t>
      </w:r>
      <w:r w:rsidRPr="00434145">
        <w:rPr>
          <w:rFonts w:eastAsia="Arial" w:cs="Arial"/>
          <w:vertAlign w:val="superscript"/>
          <w:lang w:val="en-GB"/>
        </w:rPr>
        <w:t>37,38</w:t>
      </w:r>
      <w:r w:rsidRPr="00434145">
        <w:rPr>
          <w:rFonts w:eastAsia="Arial" w:cs="Arial"/>
          <w:lang w:val="en-GB"/>
        </w:rPr>
        <w:t>, Tadeu Siqueira</w:t>
      </w:r>
      <w:r w:rsidRPr="00434145">
        <w:rPr>
          <w:rFonts w:eastAsia="Arial" w:cs="Arial"/>
          <w:vertAlign w:val="superscript"/>
          <w:lang w:val="en-GB"/>
        </w:rPr>
        <w:t>39</w:t>
      </w:r>
      <w:r w:rsidRPr="00434145">
        <w:rPr>
          <w:rFonts w:eastAsia="Arial" w:cs="Arial"/>
          <w:lang w:val="en-GB"/>
        </w:rPr>
        <w:t>, Renato Tavares Martins</w:t>
      </w:r>
      <w:r w:rsidRPr="00434145">
        <w:rPr>
          <w:rFonts w:eastAsia="Arial" w:cs="Arial"/>
          <w:vertAlign w:val="superscript"/>
          <w:lang w:val="en-GB"/>
        </w:rPr>
        <w:t>23,41</w:t>
      </w:r>
      <w:r w:rsidRPr="00434145">
        <w:rPr>
          <w:rFonts w:eastAsia="Arial" w:cs="Arial"/>
          <w:lang w:val="en-GB"/>
        </w:rPr>
        <w:t>, Francisco Valente-Neto</w:t>
      </w:r>
      <w:r w:rsidRPr="00434145">
        <w:rPr>
          <w:rFonts w:eastAsia="Arial" w:cs="Arial"/>
          <w:vertAlign w:val="superscript"/>
          <w:lang w:val="en-GB"/>
        </w:rPr>
        <w:t>42</w:t>
      </w:r>
      <w:r w:rsidRPr="00434145">
        <w:rPr>
          <w:rFonts w:eastAsia="Arial" w:cs="Arial"/>
          <w:lang w:val="en-GB"/>
        </w:rPr>
        <w:t xml:space="preserve">, </w:t>
      </w:r>
      <w:proofErr w:type="spellStart"/>
      <w:r w:rsidRPr="00434145">
        <w:rPr>
          <w:rFonts w:eastAsia="Arial" w:cs="Arial"/>
          <w:lang w:val="en-GB"/>
        </w:rPr>
        <w:t>Beixin</w:t>
      </w:r>
      <w:proofErr w:type="spellEnd"/>
      <w:r w:rsidRPr="00434145">
        <w:rPr>
          <w:rFonts w:eastAsia="Arial" w:cs="Arial"/>
          <w:lang w:val="en-GB"/>
        </w:rPr>
        <w:t xml:space="preserve"> Wang</w:t>
      </w:r>
      <w:r w:rsidRPr="00434145">
        <w:rPr>
          <w:rFonts w:eastAsia="Arial" w:cs="Arial"/>
          <w:vertAlign w:val="superscript"/>
          <w:lang w:val="en-GB"/>
        </w:rPr>
        <w:t>43</w:t>
      </w:r>
      <w:r w:rsidRPr="00434145">
        <w:rPr>
          <w:rFonts w:eastAsia="Arial" w:cs="Arial"/>
          <w:lang w:val="en-GB"/>
        </w:rPr>
        <w:t>, Jun Wang</w:t>
      </w:r>
      <w:r w:rsidRPr="00434145">
        <w:rPr>
          <w:rFonts w:eastAsia="Arial" w:cs="Arial"/>
          <w:vertAlign w:val="superscript"/>
          <w:lang w:val="en-GB"/>
        </w:rPr>
        <w:t>44</w:t>
      </w:r>
      <w:r w:rsidRPr="00434145">
        <w:rPr>
          <w:rFonts w:eastAsia="Arial" w:cs="Arial"/>
          <w:lang w:val="en-GB"/>
        </w:rPr>
        <w:t xml:space="preserve">, </w:t>
      </w:r>
      <w:proofErr w:type="spellStart"/>
      <w:r w:rsidRPr="00434145">
        <w:rPr>
          <w:rFonts w:eastAsia="Arial" w:cs="Arial"/>
          <w:lang w:val="en-GB"/>
        </w:rPr>
        <w:t>Zhicai</w:t>
      </w:r>
      <w:proofErr w:type="spellEnd"/>
      <w:r w:rsidRPr="00434145">
        <w:rPr>
          <w:rFonts w:eastAsia="Arial" w:cs="Arial"/>
          <w:lang w:val="en-GB"/>
        </w:rPr>
        <w:t xml:space="preserve"> Xie</w:t>
      </w:r>
      <w:r w:rsidRPr="00434145">
        <w:rPr>
          <w:rFonts w:eastAsia="Arial" w:cs="Arial"/>
          <w:vertAlign w:val="superscript"/>
          <w:lang w:val="en-GB"/>
        </w:rPr>
        <w:t>27</w:t>
      </w:r>
      <w:r w:rsidRPr="00434145">
        <w:rPr>
          <w:rFonts w:eastAsia="Arial" w:cs="Arial"/>
          <w:lang w:val="en-GB"/>
        </w:rPr>
        <w:t xml:space="preserve"> &amp; Jani Heino</w:t>
      </w:r>
      <w:r w:rsidRPr="00434145">
        <w:rPr>
          <w:rFonts w:eastAsia="Arial" w:cs="Arial"/>
          <w:vertAlign w:val="superscript"/>
          <w:lang w:val="en-GB"/>
        </w:rPr>
        <w:t>1</w:t>
      </w:r>
    </w:p>
    <w:p w14:paraId="47A7C4B7" w14:textId="499EAE63" w:rsidR="00827D96" w:rsidRDefault="00827D96" w:rsidP="00827D96">
      <w:pPr>
        <w:pStyle w:val="Heading2"/>
        <w:rPr>
          <w:b w:val="0"/>
          <w:bCs/>
          <w:sz w:val="24"/>
          <w:szCs w:val="24"/>
          <w:lang w:val="en-US"/>
        </w:rPr>
      </w:pPr>
      <w:r>
        <w:rPr>
          <w:bCs/>
          <w:sz w:val="24"/>
          <w:szCs w:val="24"/>
          <w:lang w:val="en-US"/>
        </w:rPr>
        <w:t>Supplementary Information</w:t>
      </w:r>
      <w:r w:rsidRPr="539CAE0E"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  <w:lang w:val="en-US"/>
        </w:rPr>
        <w:t>3</w:t>
      </w:r>
      <w:r w:rsidRPr="539CAE0E">
        <w:rPr>
          <w:bCs/>
          <w:sz w:val="24"/>
          <w:szCs w:val="24"/>
          <w:lang w:val="en-US"/>
        </w:rPr>
        <w:t xml:space="preserve"> S1.</w:t>
      </w:r>
      <w:r>
        <w:rPr>
          <w:bCs/>
          <w:sz w:val="24"/>
          <w:szCs w:val="24"/>
          <w:lang w:val="en-US"/>
        </w:rPr>
        <w:t xml:space="preserve"> Classification of land use types</w:t>
      </w:r>
    </w:p>
    <w:p w14:paraId="58267658" w14:textId="77777777" w:rsidR="006E25C4" w:rsidRDefault="006E25C4">
      <w:pPr>
        <w:spacing w:before="120" w:after="120"/>
        <w:rPr>
          <w:rFonts w:eastAsiaTheme="majorEastAsia" w:cstheme="majorBidi"/>
          <w:b/>
          <w:bCs/>
          <w:color w:val="000000" w:themeColor="text1"/>
          <w:lang w:val="en-US"/>
        </w:rPr>
      </w:pPr>
      <w:r>
        <w:rPr>
          <w:bCs/>
          <w:lang w:val="en-US"/>
        </w:rPr>
        <w:br w:type="page"/>
      </w:r>
    </w:p>
    <w:p w14:paraId="1E091FF0" w14:textId="41BF04C3" w:rsidR="002B68DB" w:rsidRDefault="002B68DB" w:rsidP="002B68DB">
      <w:pPr>
        <w:pStyle w:val="Heading2"/>
        <w:rPr>
          <w:b w:val="0"/>
          <w:bCs/>
          <w:sz w:val="24"/>
          <w:szCs w:val="24"/>
          <w:lang w:val="en-US"/>
        </w:rPr>
      </w:pPr>
      <w:r w:rsidRPr="539CAE0E">
        <w:rPr>
          <w:bCs/>
          <w:sz w:val="24"/>
          <w:szCs w:val="24"/>
          <w:lang w:val="en-US"/>
        </w:rPr>
        <w:lastRenderedPageBreak/>
        <w:t>S1.</w:t>
      </w:r>
      <w:r>
        <w:rPr>
          <w:bCs/>
          <w:sz w:val="24"/>
          <w:szCs w:val="24"/>
          <w:lang w:val="en-US"/>
        </w:rPr>
        <w:t xml:space="preserve"> Classification of land use types</w:t>
      </w:r>
      <w:r w:rsidRPr="539CAE0E">
        <w:rPr>
          <w:bCs/>
          <w:sz w:val="24"/>
          <w:szCs w:val="24"/>
          <w:lang w:val="en-US"/>
        </w:rPr>
        <w:t>.</w:t>
      </w:r>
    </w:p>
    <w:p w14:paraId="78437CCC" w14:textId="77777777" w:rsidR="00903CEF" w:rsidRDefault="00903CEF" w:rsidP="00AE20C7">
      <w:pPr>
        <w:pStyle w:val="Caption"/>
        <w:keepNext/>
        <w:rPr>
          <w:b/>
          <w:bCs/>
          <w:i w:val="0"/>
          <w:iCs w:val="0"/>
          <w:color w:val="auto"/>
          <w:lang w:val="en-US"/>
        </w:rPr>
      </w:pPr>
    </w:p>
    <w:p w14:paraId="3FB4A8DC" w14:textId="775E9553" w:rsidR="002B68DB" w:rsidRPr="006E25C4" w:rsidRDefault="002B68DB" w:rsidP="006E25C4">
      <w:pPr>
        <w:spacing w:before="120" w:after="120"/>
        <w:rPr>
          <w:rFonts w:cs="Times New Roman"/>
          <w:b/>
          <w:bCs/>
          <w:lang w:val="en-US"/>
        </w:rPr>
      </w:pPr>
      <w:r w:rsidRPr="00334B89">
        <w:rPr>
          <w:rFonts w:cs="Times New Roman"/>
          <w:b/>
          <w:bCs/>
          <w:lang w:val="en-GB"/>
        </w:rPr>
        <w:t xml:space="preserve">Table S1. </w:t>
      </w:r>
      <w:r w:rsidR="00334B89" w:rsidRPr="00334B89">
        <w:rPr>
          <w:rFonts w:cs="Times New Roman"/>
          <w:lang w:val="en-GB"/>
        </w:rPr>
        <w:t>Land use classification.</w:t>
      </w:r>
    </w:p>
    <w:p w14:paraId="11275359" w14:textId="77777777" w:rsidR="002B68DB" w:rsidRPr="00334B89" w:rsidRDefault="002B68DB" w:rsidP="002B68DB">
      <w:pPr>
        <w:rPr>
          <w:rFonts w:cs="Times New Roman"/>
          <w:lang w:val="en-GB"/>
        </w:rPr>
      </w:pPr>
    </w:p>
    <w:tbl>
      <w:tblPr>
        <w:tblStyle w:val="PlainTable2"/>
        <w:tblW w:w="8080" w:type="dxa"/>
        <w:tblInd w:w="0" w:type="dxa"/>
        <w:tblLook w:val="04A0" w:firstRow="1" w:lastRow="0" w:firstColumn="1" w:lastColumn="0" w:noHBand="0" w:noVBand="1"/>
      </w:tblPr>
      <w:tblGrid>
        <w:gridCol w:w="2835"/>
        <w:gridCol w:w="5245"/>
      </w:tblGrid>
      <w:tr w:rsidR="00903CEF" w:rsidRPr="00334B89" w14:paraId="3560AD88" w14:textId="77777777" w:rsidTr="00903C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EDEDED" w:themeFill="accent3" w:themeFillTint="33"/>
            <w:noWrap/>
            <w:hideMark/>
          </w:tcPr>
          <w:p w14:paraId="3242587A" w14:textId="2B3A5485" w:rsidR="00903CEF" w:rsidRPr="00334B89" w:rsidRDefault="00903CEF">
            <w:pPr>
              <w:rPr>
                <w:lang w:val="en-GB"/>
              </w:rPr>
            </w:pPr>
            <w:r w:rsidRPr="00334B89">
              <w:rPr>
                <w:lang w:val="en-GB"/>
              </w:rPr>
              <w:t>Land use classification</w:t>
            </w:r>
          </w:p>
        </w:tc>
        <w:tc>
          <w:tcPr>
            <w:tcW w:w="5245" w:type="dxa"/>
            <w:tcBorders>
              <w:top w:val="single" w:sz="4" w:space="0" w:color="7F7F7F" w:themeColor="text1" w:themeTint="80"/>
              <w:left w:val="nil"/>
              <w:right w:val="nil"/>
            </w:tcBorders>
            <w:shd w:val="clear" w:color="auto" w:fill="EDEDED" w:themeFill="accent3" w:themeFillTint="33"/>
            <w:noWrap/>
            <w:hideMark/>
          </w:tcPr>
          <w:p w14:paraId="2CEDAF09" w14:textId="1B64930B" w:rsidR="00903CEF" w:rsidRPr="00334B89" w:rsidRDefault="00903CE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334B89">
              <w:rPr>
                <w:lang w:val="en-GB"/>
              </w:rPr>
              <w:t xml:space="preserve">Land use </w:t>
            </w:r>
            <w:r w:rsidR="00334B89" w:rsidRPr="00334B89">
              <w:rPr>
                <w:lang w:val="en-GB"/>
              </w:rPr>
              <w:t>categories included</w:t>
            </w:r>
          </w:p>
        </w:tc>
      </w:tr>
      <w:tr w:rsidR="00903CEF" w:rsidRPr="00434145" w14:paraId="1109A879" w14:textId="77777777" w:rsidTr="00903C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left w:val="nil"/>
              <w:right w:val="nil"/>
            </w:tcBorders>
            <w:noWrap/>
          </w:tcPr>
          <w:p w14:paraId="43D7B411" w14:textId="131807EE" w:rsidR="00903CEF" w:rsidRPr="00334B89" w:rsidRDefault="00903CEF" w:rsidP="00EC5EB5">
            <w:pPr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1. Bare areas</w:t>
            </w:r>
          </w:p>
        </w:tc>
        <w:tc>
          <w:tcPr>
            <w:tcW w:w="5245" w:type="dxa"/>
            <w:tcBorders>
              <w:left w:val="nil"/>
              <w:right w:val="nil"/>
            </w:tcBorders>
            <w:noWrap/>
          </w:tcPr>
          <w:p w14:paraId="1BC968DD" w14:textId="77777777" w:rsidR="00903CEF" w:rsidRPr="00334B89" w:rsidRDefault="00903CEF" w:rsidP="00AE2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Bare areas</w:t>
            </w:r>
          </w:p>
          <w:p w14:paraId="18C8B8C9" w14:textId="77777777" w:rsidR="00903CEF" w:rsidRPr="00334B89" w:rsidRDefault="00903CEF" w:rsidP="00AE20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 xml:space="preserve">Consolidated bare </w:t>
            </w:r>
            <w:proofErr w:type="gramStart"/>
            <w:r w:rsidRPr="00334B89">
              <w:rPr>
                <w:sz w:val="22"/>
                <w:szCs w:val="22"/>
                <w:lang w:val="en-GB"/>
              </w:rPr>
              <w:t>areas</w:t>
            </w:r>
            <w:proofErr w:type="gramEnd"/>
          </w:p>
          <w:p w14:paraId="09D02435" w14:textId="42367CB7" w:rsidR="00903CEF" w:rsidRPr="00334B89" w:rsidRDefault="00903C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Unconsolidated bare areas</w:t>
            </w:r>
          </w:p>
        </w:tc>
      </w:tr>
      <w:tr w:rsidR="00903CEF" w:rsidRPr="00334B89" w14:paraId="052DB7F8" w14:textId="77777777" w:rsidTr="00903CEF">
        <w:trPr>
          <w:trHeight w:val="10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left w:val="nil"/>
              <w:bottom w:val="single" w:sz="4" w:space="0" w:color="7F7F7F" w:themeColor="text1" w:themeTint="80"/>
              <w:right w:val="nil"/>
            </w:tcBorders>
            <w:noWrap/>
            <w:hideMark/>
          </w:tcPr>
          <w:p w14:paraId="58EE1C43" w14:textId="4CA437CE" w:rsidR="00903CEF" w:rsidRPr="00334B89" w:rsidRDefault="00903CEF">
            <w:pPr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2. Sparse vegetation</w:t>
            </w:r>
          </w:p>
        </w:tc>
        <w:tc>
          <w:tcPr>
            <w:tcW w:w="5245" w:type="dxa"/>
            <w:tcBorders>
              <w:left w:val="nil"/>
              <w:bottom w:val="single" w:sz="4" w:space="0" w:color="7F7F7F" w:themeColor="text1" w:themeTint="80"/>
              <w:right w:val="nil"/>
            </w:tcBorders>
            <w:noWrap/>
            <w:hideMark/>
          </w:tcPr>
          <w:p w14:paraId="3290418A" w14:textId="77777777" w:rsidR="00903CEF" w:rsidRPr="00334B89" w:rsidRDefault="00903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Sparse vegetation (tree, shrub, herbaceous cover) (&lt;15%)</w:t>
            </w:r>
          </w:p>
          <w:p w14:paraId="632F0DD1" w14:textId="77777777" w:rsidR="00903CEF" w:rsidRPr="00334B89" w:rsidRDefault="00903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Sparse tree (&lt;15%)</w:t>
            </w:r>
          </w:p>
          <w:p w14:paraId="1F31FE18" w14:textId="77777777" w:rsidR="00903CEF" w:rsidRPr="00334B89" w:rsidRDefault="00903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Sparse shrub (&lt;15%)</w:t>
            </w:r>
          </w:p>
          <w:p w14:paraId="5BED9929" w14:textId="77777777" w:rsidR="00903CEF" w:rsidRPr="00334B89" w:rsidRDefault="00903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Sparse herbaceous cover (&lt;15%)</w:t>
            </w:r>
          </w:p>
          <w:p w14:paraId="4519ADCF" w14:textId="77777777" w:rsidR="00903CEF" w:rsidRPr="00334B89" w:rsidRDefault="00903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Lichens and mosses</w:t>
            </w:r>
          </w:p>
        </w:tc>
      </w:tr>
      <w:tr w:rsidR="00903CEF" w:rsidRPr="00334B89" w14:paraId="2F52BD7F" w14:textId="77777777" w:rsidTr="00903C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left w:val="nil"/>
              <w:bottom w:val="single" w:sz="4" w:space="0" w:color="7F7F7F"/>
              <w:right w:val="nil"/>
            </w:tcBorders>
            <w:noWrap/>
            <w:hideMark/>
          </w:tcPr>
          <w:p w14:paraId="45F7496F" w14:textId="55B1109B" w:rsidR="00903CEF" w:rsidRPr="00334B89" w:rsidRDefault="00903CEF">
            <w:pPr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3. Urban</w:t>
            </w:r>
          </w:p>
        </w:tc>
        <w:tc>
          <w:tcPr>
            <w:tcW w:w="5245" w:type="dxa"/>
            <w:tcBorders>
              <w:left w:val="nil"/>
              <w:bottom w:val="single" w:sz="4" w:space="0" w:color="7F7F7F"/>
              <w:right w:val="nil"/>
            </w:tcBorders>
            <w:noWrap/>
            <w:hideMark/>
          </w:tcPr>
          <w:p w14:paraId="4CCB5398" w14:textId="77777777" w:rsidR="00903CEF" w:rsidRPr="00334B89" w:rsidRDefault="00903C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Urban areas</w:t>
            </w:r>
          </w:p>
        </w:tc>
      </w:tr>
      <w:tr w:rsidR="00903CEF" w:rsidRPr="00334B89" w14:paraId="5C310CFD" w14:textId="77777777" w:rsidTr="00903CE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noWrap/>
            <w:hideMark/>
          </w:tcPr>
          <w:p w14:paraId="143C6B5C" w14:textId="1610C732" w:rsidR="00903CEF" w:rsidRPr="00334B89" w:rsidRDefault="00903CEF">
            <w:pPr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4. Open water</w:t>
            </w:r>
          </w:p>
        </w:tc>
        <w:tc>
          <w:tcPr>
            <w:tcW w:w="524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noWrap/>
            <w:hideMark/>
          </w:tcPr>
          <w:p w14:paraId="366BAF4E" w14:textId="77777777" w:rsidR="00903CEF" w:rsidRPr="00334B89" w:rsidRDefault="00903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Water bodies</w:t>
            </w:r>
          </w:p>
        </w:tc>
      </w:tr>
      <w:tr w:rsidR="00903CEF" w:rsidRPr="00334B89" w14:paraId="039483BD" w14:textId="77777777" w:rsidTr="00903C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noWrap/>
            <w:hideMark/>
          </w:tcPr>
          <w:p w14:paraId="60CC34F4" w14:textId="474C5D05" w:rsidR="00903CEF" w:rsidRPr="00334B89" w:rsidRDefault="00903CEF">
            <w:pPr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5. Ice/snow</w:t>
            </w:r>
          </w:p>
        </w:tc>
        <w:tc>
          <w:tcPr>
            <w:tcW w:w="524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noWrap/>
            <w:hideMark/>
          </w:tcPr>
          <w:p w14:paraId="61A149AE" w14:textId="77777777" w:rsidR="00903CEF" w:rsidRPr="00334B89" w:rsidRDefault="00903C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Permanent snow and ice</w:t>
            </w:r>
          </w:p>
        </w:tc>
      </w:tr>
      <w:tr w:rsidR="00903CEF" w:rsidRPr="00434145" w14:paraId="2EBA48A9" w14:textId="77777777" w:rsidTr="00903CEF">
        <w:trPr>
          <w:trHeight w:val="20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noWrap/>
            <w:hideMark/>
          </w:tcPr>
          <w:p w14:paraId="738E8FDF" w14:textId="4E05829C" w:rsidR="00903CEF" w:rsidRPr="00334B89" w:rsidRDefault="00903CEF">
            <w:pPr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6. Agriculture</w:t>
            </w:r>
          </w:p>
        </w:tc>
        <w:tc>
          <w:tcPr>
            <w:tcW w:w="524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noWrap/>
            <w:hideMark/>
          </w:tcPr>
          <w:p w14:paraId="7055FD5F" w14:textId="77777777" w:rsidR="00903CEF" w:rsidRPr="00334B89" w:rsidRDefault="00903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 xml:space="preserve">Cropland, rainfed, </w:t>
            </w:r>
          </w:p>
          <w:p w14:paraId="2DE6238B" w14:textId="77777777" w:rsidR="00903CEF" w:rsidRPr="00334B89" w:rsidRDefault="00903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Cropland, rainfed, herbaceous cover</w:t>
            </w:r>
          </w:p>
          <w:p w14:paraId="70EE530D" w14:textId="77777777" w:rsidR="00903CEF" w:rsidRPr="00334B89" w:rsidRDefault="00903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Cropland, rainfed, tree or shrub cover</w:t>
            </w:r>
          </w:p>
          <w:p w14:paraId="01F50579" w14:textId="77777777" w:rsidR="00903CEF" w:rsidRPr="00334B89" w:rsidRDefault="00903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Cropland, irrigated or post-</w:t>
            </w:r>
            <w:proofErr w:type="gramStart"/>
            <w:r w:rsidRPr="00334B89">
              <w:rPr>
                <w:sz w:val="22"/>
                <w:szCs w:val="22"/>
                <w:lang w:val="en-GB"/>
              </w:rPr>
              <w:t>flooding</w:t>
            </w:r>
            <w:proofErr w:type="gramEnd"/>
          </w:p>
          <w:p w14:paraId="2FDFAE3A" w14:textId="77777777" w:rsidR="00903CEF" w:rsidRPr="00334B89" w:rsidRDefault="00903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Mosaic cropland (&gt;50%) / natural vegetation (tree, shrub, herbaceous cover) (&lt;50%)</w:t>
            </w:r>
          </w:p>
          <w:p w14:paraId="332BB48D" w14:textId="77777777" w:rsidR="00903CEF" w:rsidRPr="00334B89" w:rsidRDefault="00903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Mosaic natural vegetation (tree, shrub, herbaceous cover) (&gt;50%) / cropland (&lt;50%)</w:t>
            </w:r>
          </w:p>
        </w:tc>
      </w:tr>
      <w:tr w:rsidR="00903CEF" w:rsidRPr="00434145" w14:paraId="0F297827" w14:textId="77777777" w:rsidTr="00903C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7F7F7F"/>
              <w:left w:val="nil"/>
              <w:right w:val="nil"/>
            </w:tcBorders>
            <w:noWrap/>
            <w:hideMark/>
          </w:tcPr>
          <w:p w14:paraId="44186546" w14:textId="1E25F8D6" w:rsidR="00903CEF" w:rsidRPr="00334B89" w:rsidRDefault="00903CEF">
            <w:pPr>
              <w:rPr>
                <w:b w:val="0"/>
                <w:bCs w:val="0"/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7. Forest</w:t>
            </w:r>
          </w:p>
          <w:p w14:paraId="3B824127" w14:textId="14A5B87D" w:rsidR="00903CEF" w:rsidRPr="00334B89" w:rsidRDefault="00903CEF" w:rsidP="00E06610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7F7F7F"/>
              <w:left w:val="nil"/>
              <w:right w:val="nil"/>
            </w:tcBorders>
            <w:noWrap/>
            <w:hideMark/>
          </w:tcPr>
          <w:p w14:paraId="07CC11D5" w14:textId="77777777" w:rsidR="00903CEF" w:rsidRPr="00334B89" w:rsidRDefault="00903C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Tree cover, broadleaved, evergreen, closed to open (&gt;15%)</w:t>
            </w:r>
          </w:p>
          <w:p w14:paraId="3AD4BD8B" w14:textId="77777777" w:rsidR="00903CEF" w:rsidRPr="00334B89" w:rsidRDefault="00903C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Tree cover, broadleaved, deciduous, closed to open (&gt;15%)</w:t>
            </w:r>
          </w:p>
          <w:p w14:paraId="0E785AEF" w14:textId="77777777" w:rsidR="00903CEF" w:rsidRPr="00334B89" w:rsidRDefault="00903C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Tree cover, broadleaved, deciduous, closed (&gt;40%)</w:t>
            </w:r>
          </w:p>
          <w:p w14:paraId="7760DC54" w14:textId="77777777" w:rsidR="00903CEF" w:rsidRPr="00334B89" w:rsidRDefault="00903C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Tree cover, broadleaved, deciduous, open (15-40%)</w:t>
            </w:r>
          </w:p>
          <w:p w14:paraId="59F16951" w14:textId="77777777" w:rsidR="00903CEF" w:rsidRPr="00334B89" w:rsidRDefault="00903C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 xml:space="preserve">Tree cover, </w:t>
            </w:r>
            <w:proofErr w:type="spellStart"/>
            <w:r w:rsidRPr="00334B89">
              <w:rPr>
                <w:sz w:val="22"/>
                <w:szCs w:val="22"/>
                <w:lang w:val="en-GB"/>
              </w:rPr>
              <w:t>needleleaved</w:t>
            </w:r>
            <w:proofErr w:type="spellEnd"/>
            <w:r w:rsidRPr="00334B89">
              <w:rPr>
                <w:sz w:val="22"/>
                <w:szCs w:val="22"/>
                <w:lang w:val="en-GB"/>
              </w:rPr>
              <w:t>, evergreen, closed to open (&gt;15%)</w:t>
            </w:r>
          </w:p>
          <w:p w14:paraId="1D622A5C" w14:textId="77777777" w:rsidR="00903CEF" w:rsidRPr="00334B89" w:rsidRDefault="00903C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 xml:space="preserve">Tree cover, </w:t>
            </w:r>
            <w:proofErr w:type="spellStart"/>
            <w:r w:rsidRPr="00334B89">
              <w:rPr>
                <w:sz w:val="22"/>
                <w:szCs w:val="22"/>
                <w:lang w:val="en-GB"/>
              </w:rPr>
              <w:t>needleleaved</w:t>
            </w:r>
            <w:proofErr w:type="spellEnd"/>
            <w:r w:rsidRPr="00334B89">
              <w:rPr>
                <w:sz w:val="22"/>
                <w:szCs w:val="22"/>
                <w:lang w:val="en-GB"/>
              </w:rPr>
              <w:t>, evergreen, closed (&gt;40%)</w:t>
            </w:r>
          </w:p>
          <w:p w14:paraId="59FFCE68" w14:textId="77777777" w:rsidR="00903CEF" w:rsidRPr="00334B89" w:rsidRDefault="00903C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 xml:space="preserve">Tree cover, </w:t>
            </w:r>
            <w:proofErr w:type="spellStart"/>
            <w:r w:rsidRPr="00334B89">
              <w:rPr>
                <w:sz w:val="22"/>
                <w:szCs w:val="22"/>
                <w:lang w:val="en-GB"/>
              </w:rPr>
              <w:t>needleleaved</w:t>
            </w:r>
            <w:proofErr w:type="spellEnd"/>
            <w:r w:rsidRPr="00334B89">
              <w:rPr>
                <w:sz w:val="22"/>
                <w:szCs w:val="22"/>
                <w:lang w:val="en-GB"/>
              </w:rPr>
              <w:t>, evergreen, open (15-40%)</w:t>
            </w:r>
          </w:p>
          <w:p w14:paraId="459E5475" w14:textId="77777777" w:rsidR="00903CEF" w:rsidRPr="00334B89" w:rsidRDefault="00903C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 xml:space="preserve">Tree cover, </w:t>
            </w:r>
            <w:proofErr w:type="spellStart"/>
            <w:r w:rsidRPr="00334B89">
              <w:rPr>
                <w:sz w:val="22"/>
                <w:szCs w:val="22"/>
                <w:lang w:val="en-GB"/>
              </w:rPr>
              <w:t>needleleaved</w:t>
            </w:r>
            <w:proofErr w:type="spellEnd"/>
            <w:r w:rsidRPr="00334B89">
              <w:rPr>
                <w:sz w:val="22"/>
                <w:szCs w:val="22"/>
                <w:lang w:val="en-GB"/>
              </w:rPr>
              <w:t>, deciduous, closed to open (&gt;15%)</w:t>
            </w:r>
          </w:p>
          <w:p w14:paraId="661ADCD3" w14:textId="77777777" w:rsidR="00903CEF" w:rsidRPr="00334B89" w:rsidRDefault="00903C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 xml:space="preserve">Tree cover, </w:t>
            </w:r>
            <w:proofErr w:type="spellStart"/>
            <w:r w:rsidRPr="00334B89">
              <w:rPr>
                <w:sz w:val="22"/>
                <w:szCs w:val="22"/>
                <w:lang w:val="en-GB"/>
              </w:rPr>
              <w:t>needleleaved</w:t>
            </w:r>
            <w:proofErr w:type="spellEnd"/>
            <w:r w:rsidRPr="00334B89">
              <w:rPr>
                <w:sz w:val="22"/>
                <w:szCs w:val="22"/>
                <w:lang w:val="en-GB"/>
              </w:rPr>
              <w:t>, deciduous, closed (&gt;40%)</w:t>
            </w:r>
          </w:p>
          <w:p w14:paraId="2F968011" w14:textId="77777777" w:rsidR="00903CEF" w:rsidRPr="00334B89" w:rsidRDefault="00903C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 xml:space="preserve">Tree cover, </w:t>
            </w:r>
            <w:proofErr w:type="spellStart"/>
            <w:r w:rsidRPr="00334B89">
              <w:rPr>
                <w:sz w:val="22"/>
                <w:szCs w:val="22"/>
                <w:lang w:val="en-GB"/>
              </w:rPr>
              <w:t>needleleaved</w:t>
            </w:r>
            <w:proofErr w:type="spellEnd"/>
            <w:r w:rsidRPr="00334B89">
              <w:rPr>
                <w:sz w:val="22"/>
                <w:szCs w:val="22"/>
                <w:lang w:val="en-GB"/>
              </w:rPr>
              <w:t>, deciduous, open (15-40%)</w:t>
            </w:r>
          </w:p>
          <w:p w14:paraId="3BBBD7DB" w14:textId="77777777" w:rsidR="00903CEF" w:rsidRPr="00334B89" w:rsidRDefault="00903C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 xml:space="preserve">Tree cover, mixed leaf type (broadleaved and </w:t>
            </w:r>
            <w:proofErr w:type="spellStart"/>
            <w:r w:rsidRPr="00334B89">
              <w:rPr>
                <w:sz w:val="22"/>
                <w:szCs w:val="22"/>
                <w:lang w:val="en-GB"/>
              </w:rPr>
              <w:t>needleleaved</w:t>
            </w:r>
            <w:proofErr w:type="spellEnd"/>
            <w:r w:rsidRPr="00334B89">
              <w:rPr>
                <w:sz w:val="22"/>
                <w:szCs w:val="22"/>
                <w:lang w:val="en-GB"/>
              </w:rPr>
              <w:t>)</w:t>
            </w:r>
          </w:p>
          <w:p w14:paraId="3A4549B5" w14:textId="3054B192" w:rsidR="00903CEF" w:rsidRPr="00334B89" w:rsidRDefault="00903CEF" w:rsidP="000C4C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Mosaic tree and shrub (&gt;50%) / herbaceous cover (&lt;50%)</w:t>
            </w:r>
          </w:p>
        </w:tc>
      </w:tr>
      <w:tr w:rsidR="00903CEF" w:rsidRPr="00434145" w14:paraId="6A1CD90B" w14:textId="77777777" w:rsidTr="00903CEF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left w:val="nil"/>
              <w:right w:val="nil"/>
            </w:tcBorders>
            <w:noWrap/>
            <w:hideMark/>
          </w:tcPr>
          <w:p w14:paraId="1C47CE7D" w14:textId="6EE70B47" w:rsidR="00903CEF" w:rsidRPr="00334B89" w:rsidRDefault="00903CEF">
            <w:pPr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8. Forested wetlands</w:t>
            </w:r>
          </w:p>
        </w:tc>
        <w:tc>
          <w:tcPr>
            <w:tcW w:w="5245" w:type="dxa"/>
            <w:tcBorders>
              <w:left w:val="nil"/>
              <w:right w:val="nil"/>
            </w:tcBorders>
            <w:noWrap/>
            <w:hideMark/>
          </w:tcPr>
          <w:p w14:paraId="4F87F1F3" w14:textId="77777777" w:rsidR="00903CEF" w:rsidRPr="00334B89" w:rsidRDefault="00903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 xml:space="preserve">Tree cover, flooded, fresh or </w:t>
            </w:r>
            <w:proofErr w:type="spellStart"/>
            <w:r w:rsidRPr="00334B89">
              <w:rPr>
                <w:sz w:val="22"/>
                <w:szCs w:val="22"/>
                <w:lang w:val="en-GB"/>
              </w:rPr>
              <w:t>brakish</w:t>
            </w:r>
            <w:proofErr w:type="spellEnd"/>
            <w:r w:rsidRPr="00334B89">
              <w:rPr>
                <w:sz w:val="22"/>
                <w:szCs w:val="22"/>
                <w:lang w:val="en-GB"/>
              </w:rPr>
              <w:t xml:space="preserve"> </w:t>
            </w:r>
            <w:proofErr w:type="gramStart"/>
            <w:r w:rsidRPr="00334B89">
              <w:rPr>
                <w:sz w:val="22"/>
                <w:szCs w:val="22"/>
                <w:lang w:val="en-GB"/>
              </w:rPr>
              <w:t>water</w:t>
            </w:r>
            <w:proofErr w:type="gramEnd"/>
          </w:p>
          <w:p w14:paraId="2D59D3BE" w14:textId="77777777" w:rsidR="00903CEF" w:rsidRPr="00334B89" w:rsidRDefault="00903C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Tree cover, flooded, saline water</w:t>
            </w:r>
          </w:p>
        </w:tc>
      </w:tr>
      <w:tr w:rsidR="00903CEF" w:rsidRPr="00434145" w14:paraId="6C7E9632" w14:textId="77777777" w:rsidTr="00903C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left w:val="nil"/>
              <w:right w:val="nil"/>
            </w:tcBorders>
            <w:noWrap/>
            <w:hideMark/>
          </w:tcPr>
          <w:p w14:paraId="43BFB0EA" w14:textId="3A1EB802" w:rsidR="00903CEF" w:rsidRPr="00334B89" w:rsidRDefault="00903CEF">
            <w:pPr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 xml:space="preserve">9. </w:t>
            </w:r>
            <w:proofErr w:type="gramStart"/>
            <w:r w:rsidRPr="00334B89">
              <w:rPr>
                <w:sz w:val="22"/>
                <w:szCs w:val="22"/>
                <w:lang w:val="en-GB"/>
              </w:rPr>
              <w:t>Non-forested</w:t>
            </w:r>
            <w:proofErr w:type="gramEnd"/>
            <w:r w:rsidRPr="00334B89">
              <w:rPr>
                <w:sz w:val="22"/>
                <w:szCs w:val="22"/>
                <w:lang w:val="en-GB"/>
              </w:rPr>
              <w:t xml:space="preserve"> wetlands</w:t>
            </w:r>
          </w:p>
        </w:tc>
        <w:tc>
          <w:tcPr>
            <w:tcW w:w="5245" w:type="dxa"/>
            <w:tcBorders>
              <w:left w:val="nil"/>
              <w:right w:val="nil"/>
            </w:tcBorders>
            <w:noWrap/>
            <w:hideMark/>
          </w:tcPr>
          <w:p w14:paraId="213AEC0E" w14:textId="77777777" w:rsidR="00903CEF" w:rsidRPr="00334B89" w:rsidRDefault="00903C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Shrub or herbaceous cover, flooded, fresh/saline/</w:t>
            </w:r>
            <w:proofErr w:type="spellStart"/>
            <w:r w:rsidRPr="00334B89">
              <w:rPr>
                <w:sz w:val="22"/>
                <w:szCs w:val="22"/>
                <w:lang w:val="en-GB"/>
              </w:rPr>
              <w:t>brakish</w:t>
            </w:r>
            <w:proofErr w:type="spellEnd"/>
            <w:r w:rsidRPr="00334B89">
              <w:rPr>
                <w:sz w:val="22"/>
                <w:szCs w:val="22"/>
                <w:lang w:val="en-GB"/>
              </w:rPr>
              <w:t xml:space="preserve"> water</w:t>
            </w:r>
          </w:p>
        </w:tc>
      </w:tr>
      <w:tr w:rsidR="00903CEF" w:rsidRPr="00434145" w14:paraId="2DCAD6C8" w14:textId="77777777" w:rsidTr="00903CE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left w:val="nil"/>
              <w:right w:val="nil"/>
            </w:tcBorders>
            <w:noWrap/>
          </w:tcPr>
          <w:p w14:paraId="703BA860" w14:textId="4B663061" w:rsidR="00903CEF" w:rsidRPr="00334B89" w:rsidRDefault="00903CEF" w:rsidP="004D3EA3">
            <w:pPr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10. Grassland, shrubland</w:t>
            </w:r>
          </w:p>
        </w:tc>
        <w:tc>
          <w:tcPr>
            <w:tcW w:w="5245" w:type="dxa"/>
            <w:tcBorders>
              <w:left w:val="nil"/>
              <w:right w:val="nil"/>
            </w:tcBorders>
            <w:noWrap/>
          </w:tcPr>
          <w:p w14:paraId="26CD1C00" w14:textId="77777777" w:rsidR="00903CEF" w:rsidRPr="00334B89" w:rsidRDefault="00903CEF" w:rsidP="004D3E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Mosaic herbaceous cover (&gt;50%) / tree and shrub (&lt;50%)</w:t>
            </w:r>
          </w:p>
          <w:p w14:paraId="25B7E53F" w14:textId="77777777" w:rsidR="00903CEF" w:rsidRPr="00334B89" w:rsidRDefault="00903CEF" w:rsidP="004D3E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Grassland</w:t>
            </w:r>
          </w:p>
          <w:p w14:paraId="1AE27309" w14:textId="77777777" w:rsidR="00903CEF" w:rsidRPr="00334B89" w:rsidRDefault="00903CEF" w:rsidP="004D3E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Shrubland</w:t>
            </w:r>
          </w:p>
          <w:p w14:paraId="7C63EF3E" w14:textId="77777777" w:rsidR="00903CEF" w:rsidRPr="00334B89" w:rsidRDefault="00903CEF" w:rsidP="004D3E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Evergreen shrubland</w:t>
            </w:r>
          </w:p>
          <w:p w14:paraId="0674115D" w14:textId="20DE0899" w:rsidR="00903CEF" w:rsidRPr="00334B89" w:rsidRDefault="00903CEF" w:rsidP="004D3E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334B89">
              <w:rPr>
                <w:sz w:val="22"/>
                <w:szCs w:val="22"/>
                <w:lang w:val="en-GB"/>
              </w:rPr>
              <w:t>Deciduous shrubland</w:t>
            </w:r>
          </w:p>
        </w:tc>
      </w:tr>
    </w:tbl>
    <w:p w14:paraId="526A34EC" w14:textId="77ECD061" w:rsidR="00434145" w:rsidRPr="00434145" w:rsidRDefault="00434145" w:rsidP="00434145">
      <w:pPr>
        <w:keepNext/>
        <w:keepLines/>
        <w:tabs>
          <w:tab w:val="left" w:pos="1304"/>
        </w:tabs>
        <w:spacing w:before="40" w:after="120"/>
        <w:outlineLvl w:val="1"/>
        <w:rPr>
          <w:rFonts w:eastAsiaTheme="majorEastAsia" w:cstheme="majorBidi"/>
          <w:b/>
          <w:bCs/>
          <w:color w:val="000000" w:themeColor="text1"/>
          <w:lang w:val="en-US"/>
        </w:rPr>
      </w:pPr>
      <w:r>
        <w:rPr>
          <w:rFonts w:eastAsiaTheme="majorEastAsia" w:cstheme="majorBidi"/>
          <w:b/>
          <w:bCs/>
          <w:color w:val="000000" w:themeColor="text1"/>
          <w:lang w:val="en-US"/>
        </w:rPr>
        <w:lastRenderedPageBreak/>
        <w:t xml:space="preserve">Supplementary </w:t>
      </w:r>
      <w:r w:rsidR="001B05F6">
        <w:rPr>
          <w:rFonts w:eastAsiaTheme="majorEastAsia" w:cstheme="majorBidi"/>
          <w:b/>
          <w:bCs/>
          <w:color w:val="000000" w:themeColor="text1"/>
          <w:lang w:val="en-US"/>
        </w:rPr>
        <w:t>Information</w:t>
      </w:r>
      <w:r w:rsidRPr="00434145">
        <w:rPr>
          <w:rFonts w:eastAsiaTheme="majorEastAsia" w:cstheme="majorBidi"/>
          <w:b/>
          <w:bCs/>
          <w:color w:val="000000" w:themeColor="text1"/>
          <w:lang w:val="en-US"/>
        </w:rPr>
        <w:t xml:space="preserve"> 3 S2. Variation in environmental factors used in the calculation of local contribution to environmental heterogeneity (LCEH) values. </w:t>
      </w:r>
    </w:p>
    <w:p w14:paraId="4F7D1BFC" w14:textId="77777777" w:rsidR="00434145" w:rsidRPr="00434145" w:rsidRDefault="00434145" w:rsidP="00434145">
      <w:pPr>
        <w:rPr>
          <w:bCs/>
          <w:lang w:val="en-US"/>
        </w:rPr>
      </w:pPr>
      <w:r w:rsidRPr="00434145">
        <w:rPr>
          <w:lang w:val="en-US"/>
        </w:rPr>
        <w:t xml:space="preserve">Table S2. </w:t>
      </w:r>
      <w:r w:rsidRPr="00434145">
        <w:rPr>
          <w:bCs/>
          <w:lang w:val="en-US"/>
        </w:rPr>
        <w:t>Variation in pH, soil organic carbon (SOC), nitrogen, elevation, upstream basin area (</w:t>
      </w:r>
      <w:proofErr w:type="spellStart"/>
      <w:r w:rsidRPr="00434145">
        <w:rPr>
          <w:bCs/>
          <w:lang w:val="en-US"/>
        </w:rPr>
        <w:t>UPSb</w:t>
      </w:r>
      <w:proofErr w:type="spellEnd"/>
      <w:r w:rsidRPr="00434145">
        <w:rPr>
          <w:bCs/>
          <w:lang w:val="en-US"/>
        </w:rPr>
        <w:t xml:space="preserve"> area), annual precipitation (ppt), annual evapotranspiration (aet), atmospheric maximum (max temp) and minimum temperature (min temp) used in the calculation of local contribution to environmental heterogeneity (</w:t>
      </w:r>
      <w:proofErr w:type="spellStart"/>
      <w:r w:rsidRPr="00434145">
        <w:rPr>
          <w:bCs/>
          <w:lang w:val="en-US"/>
        </w:rPr>
        <w:t>LCEH</w:t>
      </w:r>
      <w:r w:rsidRPr="00434145">
        <w:rPr>
          <w:bCs/>
          <w:vertAlign w:val="subscript"/>
          <w:lang w:val="en-US"/>
        </w:rPr>
        <w:t>Soil</w:t>
      </w:r>
      <w:proofErr w:type="spellEnd"/>
      <w:r w:rsidRPr="00434145">
        <w:rPr>
          <w:bCs/>
          <w:lang w:val="en-US"/>
        </w:rPr>
        <w:t xml:space="preserve">, </w:t>
      </w:r>
      <w:proofErr w:type="spellStart"/>
      <w:r w:rsidRPr="00434145">
        <w:rPr>
          <w:bCs/>
          <w:lang w:val="en-US"/>
        </w:rPr>
        <w:t>LCEH</w:t>
      </w:r>
      <w:r w:rsidRPr="00434145">
        <w:rPr>
          <w:bCs/>
          <w:vertAlign w:val="subscript"/>
          <w:lang w:val="en-US"/>
        </w:rPr>
        <w:t>Position</w:t>
      </w:r>
      <w:proofErr w:type="spellEnd"/>
      <w:r w:rsidRPr="00434145">
        <w:rPr>
          <w:bCs/>
          <w:lang w:val="en-US"/>
        </w:rPr>
        <w:t>, and LCEH</w:t>
      </w:r>
      <w:r w:rsidRPr="00434145">
        <w:rPr>
          <w:bCs/>
          <w:vertAlign w:val="subscript"/>
          <w:lang w:val="en-US"/>
        </w:rPr>
        <w:t>Climate</w:t>
      </w:r>
      <w:r w:rsidRPr="00434145">
        <w:rPr>
          <w:bCs/>
          <w:lang w:val="en-US"/>
        </w:rPr>
        <w:t xml:space="preserve">) values. </w:t>
      </w:r>
    </w:p>
    <w:p w14:paraId="0DA77767" w14:textId="77777777" w:rsidR="00434145" w:rsidRPr="00434145" w:rsidRDefault="00434145" w:rsidP="00434145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7"/>
        <w:gridCol w:w="726"/>
        <w:gridCol w:w="1059"/>
        <w:gridCol w:w="947"/>
        <w:gridCol w:w="960"/>
        <w:gridCol w:w="1039"/>
        <w:gridCol w:w="947"/>
        <w:gridCol w:w="947"/>
        <w:gridCol w:w="746"/>
        <w:gridCol w:w="890"/>
      </w:tblGrid>
      <w:tr w:rsidR="00434145" w:rsidRPr="00434145" w14:paraId="55F66BE7" w14:textId="77777777" w:rsidTr="003E692F">
        <w:trPr>
          <w:trHeight w:val="300"/>
        </w:trPr>
        <w:tc>
          <w:tcPr>
            <w:tcW w:w="1264" w:type="dxa"/>
            <w:noWrap/>
          </w:tcPr>
          <w:p w14:paraId="6C9C70A0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766" w:type="dxa"/>
            <w:gridSpan w:val="3"/>
            <w:noWrap/>
            <w:vAlign w:val="center"/>
          </w:tcPr>
          <w:p w14:paraId="48998B88" w14:textId="77777777" w:rsidR="00434145" w:rsidRPr="00434145" w:rsidRDefault="00434145" w:rsidP="00434145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LCEH</w:t>
            </w:r>
            <w:r w:rsidRPr="00434145">
              <w:rPr>
                <w:rFonts w:cs="Times New Roman"/>
                <w:b/>
                <w:bCs/>
                <w:sz w:val="18"/>
                <w:szCs w:val="18"/>
                <w:vertAlign w:val="subscript"/>
              </w:rPr>
              <w:t>Soil</w:t>
            </w:r>
          </w:p>
        </w:tc>
        <w:tc>
          <w:tcPr>
            <w:tcW w:w="2024" w:type="dxa"/>
            <w:gridSpan w:val="2"/>
            <w:noWrap/>
            <w:vAlign w:val="center"/>
          </w:tcPr>
          <w:p w14:paraId="458ABF57" w14:textId="77777777" w:rsidR="00434145" w:rsidRPr="00434145" w:rsidRDefault="00434145" w:rsidP="00434145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LCEH</w:t>
            </w:r>
            <w:r w:rsidRPr="00434145">
              <w:rPr>
                <w:rFonts w:cs="Times New Roman"/>
                <w:b/>
                <w:bCs/>
                <w:sz w:val="18"/>
                <w:szCs w:val="18"/>
                <w:vertAlign w:val="subscript"/>
              </w:rPr>
              <w:t>Position</w:t>
            </w:r>
          </w:p>
        </w:tc>
        <w:tc>
          <w:tcPr>
            <w:tcW w:w="3574" w:type="dxa"/>
            <w:gridSpan w:val="4"/>
            <w:noWrap/>
            <w:vAlign w:val="center"/>
          </w:tcPr>
          <w:p w14:paraId="76DB4BC3" w14:textId="77777777" w:rsidR="00434145" w:rsidRPr="00434145" w:rsidRDefault="00434145" w:rsidP="00434145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LCEH</w:t>
            </w:r>
            <w:r w:rsidRPr="00434145">
              <w:rPr>
                <w:rFonts w:cs="Times New Roman"/>
                <w:b/>
                <w:bCs/>
                <w:sz w:val="18"/>
                <w:szCs w:val="18"/>
                <w:vertAlign w:val="subscript"/>
              </w:rPr>
              <w:t>Climate</w:t>
            </w:r>
          </w:p>
        </w:tc>
      </w:tr>
      <w:tr w:rsidR="00434145" w:rsidRPr="00434145" w14:paraId="0C25B18D" w14:textId="77777777" w:rsidTr="003E692F">
        <w:trPr>
          <w:trHeight w:val="300"/>
        </w:trPr>
        <w:tc>
          <w:tcPr>
            <w:tcW w:w="1264" w:type="dxa"/>
            <w:noWrap/>
          </w:tcPr>
          <w:p w14:paraId="699664B1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Drainage basin</w:t>
            </w:r>
          </w:p>
        </w:tc>
        <w:tc>
          <w:tcPr>
            <w:tcW w:w="734" w:type="dxa"/>
            <w:noWrap/>
          </w:tcPr>
          <w:p w14:paraId="49A1CA18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pH</w:t>
            </w:r>
          </w:p>
        </w:tc>
        <w:tc>
          <w:tcPr>
            <w:tcW w:w="1073" w:type="dxa"/>
            <w:noWrap/>
          </w:tcPr>
          <w:p w14:paraId="5ED2D4DB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SOC</w:t>
            </w:r>
          </w:p>
        </w:tc>
        <w:tc>
          <w:tcPr>
            <w:tcW w:w="959" w:type="dxa"/>
            <w:noWrap/>
          </w:tcPr>
          <w:p w14:paraId="593CC31A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Nitrogen</w:t>
            </w:r>
          </w:p>
        </w:tc>
        <w:tc>
          <w:tcPr>
            <w:tcW w:w="972" w:type="dxa"/>
            <w:noWrap/>
          </w:tcPr>
          <w:p w14:paraId="0B15ABB8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Elevation</w:t>
            </w:r>
          </w:p>
        </w:tc>
        <w:tc>
          <w:tcPr>
            <w:tcW w:w="1052" w:type="dxa"/>
            <w:noWrap/>
          </w:tcPr>
          <w:p w14:paraId="59695B34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UPSb area</w:t>
            </w:r>
          </w:p>
        </w:tc>
        <w:tc>
          <w:tcPr>
            <w:tcW w:w="959" w:type="dxa"/>
            <w:noWrap/>
          </w:tcPr>
          <w:p w14:paraId="39DCBDEC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ppt</w:t>
            </w:r>
          </w:p>
        </w:tc>
        <w:tc>
          <w:tcPr>
            <w:tcW w:w="959" w:type="dxa"/>
            <w:noWrap/>
          </w:tcPr>
          <w:p w14:paraId="646ECD04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aet</w:t>
            </w:r>
          </w:p>
        </w:tc>
        <w:tc>
          <w:tcPr>
            <w:tcW w:w="755" w:type="dxa"/>
            <w:noWrap/>
          </w:tcPr>
          <w:p w14:paraId="09BBFAD5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max temp</w:t>
            </w:r>
          </w:p>
        </w:tc>
        <w:tc>
          <w:tcPr>
            <w:tcW w:w="901" w:type="dxa"/>
            <w:noWrap/>
          </w:tcPr>
          <w:p w14:paraId="0B9271D5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min temp</w:t>
            </w:r>
          </w:p>
        </w:tc>
      </w:tr>
      <w:tr w:rsidR="00434145" w:rsidRPr="00434145" w14:paraId="03FD5F1F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1D193867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  <w:lang w:val="en-US"/>
              </w:rPr>
              <w:t xml:space="preserve">Acará </w:t>
            </w:r>
          </w:p>
        </w:tc>
        <w:tc>
          <w:tcPr>
            <w:tcW w:w="734" w:type="dxa"/>
            <w:noWrap/>
            <w:hideMark/>
          </w:tcPr>
          <w:p w14:paraId="6B959A8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4.62 (4.4–4.8)</w:t>
            </w:r>
          </w:p>
        </w:tc>
        <w:tc>
          <w:tcPr>
            <w:tcW w:w="1073" w:type="dxa"/>
            <w:noWrap/>
            <w:hideMark/>
          </w:tcPr>
          <w:p w14:paraId="65557E4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332.62 (283.95–396.4)</w:t>
            </w:r>
          </w:p>
        </w:tc>
        <w:tc>
          <w:tcPr>
            <w:tcW w:w="959" w:type="dxa"/>
            <w:noWrap/>
            <w:hideMark/>
          </w:tcPr>
          <w:p w14:paraId="1BDAA98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311.45 (253–362.75)</w:t>
            </w:r>
          </w:p>
        </w:tc>
        <w:tc>
          <w:tcPr>
            <w:tcW w:w="972" w:type="dxa"/>
            <w:noWrap/>
            <w:hideMark/>
          </w:tcPr>
          <w:p w14:paraId="2EA6BFA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19 (4–41)</w:t>
            </w:r>
          </w:p>
        </w:tc>
        <w:tc>
          <w:tcPr>
            <w:tcW w:w="1052" w:type="dxa"/>
            <w:noWrap/>
            <w:hideMark/>
          </w:tcPr>
          <w:p w14:paraId="4E12CC5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7.66 (0.1–38.11)</w:t>
            </w:r>
          </w:p>
        </w:tc>
        <w:tc>
          <w:tcPr>
            <w:tcW w:w="959" w:type="dxa"/>
            <w:noWrap/>
            <w:hideMark/>
          </w:tcPr>
          <w:p w14:paraId="4237318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2396.19 (2335.37–2440.3)</w:t>
            </w:r>
          </w:p>
        </w:tc>
        <w:tc>
          <w:tcPr>
            <w:tcW w:w="959" w:type="dxa"/>
            <w:noWrap/>
            <w:hideMark/>
          </w:tcPr>
          <w:p w14:paraId="5A73D9C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1111.28 (1100.67–1124.7)</w:t>
            </w:r>
          </w:p>
        </w:tc>
        <w:tc>
          <w:tcPr>
            <w:tcW w:w="755" w:type="dxa"/>
            <w:noWrap/>
            <w:hideMark/>
          </w:tcPr>
          <w:p w14:paraId="2976FAB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32.6 (32.54–32.78)</w:t>
            </w:r>
          </w:p>
        </w:tc>
        <w:tc>
          <w:tcPr>
            <w:tcW w:w="901" w:type="dxa"/>
            <w:noWrap/>
            <w:hideMark/>
          </w:tcPr>
          <w:p w14:paraId="547E1520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20.96 (20.83–21.1)</w:t>
            </w:r>
          </w:p>
        </w:tc>
      </w:tr>
      <w:tr w:rsidR="00434145" w:rsidRPr="00434145" w14:paraId="492080CB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2A36CA5B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Aidge</w:t>
            </w:r>
          </w:p>
        </w:tc>
        <w:tc>
          <w:tcPr>
            <w:tcW w:w="734" w:type="dxa"/>
            <w:noWrap/>
            <w:hideMark/>
          </w:tcPr>
          <w:p w14:paraId="12FDD15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5.93 (5.35–6.45)</w:t>
            </w:r>
          </w:p>
        </w:tc>
        <w:tc>
          <w:tcPr>
            <w:tcW w:w="1073" w:type="dxa"/>
            <w:noWrap/>
            <w:hideMark/>
          </w:tcPr>
          <w:p w14:paraId="2E54A6A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855.26 (724.64–990.98)</w:t>
            </w:r>
          </w:p>
        </w:tc>
        <w:tc>
          <w:tcPr>
            <w:tcW w:w="959" w:type="dxa"/>
            <w:noWrap/>
            <w:hideMark/>
          </w:tcPr>
          <w:p w14:paraId="00897F41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786.94 (661.51–1003.53)</w:t>
            </w:r>
          </w:p>
        </w:tc>
        <w:tc>
          <w:tcPr>
            <w:tcW w:w="972" w:type="dxa"/>
            <w:noWrap/>
            <w:hideMark/>
          </w:tcPr>
          <w:p w14:paraId="35E3916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856 (204–1803)</w:t>
            </w:r>
          </w:p>
        </w:tc>
        <w:tc>
          <w:tcPr>
            <w:tcW w:w="1052" w:type="dxa"/>
            <w:noWrap/>
            <w:hideMark/>
          </w:tcPr>
          <w:p w14:paraId="764D8CA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1337.43 (30.34–7167.39)</w:t>
            </w:r>
          </w:p>
        </w:tc>
        <w:tc>
          <w:tcPr>
            <w:tcW w:w="959" w:type="dxa"/>
            <w:noWrap/>
            <w:hideMark/>
          </w:tcPr>
          <w:p w14:paraId="181AF55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741.46 (436.03–1316.47)</w:t>
            </w:r>
          </w:p>
        </w:tc>
        <w:tc>
          <w:tcPr>
            <w:tcW w:w="959" w:type="dxa"/>
            <w:noWrap/>
            <w:hideMark/>
          </w:tcPr>
          <w:p w14:paraId="5D429D1C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489.16 (355.6–562.8)</w:t>
            </w:r>
          </w:p>
        </w:tc>
        <w:tc>
          <w:tcPr>
            <w:tcW w:w="755" w:type="dxa"/>
            <w:noWrap/>
            <w:hideMark/>
          </w:tcPr>
          <w:p w14:paraId="5F92363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22.06 (12.75–27.9)</w:t>
            </w:r>
          </w:p>
        </w:tc>
        <w:tc>
          <w:tcPr>
            <w:tcW w:w="901" w:type="dxa"/>
            <w:noWrap/>
            <w:hideMark/>
          </w:tcPr>
          <w:p w14:paraId="07364C7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-6.17 (-12.46–-3.14)</w:t>
            </w:r>
          </w:p>
        </w:tc>
      </w:tr>
      <w:tr w:rsidR="00434145" w:rsidRPr="00434145" w14:paraId="4CE8A07E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7EF9C67B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Ain</w:t>
            </w:r>
          </w:p>
        </w:tc>
        <w:tc>
          <w:tcPr>
            <w:tcW w:w="734" w:type="dxa"/>
            <w:noWrap/>
            <w:hideMark/>
          </w:tcPr>
          <w:p w14:paraId="4F405B9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6.17 (5.93–6.45)</w:t>
            </w:r>
          </w:p>
        </w:tc>
        <w:tc>
          <w:tcPr>
            <w:tcW w:w="1073" w:type="dxa"/>
            <w:noWrap/>
            <w:hideMark/>
          </w:tcPr>
          <w:p w14:paraId="7307647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995.57 (605.41–1180.31)</w:t>
            </w:r>
          </w:p>
        </w:tc>
        <w:tc>
          <w:tcPr>
            <w:tcW w:w="959" w:type="dxa"/>
            <w:noWrap/>
            <w:hideMark/>
          </w:tcPr>
          <w:p w14:paraId="7DA6C9B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804.16 (527–1038.81)</w:t>
            </w:r>
          </w:p>
        </w:tc>
        <w:tc>
          <w:tcPr>
            <w:tcW w:w="972" w:type="dxa"/>
            <w:noWrap/>
            <w:hideMark/>
          </w:tcPr>
          <w:p w14:paraId="0294E48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397 (227–809)</w:t>
            </w:r>
          </w:p>
        </w:tc>
        <w:tc>
          <w:tcPr>
            <w:tcW w:w="1052" w:type="dxa"/>
            <w:noWrap/>
            <w:hideMark/>
          </w:tcPr>
          <w:p w14:paraId="250F8BF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247.73 (0.05–842.3)</w:t>
            </w:r>
          </w:p>
        </w:tc>
        <w:tc>
          <w:tcPr>
            <w:tcW w:w="959" w:type="dxa"/>
            <w:noWrap/>
            <w:hideMark/>
          </w:tcPr>
          <w:p w14:paraId="6079982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1153.22 (966.6–1271.97)</w:t>
            </w:r>
          </w:p>
        </w:tc>
        <w:tc>
          <w:tcPr>
            <w:tcW w:w="959" w:type="dxa"/>
            <w:noWrap/>
            <w:hideMark/>
          </w:tcPr>
          <w:p w14:paraId="33CE6EE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674.84 (648.87–695.7)</w:t>
            </w:r>
          </w:p>
        </w:tc>
        <w:tc>
          <w:tcPr>
            <w:tcW w:w="755" w:type="dxa"/>
            <w:noWrap/>
            <w:hideMark/>
          </w:tcPr>
          <w:p w14:paraId="118154E2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25.17 (22.74–27.26)</w:t>
            </w:r>
          </w:p>
        </w:tc>
        <w:tc>
          <w:tcPr>
            <w:tcW w:w="901" w:type="dxa"/>
            <w:noWrap/>
            <w:hideMark/>
          </w:tcPr>
          <w:p w14:paraId="29A2281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-1.54 (-2.98–-0.74)</w:t>
            </w:r>
          </w:p>
        </w:tc>
      </w:tr>
      <w:tr w:rsidR="00434145" w:rsidRPr="00434145" w14:paraId="013067AB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1361ED13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Aude</w:t>
            </w:r>
          </w:p>
        </w:tc>
        <w:tc>
          <w:tcPr>
            <w:tcW w:w="734" w:type="dxa"/>
            <w:noWrap/>
            <w:hideMark/>
          </w:tcPr>
          <w:p w14:paraId="2ED0A99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6.73 (5.86–7.5)</w:t>
            </w:r>
          </w:p>
        </w:tc>
        <w:tc>
          <w:tcPr>
            <w:tcW w:w="1073" w:type="dxa"/>
            <w:noWrap/>
            <w:hideMark/>
          </w:tcPr>
          <w:p w14:paraId="160644AC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713.42 (355.83–1319.8)</w:t>
            </w:r>
          </w:p>
        </w:tc>
        <w:tc>
          <w:tcPr>
            <w:tcW w:w="959" w:type="dxa"/>
            <w:noWrap/>
            <w:hideMark/>
          </w:tcPr>
          <w:p w14:paraId="09852CE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465.75 (271.67–697.79)</w:t>
            </w:r>
          </w:p>
        </w:tc>
        <w:tc>
          <w:tcPr>
            <w:tcW w:w="972" w:type="dxa"/>
            <w:noWrap/>
            <w:hideMark/>
          </w:tcPr>
          <w:p w14:paraId="5518C9D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320 (10–1625)</w:t>
            </w:r>
          </w:p>
        </w:tc>
        <w:tc>
          <w:tcPr>
            <w:tcW w:w="1052" w:type="dxa"/>
            <w:noWrap/>
            <w:hideMark/>
          </w:tcPr>
          <w:p w14:paraId="3304768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423.05 (0.06–4825.3)</w:t>
            </w:r>
          </w:p>
        </w:tc>
        <w:tc>
          <w:tcPr>
            <w:tcW w:w="959" w:type="dxa"/>
            <w:noWrap/>
            <w:hideMark/>
          </w:tcPr>
          <w:p w14:paraId="4D44EE91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762.13 (552.87–1257.93)</w:t>
            </w:r>
          </w:p>
        </w:tc>
        <w:tc>
          <w:tcPr>
            <w:tcW w:w="959" w:type="dxa"/>
            <w:noWrap/>
            <w:hideMark/>
          </w:tcPr>
          <w:p w14:paraId="6881075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647.23 (522.63–748.07)</w:t>
            </w:r>
          </w:p>
        </w:tc>
        <w:tc>
          <w:tcPr>
            <w:tcW w:w="755" w:type="dxa"/>
            <w:noWrap/>
            <w:hideMark/>
          </w:tcPr>
          <w:p w14:paraId="3904810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26.83 (17.99–29.42)</w:t>
            </w:r>
          </w:p>
        </w:tc>
        <w:tc>
          <w:tcPr>
            <w:tcW w:w="901" w:type="dxa"/>
            <w:noWrap/>
            <w:hideMark/>
          </w:tcPr>
          <w:p w14:paraId="7CD7E31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1.37 (-3.37–3.61)</w:t>
            </w:r>
          </w:p>
        </w:tc>
      </w:tr>
      <w:tr w:rsidR="00434145" w:rsidRPr="00434145" w14:paraId="7D20A40F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3905AB1E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Betione</w:t>
            </w:r>
          </w:p>
        </w:tc>
        <w:tc>
          <w:tcPr>
            <w:tcW w:w="734" w:type="dxa"/>
            <w:noWrap/>
            <w:hideMark/>
          </w:tcPr>
          <w:p w14:paraId="298266E2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5.92 (5.79–6.2)</w:t>
            </w:r>
          </w:p>
        </w:tc>
        <w:tc>
          <w:tcPr>
            <w:tcW w:w="1073" w:type="dxa"/>
            <w:noWrap/>
            <w:hideMark/>
          </w:tcPr>
          <w:p w14:paraId="0AB1A7E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253.25 (222.25–342.23)</w:t>
            </w:r>
          </w:p>
        </w:tc>
        <w:tc>
          <w:tcPr>
            <w:tcW w:w="959" w:type="dxa"/>
            <w:noWrap/>
            <w:hideMark/>
          </w:tcPr>
          <w:p w14:paraId="5C82D41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214.99 (183.15–273.83)</w:t>
            </w:r>
          </w:p>
        </w:tc>
        <w:tc>
          <w:tcPr>
            <w:tcW w:w="972" w:type="dxa"/>
            <w:noWrap/>
            <w:hideMark/>
          </w:tcPr>
          <w:p w14:paraId="220F05F1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260 (139–344)</w:t>
            </w:r>
          </w:p>
        </w:tc>
        <w:tc>
          <w:tcPr>
            <w:tcW w:w="1052" w:type="dxa"/>
            <w:noWrap/>
            <w:hideMark/>
          </w:tcPr>
          <w:p w14:paraId="3563C000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21.5 (0.2–145.86)</w:t>
            </w:r>
          </w:p>
        </w:tc>
        <w:tc>
          <w:tcPr>
            <w:tcW w:w="959" w:type="dxa"/>
            <w:noWrap/>
            <w:hideMark/>
          </w:tcPr>
          <w:p w14:paraId="4EC9847C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1295.61 (1286.53–1304.67)</w:t>
            </w:r>
          </w:p>
        </w:tc>
        <w:tc>
          <w:tcPr>
            <w:tcW w:w="959" w:type="dxa"/>
            <w:noWrap/>
            <w:hideMark/>
          </w:tcPr>
          <w:p w14:paraId="23EC63A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1080.83 (1071.87–1086.33)</w:t>
            </w:r>
          </w:p>
        </w:tc>
        <w:tc>
          <w:tcPr>
            <w:tcW w:w="755" w:type="dxa"/>
            <w:noWrap/>
            <w:hideMark/>
          </w:tcPr>
          <w:p w14:paraId="3EB72ED8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32.54 (32.12–33.1)</w:t>
            </w:r>
          </w:p>
        </w:tc>
        <w:tc>
          <w:tcPr>
            <w:tcW w:w="901" w:type="dxa"/>
            <w:noWrap/>
            <w:hideMark/>
          </w:tcPr>
          <w:p w14:paraId="148CEB0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13.77 (13.39–14.24)</w:t>
            </w:r>
          </w:p>
        </w:tc>
      </w:tr>
      <w:tr w:rsidR="00434145" w:rsidRPr="00434145" w14:paraId="63AEA8E9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6842C8B6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  <w:lang w:val="en-US"/>
              </w:rPr>
              <w:t xml:space="preserve">Bükkösdi-víz </w:t>
            </w:r>
          </w:p>
        </w:tc>
        <w:tc>
          <w:tcPr>
            <w:tcW w:w="734" w:type="dxa"/>
            <w:noWrap/>
            <w:hideMark/>
          </w:tcPr>
          <w:p w14:paraId="651AD24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5.83 (5.45–6.39)</w:t>
            </w:r>
          </w:p>
        </w:tc>
        <w:tc>
          <w:tcPr>
            <w:tcW w:w="1073" w:type="dxa"/>
            <w:noWrap/>
            <w:hideMark/>
          </w:tcPr>
          <w:p w14:paraId="510281D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459.76 (426.75–500.24)</w:t>
            </w:r>
          </w:p>
        </w:tc>
        <w:tc>
          <w:tcPr>
            <w:tcW w:w="959" w:type="dxa"/>
            <w:noWrap/>
            <w:hideMark/>
          </w:tcPr>
          <w:p w14:paraId="683B822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618.07 (578.43–681.57)</w:t>
            </w:r>
          </w:p>
        </w:tc>
        <w:tc>
          <w:tcPr>
            <w:tcW w:w="972" w:type="dxa"/>
            <w:noWrap/>
            <w:hideMark/>
          </w:tcPr>
          <w:p w14:paraId="4DFCC75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183 (145–253)</w:t>
            </w:r>
          </w:p>
        </w:tc>
        <w:tc>
          <w:tcPr>
            <w:tcW w:w="1052" w:type="dxa"/>
            <w:noWrap/>
            <w:hideMark/>
          </w:tcPr>
          <w:p w14:paraId="757939A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5.76 (0.32–18.63)</w:t>
            </w:r>
          </w:p>
        </w:tc>
        <w:tc>
          <w:tcPr>
            <w:tcW w:w="959" w:type="dxa"/>
            <w:noWrap/>
            <w:hideMark/>
          </w:tcPr>
          <w:p w14:paraId="46A50FE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660.04 (648.47–679.6)</w:t>
            </w:r>
          </w:p>
        </w:tc>
        <w:tc>
          <w:tcPr>
            <w:tcW w:w="959" w:type="dxa"/>
            <w:noWrap/>
            <w:hideMark/>
          </w:tcPr>
          <w:p w14:paraId="4560347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587.63 (577.37–600.13)</w:t>
            </w:r>
          </w:p>
        </w:tc>
        <w:tc>
          <w:tcPr>
            <w:tcW w:w="755" w:type="dxa"/>
            <w:noWrap/>
            <w:hideMark/>
          </w:tcPr>
          <w:p w14:paraId="16CA66E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27.3 (26.84–27.69)</w:t>
            </w:r>
          </w:p>
        </w:tc>
        <w:tc>
          <w:tcPr>
            <w:tcW w:w="901" w:type="dxa"/>
            <w:noWrap/>
            <w:hideMark/>
          </w:tcPr>
          <w:p w14:paraId="6DDA1D9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-2.76 (-2.78–-2.7)</w:t>
            </w:r>
          </w:p>
        </w:tc>
      </w:tr>
      <w:tr w:rsidR="00434145" w:rsidRPr="00434145" w14:paraId="4FDD1AA7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3E92D82C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  <w:lang w:val="en-US"/>
              </w:rPr>
              <w:t>Pará</w:t>
            </w:r>
          </w:p>
        </w:tc>
        <w:tc>
          <w:tcPr>
            <w:tcW w:w="734" w:type="dxa"/>
            <w:noWrap/>
            <w:hideMark/>
          </w:tcPr>
          <w:p w14:paraId="227BEE8C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4.51 (4.41–4.69)</w:t>
            </w:r>
          </w:p>
        </w:tc>
        <w:tc>
          <w:tcPr>
            <w:tcW w:w="1073" w:type="dxa"/>
            <w:noWrap/>
            <w:hideMark/>
          </w:tcPr>
          <w:p w14:paraId="077B2D2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358.02 (284.63–607)</w:t>
            </w:r>
          </w:p>
        </w:tc>
        <w:tc>
          <w:tcPr>
            <w:tcW w:w="959" w:type="dxa"/>
            <w:noWrap/>
            <w:hideMark/>
          </w:tcPr>
          <w:p w14:paraId="1B80F9A8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283.7 (236.67–337.19)</w:t>
            </w:r>
          </w:p>
        </w:tc>
        <w:tc>
          <w:tcPr>
            <w:tcW w:w="972" w:type="dxa"/>
            <w:noWrap/>
            <w:hideMark/>
          </w:tcPr>
          <w:p w14:paraId="3DF6617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 (1–13)</w:t>
            </w:r>
          </w:p>
        </w:tc>
        <w:tc>
          <w:tcPr>
            <w:tcW w:w="1052" w:type="dxa"/>
            <w:noWrap/>
            <w:hideMark/>
          </w:tcPr>
          <w:p w14:paraId="3007193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11.06 (0.06–62.42)</w:t>
            </w:r>
          </w:p>
        </w:tc>
        <w:tc>
          <w:tcPr>
            <w:tcW w:w="959" w:type="dxa"/>
            <w:noWrap/>
            <w:hideMark/>
          </w:tcPr>
          <w:p w14:paraId="1B5ED87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2203.72 (2049.1–2391.7)</w:t>
            </w:r>
          </w:p>
        </w:tc>
        <w:tc>
          <w:tcPr>
            <w:tcW w:w="959" w:type="dxa"/>
            <w:noWrap/>
            <w:hideMark/>
          </w:tcPr>
          <w:p w14:paraId="20A2979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1108.92 (1083.47–1162.1)</w:t>
            </w:r>
          </w:p>
        </w:tc>
        <w:tc>
          <w:tcPr>
            <w:tcW w:w="755" w:type="dxa"/>
            <w:noWrap/>
            <w:hideMark/>
          </w:tcPr>
          <w:p w14:paraId="189E06D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32.64 (32.39–33.11)</w:t>
            </w:r>
          </w:p>
        </w:tc>
        <w:tc>
          <w:tcPr>
            <w:tcW w:w="901" w:type="dxa"/>
            <w:noWrap/>
            <w:hideMark/>
          </w:tcPr>
          <w:p w14:paraId="017A676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21.04 (20.94–21.3)</w:t>
            </w:r>
          </w:p>
        </w:tc>
      </w:tr>
      <w:tr w:rsidR="00434145" w:rsidRPr="00434145" w14:paraId="58ADDC39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705462C4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Chinsui</w:t>
            </w:r>
          </w:p>
        </w:tc>
        <w:tc>
          <w:tcPr>
            <w:tcW w:w="734" w:type="dxa"/>
            <w:noWrap/>
            <w:hideMark/>
          </w:tcPr>
          <w:p w14:paraId="705DE64C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5.79 (5.34–6.35)</w:t>
            </w:r>
          </w:p>
        </w:tc>
        <w:tc>
          <w:tcPr>
            <w:tcW w:w="1073" w:type="dxa"/>
            <w:noWrap/>
            <w:hideMark/>
          </w:tcPr>
          <w:p w14:paraId="5D58DD6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448.27 (379.6–513.96)</w:t>
            </w:r>
          </w:p>
        </w:tc>
        <w:tc>
          <w:tcPr>
            <w:tcW w:w="959" w:type="dxa"/>
            <w:noWrap/>
            <w:hideMark/>
          </w:tcPr>
          <w:p w14:paraId="3533AD7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377.95 (354.33–402)</w:t>
            </w:r>
          </w:p>
        </w:tc>
        <w:tc>
          <w:tcPr>
            <w:tcW w:w="972" w:type="dxa"/>
            <w:noWrap/>
            <w:hideMark/>
          </w:tcPr>
          <w:p w14:paraId="1A9356C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558 (209–1546)</w:t>
            </w:r>
          </w:p>
        </w:tc>
        <w:tc>
          <w:tcPr>
            <w:tcW w:w="1052" w:type="dxa"/>
            <w:noWrap/>
            <w:hideMark/>
          </w:tcPr>
          <w:p w14:paraId="2175A76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3150.95 (0.16–16950.74)</w:t>
            </w:r>
          </w:p>
        </w:tc>
        <w:tc>
          <w:tcPr>
            <w:tcW w:w="959" w:type="dxa"/>
            <w:noWrap/>
            <w:hideMark/>
          </w:tcPr>
          <w:p w14:paraId="39A3E55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1015.95 (945.03–1065.7)</w:t>
            </w:r>
          </w:p>
        </w:tc>
        <w:tc>
          <w:tcPr>
            <w:tcW w:w="959" w:type="dxa"/>
            <w:noWrap/>
            <w:hideMark/>
          </w:tcPr>
          <w:p w14:paraId="5FA25362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814.34 (733.3–829.2)</w:t>
            </w:r>
          </w:p>
        </w:tc>
        <w:tc>
          <w:tcPr>
            <w:tcW w:w="755" w:type="dxa"/>
            <w:noWrap/>
            <w:hideMark/>
          </w:tcPr>
          <w:p w14:paraId="7165BE7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30.19 (25.2–31.92)</w:t>
            </w:r>
          </w:p>
        </w:tc>
        <w:tc>
          <w:tcPr>
            <w:tcW w:w="901" w:type="dxa"/>
            <w:noWrap/>
            <w:hideMark/>
          </w:tcPr>
          <w:p w14:paraId="6748388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3.75 (-0.49–5.88)</w:t>
            </w:r>
          </w:p>
        </w:tc>
      </w:tr>
      <w:tr w:rsidR="00434145" w:rsidRPr="00434145" w14:paraId="0B4566A1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20E66B99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Chipiriri</w:t>
            </w:r>
          </w:p>
        </w:tc>
        <w:tc>
          <w:tcPr>
            <w:tcW w:w="734" w:type="dxa"/>
            <w:noWrap/>
            <w:hideMark/>
          </w:tcPr>
          <w:p w14:paraId="42BA8DD8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5.36 (5.3–5.68)</w:t>
            </w:r>
          </w:p>
        </w:tc>
        <w:tc>
          <w:tcPr>
            <w:tcW w:w="1073" w:type="dxa"/>
            <w:noWrap/>
            <w:hideMark/>
          </w:tcPr>
          <w:p w14:paraId="09E0795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722.31 (693–756)</w:t>
            </w:r>
          </w:p>
        </w:tc>
        <w:tc>
          <w:tcPr>
            <w:tcW w:w="959" w:type="dxa"/>
            <w:noWrap/>
            <w:hideMark/>
          </w:tcPr>
          <w:p w14:paraId="039B478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504.3 (453.46–540)</w:t>
            </w:r>
          </w:p>
        </w:tc>
        <w:tc>
          <w:tcPr>
            <w:tcW w:w="972" w:type="dxa"/>
            <w:noWrap/>
            <w:hideMark/>
          </w:tcPr>
          <w:p w14:paraId="7714193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229 (211–250)</w:t>
            </w:r>
          </w:p>
        </w:tc>
        <w:tc>
          <w:tcPr>
            <w:tcW w:w="1052" w:type="dxa"/>
            <w:noWrap/>
            <w:hideMark/>
          </w:tcPr>
          <w:p w14:paraId="5917AFD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254.11 (0.05–5020.22)</w:t>
            </w:r>
          </w:p>
        </w:tc>
        <w:tc>
          <w:tcPr>
            <w:tcW w:w="959" w:type="dxa"/>
            <w:noWrap/>
            <w:hideMark/>
          </w:tcPr>
          <w:p w14:paraId="7CC19DB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4051.51 (3922.7–4157.17)</w:t>
            </w:r>
          </w:p>
        </w:tc>
        <w:tc>
          <w:tcPr>
            <w:tcW w:w="959" w:type="dxa"/>
            <w:noWrap/>
            <w:hideMark/>
          </w:tcPr>
          <w:p w14:paraId="2ACDB601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1331.36 (1328.67–1335.03)</w:t>
            </w:r>
          </w:p>
        </w:tc>
        <w:tc>
          <w:tcPr>
            <w:tcW w:w="755" w:type="dxa"/>
            <w:noWrap/>
            <w:hideMark/>
          </w:tcPr>
          <w:p w14:paraId="30CC038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32.24 (31.53–32.48)</w:t>
            </w:r>
          </w:p>
        </w:tc>
        <w:tc>
          <w:tcPr>
            <w:tcW w:w="901" w:type="dxa"/>
            <w:noWrap/>
            <w:hideMark/>
          </w:tcPr>
          <w:p w14:paraId="1DB0309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15.29 (15.22–15.4)</w:t>
            </w:r>
          </w:p>
        </w:tc>
      </w:tr>
      <w:tr w:rsidR="00434145" w:rsidRPr="00434145" w14:paraId="0505E7B7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007EEA6F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Croton</w:t>
            </w:r>
          </w:p>
        </w:tc>
        <w:tc>
          <w:tcPr>
            <w:tcW w:w="734" w:type="dxa"/>
            <w:noWrap/>
            <w:hideMark/>
          </w:tcPr>
          <w:p w14:paraId="1FF463C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4.95 (4.65–5.5)</w:t>
            </w:r>
          </w:p>
        </w:tc>
        <w:tc>
          <w:tcPr>
            <w:tcW w:w="1073" w:type="dxa"/>
            <w:noWrap/>
            <w:hideMark/>
          </w:tcPr>
          <w:p w14:paraId="7DA5107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2233.69 (1291–2860.11)</w:t>
            </w:r>
          </w:p>
        </w:tc>
        <w:tc>
          <w:tcPr>
            <w:tcW w:w="959" w:type="dxa"/>
            <w:noWrap/>
            <w:hideMark/>
          </w:tcPr>
          <w:p w14:paraId="40750FD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1549.57 (1366.67–1665.93)</w:t>
            </w:r>
          </w:p>
        </w:tc>
        <w:tc>
          <w:tcPr>
            <w:tcW w:w="972" w:type="dxa"/>
            <w:noWrap/>
            <w:hideMark/>
          </w:tcPr>
          <w:p w14:paraId="65ED774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127 (66–236)</w:t>
            </w:r>
          </w:p>
        </w:tc>
        <w:tc>
          <w:tcPr>
            <w:tcW w:w="1052" w:type="dxa"/>
            <w:noWrap/>
            <w:hideMark/>
          </w:tcPr>
          <w:p w14:paraId="6206E11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19.76 (0.02–102.11)</w:t>
            </w:r>
          </w:p>
        </w:tc>
        <w:tc>
          <w:tcPr>
            <w:tcW w:w="959" w:type="dxa"/>
            <w:noWrap/>
            <w:hideMark/>
          </w:tcPr>
          <w:p w14:paraId="3CF750C8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1244.52 (1204.97–1270.17)</w:t>
            </w:r>
          </w:p>
        </w:tc>
        <w:tc>
          <w:tcPr>
            <w:tcW w:w="959" w:type="dxa"/>
            <w:noWrap/>
            <w:hideMark/>
          </w:tcPr>
          <w:p w14:paraId="76E2DF6C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750.9 (725.57–771.63)</w:t>
            </w:r>
          </w:p>
        </w:tc>
        <w:tc>
          <w:tcPr>
            <w:tcW w:w="755" w:type="dxa"/>
            <w:noWrap/>
            <w:hideMark/>
          </w:tcPr>
          <w:p w14:paraId="78A2191C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28.58 (27.46–28.93)</w:t>
            </w:r>
          </w:p>
        </w:tc>
        <w:tc>
          <w:tcPr>
            <w:tcW w:w="901" w:type="dxa"/>
            <w:noWrap/>
            <w:hideMark/>
          </w:tcPr>
          <w:p w14:paraId="7DAA302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-7.76 (-8.43–-6.9)</w:t>
            </w:r>
          </w:p>
        </w:tc>
      </w:tr>
      <w:tr w:rsidR="00434145" w:rsidRPr="00434145" w14:paraId="1DE1C218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4E971D17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Dalälven</w:t>
            </w:r>
          </w:p>
        </w:tc>
        <w:tc>
          <w:tcPr>
            <w:tcW w:w="734" w:type="dxa"/>
            <w:noWrap/>
            <w:hideMark/>
          </w:tcPr>
          <w:p w14:paraId="1643CB62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4.66 (4.53–4.79)</w:t>
            </w:r>
          </w:p>
        </w:tc>
        <w:tc>
          <w:tcPr>
            <w:tcW w:w="1073" w:type="dxa"/>
            <w:noWrap/>
            <w:hideMark/>
          </w:tcPr>
          <w:p w14:paraId="41DE21C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1790.27 (1617.44–2114.62)</w:t>
            </w:r>
          </w:p>
        </w:tc>
        <w:tc>
          <w:tcPr>
            <w:tcW w:w="959" w:type="dxa"/>
            <w:noWrap/>
            <w:hideMark/>
          </w:tcPr>
          <w:p w14:paraId="01C2AB7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828.24 (733.33–976.56)</w:t>
            </w:r>
          </w:p>
        </w:tc>
        <w:tc>
          <w:tcPr>
            <w:tcW w:w="972" w:type="dxa"/>
            <w:noWrap/>
            <w:hideMark/>
          </w:tcPr>
          <w:p w14:paraId="24386B0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299 (138–525)</w:t>
            </w:r>
          </w:p>
        </w:tc>
        <w:tc>
          <w:tcPr>
            <w:tcW w:w="1052" w:type="dxa"/>
            <w:noWrap/>
            <w:hideMark/>
          </w:tcPr>
          <w:p w14:paraId="236E452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3.51 (0.34–25.66)</w:t>
            </w:r>
          </w:p>
        </w:tc>
        <w:tc>
          <w:tcPr>
            <w:tcW w:w="959" w:type="dxa"/>
            <w:noWrap/>
            <w:hideMark/>
          </w:tcPr>
          <w:p w14:paraId="5860E68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688.26 (612.37–833.5)</w:t>
            </w:r>
          </w:p>
        </w:tc>
        <w:tc>
          <w:tcPr>
            <w:tcW w:w="959" w:type="dxa"/>
            <w:noWrap/>
            <w:hideMark/>
          </w:tcPr>
          <w:p w14:paraId="18799E32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387.99 (342.47–416.6)</w:t>
            </w:r>
          </w:p>
        </w:tc>
        <w:tc>
          <w:tcPr>
            <w:tcW w:w="755" w:type="dxa"/>
            <w:noWrap/>
            <w:hideMark/>
          </w:tcPr>
          <w:p w14:paraId="0CB6980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20.55 (18.5–21.75)</w:t>
            </w:r>
          </w:p>
        </w:tc>
        <w:tc>
          <w:tcPr>
            <w:tcW w:w="901" w:type="dxa"/>
            <w:noWrap/>
            <w:hideMark/>
          </w:tcPr>
          <w:p w14:paraId="53F29F9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-10.39 (-13.25–-8.32)</w:t>
            </w:r>
          </w:p>
        </w:tc>
      </w:tr>
      <w:tr w:rsidR="00434145" w:rsidRPr="00434145" w14:paraId="43DEBB90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78DFE2D0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Doubs</w:t>
            </w:r>
          </w:p>
        </w:tc>
        <w:tc>
          <w:tcPr>
            <w:tcW w:w="734" w:type="dxa"/>
            <w:noWrap/>
            <w:hideMark/>
          </w:tcPr>
          <w:p w14:paraId="400D4C6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5.99 (5.42–6.61)</w:t>
            </w:r>
          </w:p>
        </w:tc>
        <w:tc>
          <w:tcPr>
            <w:tcW w:w="1073" w:type="dxa"/>
            <w:noWrap/>
            <w:hideMark/>
          </w:tcPr>
          <w:p w14:paraId="593A165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867.45 (490.59–1123.53)</w:t>
            </w:r>
          </w:p>
        </w:tc>
        <w:tc>
          <w:tcPr>
            <w:tcW w:w="959" w:type="dxa"/>
            <w:noWrap/>
            <w:hideMark/>
          </w:tcPr>
          <w:p w14:paraId="2478D80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686.94 (512.7–859.84)</w:t>
            </w:r>
          </w:p>
        </w:tc>
        <w:tc>
          <w:tcPr>
            <w:tcW w:w="972" w:type="dxa"/>
            <w:noWrap/>
            <w:hideMark/>
          </w:tcPr>
          <w:p w14:paraId="4B049A7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329 (181–910)</w:t>
            </w:r>
          </w:p>
        </w:tc>
        <w:tc>
          <w:tcPr>
            <w:tcW w:w="1052" w:type="dxa"/>
            <w:noWrap/>
            <w:hideMark/>
          </w:tcPr>
          <w:p w14:paraId="0AA6FF8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787.87 (0.27–4796.35)</w:t>
            </w:r>
          </w:p>
        </w:tc>
        <w:tc>
          <w:tcPr>
            <w:tcW w:w="959" w:type="dxa"/>
            <w:noWrap/>
            <w:hideMark/>
          </w:tcPr>
          <w:p w14:paraId="43A6BE22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1102.46 (919.7–1394.67)</w:t>
            </w:r>
          </w:p>
        </w:tc>
        <w:tc>
          <w:tcPr>
            <w:tcW w:w="959" w:type="dxa"/>
            <w:noWrap/>
            <w:hideMark/>
          </w:tcPr>
          <w:p w14:paraId="6ED8E621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621.19 (561.07–665.3)</w:t>
            </w:r>
          </w:p>
        </w:tc>
        <w:tc>
          <w:tcPr>
            <w:tcW w:w="755" w:type="dxa"/>
            <w:noWrap/>
            <w:hideMark/>
          </w:tcPr>
          <w:p w14:paraId="120180A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24.82 (20.48–26.26)</w:t>
            </w:r>
          </w:p>
        </w:tc>
        <w:tc>
          <w:tcPr>
            <w:tcW w:w="901" w:type="dxa"/>
            <w:noWrap/>
            <w:hideMark/>
          </w:tcPr>
          <w:p w14:paraId="5EB0E8C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-1.42 (-3.99–-0.36)</w:t>
            </w:r>
          </w:p>
        </w:tc>
      </w:tr>
      <w:tr w:rsidR="00434145" w:rsidRPr="00434145" w14:paraId="24C80A01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52CE4FAA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Durance</w:t>
            </w:r>
          </w:p>
        </w:tc>
        <w:tc>
          <w:tcPr>
            <w:tcW w:w="734" w:type="dxa"/>
            <w:noWrap/>
            <w:hideMark/>
          </w:tcPr>
          <w:p w14:paraId="4FD30A1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7.03 (6.34–7.61)</w:t>
            </w:r>
          </w:p>
        </w:tc>
        <w:tc>
          <w:tcPr>
            <w:tcW w:w="1073" w:type="dxa"/>
            <w:noWrap/>
            <w:hideMark/>
          </w:tcPr>
          <w:p w14:paraId="6E38072C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752.12 (527.1–1097.26)</w:t>
            </w:r>
          </w:p>
        </w:tc>
        <w:tc>
          <w:tcPr>
            <w:tcW w:w="959" w:type="dxa"/>
            <w:noWrap/>
            <w:hideMark/>
          </w:tcPr>
          <w:p w14:paraId="767820DC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496.21 (339.39–617.9)</w:t>
            </w:r>
          </w:p>
        </w:tc>
        <w:tc>
          <w:tcPr>
            <w:tcW w:w="972" w:type="dxa"/>
            <w:noWrap/>
            <w:hideMark/>
          </w:tcPr>
          <w:p w14:paraId="79919E1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501 (268–831)</w:t>
            </w:r>
          </w:p>
        </w:tc>
        <w:tc>
          <w:tcPr>
            <w:tcW w:w="1052" w:type="dxa"/>
            <w:noWrap/>
            <w:hideMark/>
          </w:tcPr>
          <w:p w14:paraId="626BCB0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1720.55 (0.04–9338.82)</w:t>
            </w:r>
          </w:p>
        </w:tc>
        <w:tc>
          <w:tcPr>
            <w:tcW w:w="959" w:type="dxa"/>
            <w:noWrap/>
            <w:hideMark/>
          </w:tcPr>
          <w:p w14:paraId="5C589532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744.96 (650.47–866.67)</w:t>
            </w:r>
          </w:p>
        </w:tc>
        <w:tc>
          <w:tcPr>
            <w:tcW w:w="959" w:type="dxa"/>
            <w:noWrap/>
            <w:hideMark/>
          </w:tcPr>
          <w:p w14:paraId="4D608E3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560.7 (540.7–578.6)</w:t>
            </w:r>
          </w:p>
        </w:tc>
        <w:tc>
          <w:tcPr>
            <w:tcW w:w="755" w:type="dxa"/>
            <w:noWrap/>
            <w:hideMark/>
          </w:tcPr>
          <w:p w14:paraId="0C3C6870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27.69 (25.35–29.29)</w:t>
            </w:r>
          </w:p>
        </w:tc>
        <w:tc>
          <w:tcPr>
            <w:tcW w:w="901" w:type="dxa"/>
            <w:noWrap/>
            <w:hideMark/>
          </w:tcPr>
          <w:p w14:paraId="047F5AB8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-1.05 (-2.95–0.82)</w:t>
            </w:r>
          </w:p>
        </w:tc>
      </w:tr>
      <w:tr w:rsidR="00434145" w:rsidRPr="00434145" w14:paraId="1990AF95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293494F1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Elbe</w:t>
            </w:r>
          </w:p>
        </w:tc>
        <w:tc>
          <w:tcPr>
            <w:tcW w:w="734" w:type="dxa"/>
            <w:noWrap/>
            <w:hideMark/>
          </w:tcPr>
          <w:p w14:paraId="6142AD7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6.17 (5.32–6.89)</w:t>
            </w:r>
          </w:p>
        </w:tc>
        <w:tc>
          <w:tcPr>
            <w:tcW w:w="1073" w:type="dxa"/>
            <w:noWrap/>
            <w:hideMark/>
          </w:tcPr>
          <w:p w14:paraId="5605150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654.78 (578.06–772.35)</w:t>
            </w:r>
          </w:p>
        </w:tc>
        <w:tc>
          <w:tcPr>
            <w:tcW w:w="959" w:type="dxa"/>
            <w:noWrap/>
            <w:hideMark/>
          </w:tcPr>
          <w:p w14:paraId="1C0592B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759.85 (584.75–874.95)</w:t>
            </w:r>
          </w:p>
        </w:tc>
        <w:tc>
          <w:tcPr>
            <w:tcW w:w="972" w:type="dxa"/>
            <w:noWrap/>
            <w:hideMark/>
          </w:tcPr>
          <w:p w14:paraId="1CDABED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122 (17–338)</w:t>
            </w:r>
          </w:p>
        </w:tc>
        <w:tc>
          <w:tcPr>
            <w:tcW w:w="1052" w:type="dxa"/>
            <w:noWrap/>
            <w:hideMark/>
          </w:tcPr>
          <w:p w14:paraId="0ED80CB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11362.24 (0.08–125833.03)</w:t>
            </w:r>
          </w:p>
        </w:tc>
        <w:tc>
          <w:tcPr>
            <w:tcW w:w="959" w:type="dxa"/>
            <w:noWrap/>
            <w:hideMark/>
          </w:tcPr>
          <w:p w14:paraId="116C43F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586.71 (501.9–756.73)</w:t>
            </w:r>
          </w:p>
        </w:tc>
        <w:tc>
          <w:tcPr>
            <w:tcW w:w="959" w:type="dxa"/>
            <w:noWrap/>
            <w:hideMark/>
          </w:tcPr>
          <w:p w14:paraId="0178F84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502.31 (468.7–536.43)</w:t>
            </w:r>
          </w:p>
        </w:tc>
        <w:tc>
          <w:tcPr>
            <w:tcW w:w="755" w:type="dxa"/>
            <w:noWrap/>
            <w:hideMark/>
          </w:tcPr>
          <w:p w14:paraId="18D9C4E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23.91 (21.79–24.66)</w:t>
            </w:r>
          </w:p>
        </w:tc>
        <w:tc>
          <w:tcPr>
            <w:tcW w:w="901" w:type="dxa"/>
            <w:noWrap/>
            <w:hideMark/>
          </w:tcPr>
          <w:p w14:paraId="756407E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-2.03 (-2.87–-1.23)</w:t>
            </w:r>
          </w:p>
        </w:tc>
      </w:tr>
      <w:tr w:rsidR="00434145" w:rsidRPr="00434145" w14:paraId="1E16F253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5EACA3E5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Fromoso</w:t>
            </w:r>
          </w:p>
        </w:tc>
        <w:tc>
          <w:tcPr>
            <w:tcW w:w="734" w:type="dxa"/>
            <w:noWrap/>
            <w:hideMark/>
          </w:tcPr>
          <w:p w14:paraId="20186DF2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5.67 (5.53–5.76)</w:t>
            </w:r>
          </w:p>
        </w:tc>
        <w:tc>
          <w:tcPr>
            <w:tcW w:w="1073" w:type="dxa"/>
            <w:noWrap/>
            <w:hideMark/>
          </w:tcPr>
          <w:p w14:paraId="643EAA0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283.53 (205.91–377.7)</w:t>
            </w:r>
          </w:p>
        </w:tc>
        <w:tc>
          <w:tcPr>
            <w:tcW w:w="959" w:type="dxa"/>
            <w:noWrap/>
            <w:hideMark/>
          </w:tcPr>
          <w:p w14:paraId="530D31C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226.55 (199.01–277.82)</w:t>
            </w:r>
          </w:p>
        </w:tc>
        <w:tc>
          <w:tcPr>
            <w:tcW w:w="972" w:type="dxa"/>
            <w:noWrap/>
            <w:hideMark/>
          </w:tcPr>
          <w:p w14:paraId="3C3B35F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329 (200–510)</w:t>
            </w:r>
          </w:p>
        </w:tc>
        <w:tc>
          <w:tcPr>
            <w:tcW w:w="1052" w:type="dxa"/>
            <w:noWrap/>
            <w:hideMark/>
          </w:tcPr>
          <w:p w14:paraId="469352E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82 (0.62–1259.08)</w:t>
            </w:r>
          </w:p>
        </w:tc>
        <w:tc>
          <w:tcPr>
            <w:tcW w:w="959" w:type="dxa"/>
            <w:noWrap/>
            <w:hideMark/>
          </w:tcPr>
          <w:p w14:paraId="1CE0248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1342.39 (1326.83–1356.63)</w:t>
            </w:r>
          </w:p>
        </w:tc>
        <w:tc>
          <w:tcPr>
            <w:tcW w:w="959" w:type="dxa"/>
            <w:noWrap/>
            <w:hideMark/>
          </w:tcPr>
          <w:p w14:paraId="5DE6739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1112.41 (1100.97–1123.5)</w:t>
            </w:r>
          </w:p>
        </w:tc>
        <w:tc>
          <w:tcPr>
            <w:tcW w:w="755" w:type="dxa"/>
            <w:noWrap/>
            <w:hideMark/>
          </w:tcPr>
          <w:p w14:paraId="6CED16D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31.98 (30.92–32.57)</w:t>
            </w:r>
          </w:p>
        </w:tc>
        <w:tc>
          <w:tcPr>
            <w:tcW w:w="901" w:type="dxa"/>
            <w:noWrap/>
            <w:hideMark/>
          </w:tcPr>
          <w:p w14:paraId="5E91E54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12.9 (12.27–13.33)</w:t>
            </w:r>
          </w:p>
        </w:tc>
      </w:tr>
      <w:tr w:rsidR="00434145" w:rsidRPr="00434145" w14:paraId="459E1729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715B1FD5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Capim</w:t>
            </w:r>
          </w:p>
        </w:tc>
        <w:tc>
          <w:tcPr>
            <w:tcW w:w="734" w:type="dxa"/>
            <w:noWrap/>
            <w:hideMark/>
          </w:tcPr>
          <w:p w14:paraId="4FE12BBC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4.5 (4.36–4.63)</w:t>
            </w:r>
          </w:p>
        </w:tc>
        <w:tc>
          <w:tcPr>
            <w:tcW w:w="1073" w:type="dxa"/>
            <w:noWrap/>
            <w:hideMark/>
          </w:tcPr>
          <w:p w14:paraId="0C57A0C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305 (281.32–327.2)</w:t>
            </w:r>
          </w:p>
        </w:tc>
        <w:tc>
          <w:tcPr>
            <w:tcW w:w="959" w:type="dxa"/>
            <w:noWrap/>
            <w:hideMark/>
          </w:tcPr>
          <w:p w14:paraId="18C048E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252.72 (233.87–291.88)</w:t>
            </w:r>
          </w:p>
        </w:tc>
        <w:tc>
          <w:tcPr>
            <w:tcW w:w="972" w:type="dxa"/>
            <w:noWrap/>
            <w:hideMark/>
          </w:tcPr>
          <w:p w14:paraId="23B90EB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89 (58–107)</w:t>
            </w:r>
          </w:p>
        </w:tc>
        <w:tc>
          <w:tcPr>
            <w:tcW w:w="1052" w:type="dxa"/>
            <w:noWrap/>
            <w:hideMark/>
          </w:tcPr>
          <w:p w14:paraId="0D75A18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15.28 (0.01–236.62)</w:t>
            </w:r>
          </w:p>
        </w:tc>
        <w:tc>
          <w:tcPr>
            <w:tcW w:w="959" w:type="dxa"/>
            <w:noWrap/>
            <w:hideMark/>
          </w:tcPr>
          <w:p w14:paraId="74C269D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2089.1 (1980.9–2185.93)</w:t>
            </w:r>
          </w:p>
        </w:tc>
        <w:tc>
          <w:tcPr>
            <w:tcW w:w="959" w:type="dxa"/>
            <w:noWrap/>
            <w:hideMark/>
          </w:tcPr>
          <w:p w14:paraId="616461D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1084.94 (1075.27–1092.8)</w:t>
            </w:r>
          </w:p>
        </w:tc>
        <w:tc>
          <w:tcPr>
            <w:tcW w:w="755" w:type="dxa"/>
            <w:noWrap/>
            <w:hideMark/>
          </w:tcPr>
          <w:p w14:paraId="630A0FB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32.83 (32.68–33.01)</w:t>
            </w:r>
          </w:p>
        </w:tc>
        <w:tc>
          <w:tcPr>
            <w:tcW w:w="901" w:type="dxa"/>
            <w:noWrap/>
            <w:hideMark/>
          </w:tcPr>
          <w:p w14:paraId="140958B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20.85 (20.52–21.51)</w:t>
            </w:r>
          </w:p>
        </w:tc>
      </w:tr>
      <w:tr w:rsidR="00434145" w:rsidRPr="00434145" w14:paraId="1BE23A88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5CEB6B31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Gurupi</w:t>
            </w:r>
          </w:p>
        </w:tc>
        <w:tc>
          <w:tcPr>
            <w:tcW w:w="734" w:type="dxa"/>
            <w:noWrap/>
            <w:hideMark/>
          </w:tcPr>
          <w:p w14:paraId="4E7C14D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4.83 (4.51–5.15)</w:t>
            </w:r>
          </w:p>
        </w:tc>
        <w:tc>
          <w:tcPr>
            <w:tcW w:w="1073" w:type="dxa"/>
            <w:noWrap/>
            <w:hideMark/>
          </w:tcPr>
          <w:p w14:paraId="09382E0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289.73 (243–341.33)</w:t>
            </w:r>
          </w:p>
        </w:tc>
        <w:tc>
          <w:tcPr>
            <w:tcW w:w="959" w:type="dxa"/>
            <w:noWrap/>
            <w:hideMark/>
          </w:tcPr>
          <w:p w14:paraId="4B49DB8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239.58 (180.67–301.33)</w:t>
            </w:r>
          </w:p>
        </w:tc>
        <w:tc>
          <w:tcPr>
            <w:tcW w:w="972" w:type="dxa"/>
            <w:noWrap/>
            <w:hideMark/>
          </w:tcPr>
          <w:p w14:paraId="6B773A28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117 (68–174)</w:t>
            </w:r>
          </w:p>
        </w:tc>
        <w:tc>
          <w:tcPr>
            <w:tcW w:w="1052" w:type="dxa"/>
            <w:noWrap/>
            <w:hideMark/>
          </w:tcPr>
          <w:p w14:paraId="57FEFD40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5.01 (0.09–52.01)</w:t>
            </w:r>
          </w:p>
        </w:tc>
        <w:tc>
          <w:tcPr>
            <w:tcW w:w="959" w:type="dxa"/>
            <w:noWrap/>
            <w:hideMark/>
          </w:tcPr>
          <w:p w14:paraId="6C466FA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1893.31 (1764.53–2012.07)</w:t>
            </w:r>
          </w:p>
        </w:tc>
        <w:tc>
          <w:tcPr>
            <w:tcW w:w="959" w:type="dxa"/>
            <w:noWrap/>
            <w:hideMark/>
          </w:tcPr>
          <w:p w14:paraId="6536D0C8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1088.19 (1065.7–1113.23)</w:t>
            </w:r>
          </w:p>
        </w:tc>
        <w:tc>
          <w:tcPr>
            <w:tcW w:w="755" w:type="dxa"/>
            <w:noWrap/>
            <w:hideMark/>
          </w:tcPr>
          <w:p w14:paraId="02F4649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32.57 (32.23–33.11)</w:t>
            </w:r>
          </w:p>
        </w:tc>
        <w:tc>
          <w:tcPr>
            <w:tcW w:w="901" w:type="dxa"/>
            <w:noWrap/>
            <w:hideMark/>
          </w:tcPr>
          <w:p w14:paraId="74C3F02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20.33 (20.11–20.59)</w:t>
            </w:r>
          </w:p>
        </w:tc>
      </w:tr>
      <w:tr w:rsidR="00434145" w:rsidRPr="00434145" w14:paraId="11294954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50EC3CC3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Hanjiang</w:t>
            </w:r>
          </w:p>
        </w:tc>
        <w:tc>
          <w:tcPr>
            <w:tcW w:w="734" w:type="dxa"/>
            <w:noWrap/>
            <w:hideMark/>
          </w:tcPr>
          <w:p w14:paraId="11E3D80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6.28 (5.93–6.7)</w:t>
            </w:r>
          </w:p>
        </w:tc>
        <w:tc>
          <w:tcPr>
            <w:tcW w:w="1073" w:type="dxa"/>
            <w:noWrap/>
            <w:hideMark/>
          </w:tcPr>
          <w:p w14:paraId="6CE2B66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475.49 (329–665.4)</w:t>
            </w:r>
          </w:p>
        </w:tc>
        <w:tc>
          <w:tcPr>
            <w:tcW w:w="959" w:type="dxa"/>
            <w:noWrap/>
            <w:hideMark/>
          </w:tcPr>
          <w:p w14:paraId="507C093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427.73 (278.73–537.21)</w:t>
            </w:r>
          </w:p>
        </w:tc>
        <w:tc>
          <w:tcPr>
            <w:tcW w:w="972" w:type="dxa"/>
            <w:noWrap/>
            <w:hideMark/>
          </w:tcPr>
          <w:p w14:paraId="417AA2F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790 (168–1459)</w:t>
            </w:r>
          </w:p>
        </w:tc>
        <w:tc>
          <w:tcPr>
            <w:tcW w:w="1052" w:type="dxa"/>
            <w:noWrap/>
            <w:hideMark/>
          </w:tcPr>
          <w:p w14:paraId="18CA3CE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214.66 (0.03–1267.25)</w:t>
            </w:r>
          </w:p>
        </w:tc>
        <w:tc>
          <w:tcPr>
            <w:tcW w:w="959" w:type="dxa"/>
            <w:noWrap/>
            <w:hideMark/>
          </w:tcPr>
          <w:p w14:paraId="218FA16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832.73 (759.8–1018.97)</w:t>
            </w:r>
          </w:p>
        </w:tc>
        <w:tc>
          <w:tcPr>
            <w:tcW w:w="959" w:type="dxa"/>
            <w:noWrap/>
            <w:hideMark/>
          </w:tcPr>
          <w:p w14:paraId="1E30597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696.05 (644.1–784.8)</w:t>
            </w:r>
          </w:p>
        </w:tc>
        <w:tc>
          <w:tcPr>
            <w:tcW w:w="755" w:type="dxa"/>
            <w:noWrap/>
            <w:hideMark/>
          </w:tcPr>
          <w:p w14:paraId="3FE6058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26.82 (23.52–32.53)</w:t>
            </w:r>
          </w:p>
        </w:tc>
        <w:tc>
          <w:tcPr>
            <w:tcW w:w="901" w:type="dxa"/>
            <w:noWrap/>
            <w:hideMark/>
          </w:tcPr>
          <w:p w14:paraId="766EBBD8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-3.47 (-5.45–-1)</w:t>
            </w:r>
          </w:p>
        </w:tc>
      </w:tr>
      <w:tr w:rsidR="00434145" w:rsidRPr="00434145" w14:paraId="655AC0CB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77EED8BB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Iijoki</w:t>
            </w:r>
          </w:p>
        </w:tc>
        <w:tc>
          <w:tcPr>
            <w:tcW w:w="734" w:type="dxa"/>
            <w:noWrap/>
            <w:hideMark/>
          </w:tcPr>
          <w:p w14:paraId="20FD672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4.72 (4.6–4.82)</w:t>
            </w:r>
          </w:p>
        </w:tc>
        <w:tc>
          <w:tcPr>
            <w:tcW w:w="1073" w:type="dxa"/>
            <w:noWrap/>
            <w:hideMark/>
          </w:tcPr>
          <w:p w14:paraId="346A5E1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2163.02 (2016.64–2605.93)</w:t>
            </w:r>
          </w:p>
        </w:tc>
        <w:tc>
          <w:tcPr>
            <w:tcW w:w="959" w:type="dxa"/>
            <w:noWrap/>
            <w:hideMark/>
          </w:tcPr>
          <w:p w14:paraId="6FA870E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1058.11 (1014.97–1149.29)</w:t>
            </w:r>
          </w:p>
        </w:tc>
        <w:tc>
          <w:tcPr>
            <w:tcW w:w="972" w:type="dxa"/>
            <w:noWrap/>
            <w:hideMark/>
          </w:tcPr>
          <w:p w14:paraId="2C00DC0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219 (159–282)</w:t>
            </w:r>
          </w:p>
        </w:tc>
        <w:tc>
          <w:tcPr>
            <w:tcW w:w="1052" w:type="dxa"/>
            <w:noWrap/>
            <w:hideMark/>
          </w:tcPr>
          <w:p w14:paraId="38061811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6.25 (0.03–16.34)</w:t>
            </w:r>
          </w:p>
        </w:tc>
        <w:tc>
          <w:tcPr>
            <w:tcW w:w="959" w:type="dxa"/>
            <w:noWrap/>
            <w:hideMark/>
          </w:tcPr>
          <w:p w14:paraId="5CD61300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678.12 (653.37–696.53)</w:t>
            </w:r>
          </w:p>
        </w:tc>
        <w:tc>
          <w:tcPr>
            <w:tcW w:w="959" w:type="dxa"/>
            <w:noWrap/>
            <w:hideMark/>
          </w:tcPr>
          <w:p w14:paraId="1BA3C42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335.87 (323.5–352.33)</w:t>
            </w:r>
          </w:p>
        </w:tc>
        <w:tc>
          <w:tcPr>
            <w:tcW w:w="755" w:type="dxa"/>
            <w:noWrap/>
            <w:hideMark/>
          </w:tcPr>
          <w:p w14:paraId="74A8441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20.01 (19.58–20.46)</w:t>
            </w:r>
          </w:p>
        </w:tc>
        <w:tc>
          <w:tcPr>
            <w:tcW w:w="901" w:type="dxa"/>
            <w:noWrap/>
            <w:hideMark/>
          </w:tcPr>
          <w:p w14:paraId="7648E3D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-16.24 (-17.19–-15.1)</w:t>
            </w:r>
          </w:p>
        </w:tc>
      </w:tr>
      <w:tr w:rsidR="00434145" w:rsidRPr="00434145" w14:paraId="101E5A75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65A32368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  <w:lang w:val="en-US"/>
              </w:rPr>
              <w:t>Isère</w:t>
            </w:r>
          </w:p>
        </w:tc>
        <w:tc>
          <w:tcPr>
            <w:tcW w:w="734" w:type="dxa"/>
            <w:noWrap/>
            <w:hideMark/>
          </w:tcPr>
          <w:p w14:paraId="3E9229B1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5.99 (5.66–6.42)</w:t>
            </w:r>
          </w:p>
        </w:tc>
        <w:tc>
          <w:tcPr>
            <w:tcW w:w="1073" w:type="dxa"/>
            <w:noWrap/>
            <w:hideMark/>
          </w:tcPr>
          <w:p w14:paraId="08564E2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1166.29 (1016.12–1311.57)</w:t>
            </w:r>
          </w:p>
        </w:tc>
        <w:tc>
          <w:tcPr>
            <w:tcW w:w="959" w:type="dxa"/>
            <w:noWrap/>
            <w:hideMark/>
          </w:tcPr>
          <w:p w14:paraId="7200383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729.41 (631.13–888.15)</w:t>
            </w:r>
          </w:p>
        </w:tc>
        <w:tc>
          <w:tcPr>
            <w:tcW w:w="972" w:type="dxa"/>
            <w:noWrap/>
            <w:hideMark/>
          </w:tcPr>
          <w:p w14:paraId="0D7A0D0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850 (353–1314)</w:t>
            </w:r>
          </w:p>
        </w:tc>
        <w:tc>
          <w:tcPr>
            <w:tcW w:w="1052" w:type="dxa"/>
            <w:noWrap/>
            <w:hideMark/>
          </w:tcPr>
          <w:p w14:paraId="1E524DB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321.9 (0.53–990.7)</w:t>
            </w:r>
          </w:p>
        </w:tc>
        <w:tc>
          <w:tcPr>
            <w:tcW w:w="959" w:type="dxa"/>
            <w:noWrap/>
            <w:hideMark/>
          </w:tcPr>
          <w:p w14:paraId="567C113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1118.54 (931.6–1394.57)</w:t>
            </w:r>
          </w:p>
        </w:tc>
        <w:tc>
          <w:tcPr>
            <w:tcW w:w="959" w:type="dxa"/>
            <w:noWrap/>
            <w:hideMark/>
          </w:tcPr>
          <w:p w14:paraId="70AE2DF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562.41 (466.4–635.3)</w:t>
            </w:r>
          </w:p>
        </w:tc>
        <w:tc>
          <w:tcPr>
            <w:tcW w:w="755" w:type="dxa"/>
            <w:noWrap/>
            <w:hideMark/>
          </w:tcPr>
          <w:p w14:paraId="65276B7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22.33 (18–27.01)</w:t>
            </w:r>
          </w:p>
        </w:tc>
        <w:tc>
          <w:tcPr>
            <w:tcW w:w="901" w:type="dxa"/>
            <w:noWrap/>
            <w:hideMark/>
          </w:tcPr>
          <w:p w14:paraId="3453DBA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-4.68 (-6.35–-2.01)</w:t>
            </w:r>
          </w:p>
        </w:tc>
      </w:tr>
      <w:tr w:rsidR="00434145" w:rsidRPr="00434145" w14:paraId="145EF4FE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7780E43C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lastRenderedPageBreak/>
              <w:t>Kinzing</w:t>
            </w:r>
          </w:p>
        </w:tc>
        <w:tc>
          <w:tcPr>
            <w:tcW w:w="734" w:type="dxa"/>
            <w:noWrap/>
            <w:hideMark/>
          </w:tcPr>
          <w:p w14:paraId="26C0D8A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5.71 (4.95–6.5)</w:t>
            </w:r>
          </w:p>
        </w:tc>
        <w:tc>
          <w:tcPr>
            <w:tcW w:w="1073" w:type="dxa"/>
            <w:noWrap/>
            <w:hideMark/>
          </w:tcPr>
          <w:p w14:paraId="4F44F02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705.5 (482.36–960.33)</w:t>
            </w:r>
          </w:p>
        </w:tc>
        <w:tc>
          <w:tcPr>
            <w:tcW w:w="959" w:type="dxa"/>
            <w:noWrap/>
            <w:hideMark/>
          </w:tcPr>
          <w:p w14:paraId="22BE3F2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557.9 (493.74–603.49)</w:t>
            </w:r>
          </w:p>
        </w:tc>
        <w:tc>
          <w:tcPr>
            <w:tcW w:w="972" w:type="dxa"/>
            <w:noWrap/>
            <w:hideMark/>
          </w:tcPr>
          <w:p w14:paraId="778937A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162 (101–519)</w:t>
            </w:r>
          </w:p>
        </w:tc>
        <w:tc>
          <w:tcPr>
            <w:tcW w:w="1052" w:type="dxa"/>
            <w:noWrap/>
            <w:hideMark/>
          </w:tcPr>
          <w:p w14:paraId="6628A08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356.13 (0.06–1053.87)</w:t>
            </w:r>
          </w:p>
        </w:tc>
        <w:tc>
          <w:tcPr>
            <w:tcW w:w="959" w:type="dxa"/>
            <w:noWrap/>
            <w:hideMark/>
          </w:tcPr>
          <w:p w14:paraId="3FA3A1A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843.26 (689.33–1153.7)</w:t>
            </w:r>
          </w:p>
        </w:tc>
        <w:tc>
          <w:tcPr>
            <w:tcW w:w="959" w:type="dxa"/>
            <w:noWrap/>
            <w:hideMark/>
          </w:tcPr>
          <w:p w14:paraId="037E57F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557.48 (545.87–577.43)</w:t>
            </w:r>
          </w:p>
        </w:tc>
        <w:tc>
          <w:tcPr>
            <w:tcW w:w="755" w:type="dxa"/>
            <w:noWrap/>
            <w:hideMark/>
          </w:tcPr>
          <w:p w14:paraId="21028590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24.52 (22.34–25.48)</w:t>
            </w:r>
          </w:p>
        </w:tc>
        <w:tc>
          <w:tcPr>
            <w:tcW w:w="901" w:type="dxa"/>
            <w:noWrap/>
            <w:hideMark/>
          </w:tcPr>
          <w:p w14:paraId="78CABA6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-1.88 (-3.7–-1.17)</w:t>
            </w:r>
          </w:p>
        </w:tc>
      </w:tr>
      <w:tr w:rsidR="00434145" w:rsidRPr="00434145" w14:paraId="6B474C07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19E95E76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Kouta</w:t>
            </w:r>
          </w:p>
        </w:tc>
        <w:tc>
          <w:tcPr>
            <w:tcW w:w="734" w:type="dxa"/>
            <w:noWrap/>
            <w:hideMark/>
          </w:tcPr>
          <w:p w14:paraId="28D9927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4.61 (4.5–4.7)</w:t>
            </w:r>
          </w:p>
        </w:tc>
        <w:tc>
          <w:tcPr>
            <w:tcW w:w="1073" w:type="dxa"/>
            <w:noWrap/>
            <w:hideMark/>
          </w:tcPr>
          <w:p w14:paraId="3DD4782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2110.67 (1902.47–2294)</w:t>
            </w:r>
          </w:p>
        </w:tc>
        <w:tc>
          <w:tcPr>
            <w:tcW w:w="959" w:type="dxa"/>
            <w:noWrap/>
            <w:hideMark/>
          </w:tcPr>
          <w:p w14:paraId="1B13693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888.46 (760.38–979)</w:t>
            </w:r>
          </w:p>
        </w:tc>
        <w:tc>
          <w:tcPr>
            <w:tcW w:w="972" w:type="dxa"/>
            <w:noWrap/>
            <w:hideMark/>
          </w:tcPr>
          <w:p w14:paraId="52B7F0B1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216 (159–284)</w:t>
            </w:r>
          </w:p>
        </w:tc>
        <w:tc>
          <w:tcPr>
            <w:tcW w:w="1052" w:type="dxa"/>
            <w:noWrap/>
            <w:hideMark/>
          </w:tcPr>
          <w:p w14:paraId="7599995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17.37 (0.03–208.75)</w:t>
            </w:r>
          </w:p>
        </w:tc>
        <w:tc>
          <w:tcPr>
            <w:tcW w:w="959" w:type="dxa"/>
            <w:noWrap/>
            <w:hideMark/>
          </w:tcPr>
          <w:p w14:paraId="209D16D8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586.28 (578.23–595.17)</w:t>
            </w:r>
          </w:p>
        </w:tc>
        <w:tc>
          <w:tcPr>
            <w:tcW w:w="959" w:type="dxa"/>
            <w:noWrap/>
            <w:hideMark/>
          </w:tcPr>
          <w:p w14:paraId="45822DC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310.26 (308.73–313.13)</w:t>
            </w:r>
          </w:p>
        </w:tc>
        <w:tc>
          <w:tcPr>
            <w:tcW w:w="755" w:type="dxa"/>
            <w:noWrap/>
            <w:hideMark/>
          </w:tcPr>
          <w:p w14:paraId="2E22951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19.16 (19–19.29)</w:t>
            </w:r>
          </w:p>
        </w:tc>
        <w:tc>
          <w:tcPr>
            <w:tcW w:w="901" w:type="dxa"/>
            <w:noWrap/>
            <w:hideMark/>
          </w:tcPr>
          <w:p w14:paraId="7FBF5C5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-18.31 (-18.79–-17.93)</w:t>
            </w:r>
          </w:p>
        </w:tc>
      </w:tr>
      <w:tr w:rsidR="00434145" w:rsidRPr="00434145" w14:paraId="43C66BFB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293C8648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Mekong</w:t>
            </w:r>
          </w:p>
        </w:tc>
        <w:tc>
          <w:tcPr>
            <w:tcW w:w="734" w:type="dxa"/>
            <w:noWrap/>
            <w:hideMark/>
          </w:tcPr>
          <w:p w14:paraId="11F834A0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5.29 (5.05–6.26)</w:t>
            </w:r>
          </w:p>
        </w:tc>
        <w:tc>
          <w:tcPr>
            <w:tcW w:w="1073" w:type="dxa"/>
            <w:noWrap/>
            <w:hideMark/>
          </w:tcPr>
          <w:p w14:paraId="7A07A800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445.78 (375.5–629.36)</w:t>
            </w:r>
          </w:p>
        </w:tc>
        <w:tc>
          <w:tcPr>
            <w:tcW w:w="959" w:type="dxa"/>
            <w:noWrap/>
            <w:hideMark/>
          </w:tcPr>
          <w:p w14:paraId="12C50BF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343.83 (298.35–470.25)</w:t>
            </w:r>
          </w:p>
        </w:tc>
        <w:tc>
          <w:tcPr>
            <w:tcW w:w="972" w:type="dxa"/>
            <w:noWrap/>
            <w:hideMark/>
          </w:tcPr>
          <w:p w14:paraId="2C683E2C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754 (515–1202)</w:t>
            </w:r>
          </w:p>
        </w:tc>
        <w:tc>
          <w:tcPr>
            <w:tcW w:w="1052" w:type="dxa"/>
            <w:noWrap/>
            <w:hideMark/>
          </w:tcPr>
          <w:p w14:paraId="3625F01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7735.68 (0.01–145435.1)</w:t>
            </w:r>
          </w:p>
        </w:tc>
        <w:tc>
          <w:tcPr>
            <w:tcW w:w="959" w:type="dxa"/>
            <w:noWrap/>
            <w:hideMark/>
          </w:tcPr>
          <w:p w14:paraId="687918A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1635.11 (1536.37–1789)</w:t>
            </w:r>
          </w:p>
        </w:tc>
        <w:tc>
          <w:tcPr>
            <w:tcW w:w="959" w:type="dxa"/>
            <w:noWrap/>
            <w:hideMark/>
          </w:tcPr>
          <w:p w14:paraId="08B34DC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1056.99 (1013–1108.87)</w:t>
            </w:r>
          </w:p>
        </w:tc>
        <w:tc>
          <w:tcPr>
            <w:tcW w:w="755" w:type="dxa"/>
            <w:noWrap/>
            <w:hideMark/>
          </w:tcPr>
          <w:p w14:paraId="61BCA5D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30.3 (27.6–32.59)</w:t>
            </w:r>
          </w:p>
        </w:tc>
        <w:tc>
          <w:tcPr>
            <w:tcW w:w="901" w:type="dxa"/>
            <w:noWrap/>
            <w:hideMark/>
          </w:tcPr>
          <w:p w14:paraId="1D32DFF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9.04 (6.6–11.2)</w:t>
            </w:r>
          </w:p>
        </w:tc>
      </w:tr>
      <w:tr w:rsidR="00434145" w:rsidRPr="00434145" w14:paraId="79BC7CEF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2E295BF2" w14:textId="77777777" w:rsidR="00434145" w:rsidRPr="00434145" w:rsidRDefault="00434145" w:rsidP="00434145">
            <w:pPr>
              <w:rPr>
                <w:rFonts w:cs="Times New Roman"/>
                <w:sz w:val="18"/>
                <w:szCs w:val="18"/>
              </w:rPr>
            </w:pPr>
            <w:r w:rsidRPr="00434145">
              <w:rPr>
                <w:rFonts w:cs="Times New Roman"/>
                <w:sz w:val="18"/>
                <w:szCs w:val="18"/>
              </w:rPr>
              <w:t>Napo</w:t>
            </w:r>
          </w:p>
        </w:tc>
        <w:tc>
          <w:tcPr>
            <w:tcW w:w="734" w:type="dxa"/>
            <w:noWrap/>
            <w:hideMark/>
          </w:tcPr>
          <w:p w14:paraId="03B90BA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5.31 (5.06–5.62)</w:t>
            </w:r>
          </w:p>
        </w:tc>
        <w:tc>
          <w:tcPr>
            <w:tcW w:w="1073" w:type="dxa"/>
            <w:noWrap/>
            <w:hideMark/>
          </w:tcPr>
          <w:p w14:paraId="6D0032F2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1591.02 (1211.65–1868.93)</w:t>
            </w:r>
          </w:p>
        </w:tc>
        <w:tc>
          <w:tcPr>
            <w:tcW w:w="959" w:type="dxa"/>
            <w:noWrap/>
            <w:hideMark/>
          </w:tcPr>
          <w:p w14:paraId="3BAF59B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946.35 (682.81–1164.45)</w:t>
            </w:r>
          </w:p>
        </w:tc>
        <w:tc>
          <w:tcPr>
            <w:tcW w:w="972" w:type="dxa"/>
            <w:noWrap/>
            <w:hideMark/>
          </w:tcPr>
          <w:p w14:paraId="511269D2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2921 (1701–3993)</w:t>
            </w:r>
          </w:p>
        </w:tc>
        <w:tc>
          <w:tcPr>
            <w:tcW w:w="1052" w:type="dxa"/>
            <w:noWrap/>
            <w:hideMark/>
          </w:tcPr>
          <w:p w14:paraId="4A72860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99.85 (1.17–483.89)</w:t>
            </w:r>
          </w:p>
        </w:tc>
        <w:tc>
          <w:tcPr>
            <w:tcW w:w="959" w:type="dxa"/>
            <w:noWrap/>
            <w:hideMark/>
          </w:tcPr>
          <w:p w14:paraId="268D04E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1269.44 (909.7–1831.63)</w:t>
            </w:r>
          </w:p>
        </w:tc>
        <w:tc>
          <w:tcPr>
            <w:tcW w:w="959" w:type="dxa"/>
            <w:noWrap/>
            <w:hideMark/>
          </w:tcPr>
          <w:p w14:paraId="0B02C308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715.04 (625.97–881)</w:t>
            </w:r>
          </w:p>
        </w:tc>
        <w:tc>
          <w:tcPr>
            <w:tcW w:w="755" w:type="dxa"/>
            <w:noWrap/>
            <w:hideMark/>
          </w:tcPr>
          <w:p w14:paraId="0400AF9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14.88 (10.53–22.28)</w:t>
            </w:r>
          </w:p>
        </w:tc>
        <w:tc>
          <w:tcPr>
            <w:tcW w:w="901" w:type="dxa"/>
            <w:noWrap/>
            <w:hideMark/>
          </w:tcPr>
          <w:p w14:paraId="295D4212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4.55 (1.48–9.63)</w:t>
            </w:r>
          </w:p>
        </w:tc>
      </w:tr>
      <w:tr w:rsidR="00434145" w:rsidRPr="00434145" w14:paraId="43D1363E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4F11D934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Araguari</w:t>
            </w:r>
          </w:p>
        </w:tc>
        <w:tc>
          <w:tcPr>
            <w:tcW w:w="734" w:type="dxa"/>
            <w:noWrap/>
            <w:hideMark/>
          </w:tcPr>
          <w:p w14:paraId="7AC68DC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5.24 (5.17–5.31)</w:t>
            </w:r>
          </w:p>
        </w:tc>
        <w:tc>
          <w:tcPr>
            <w:tcW w:w="1073" w:type="dxa"/>
            <w:noWrap/>
            <w:hideMark/>
          </w:tcPr>
          <w:p w14:paraId="2E3B29F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319.45 (212.21–482.26)</w:t>
            </w:r>
          </w:p>
        </w:tc>
        <w:tc>
          <w:tcPr>
            <w:tcW w:w="959" w:type="dxa"/>
            <w:noWrap/>
            <w:hideMark/>
          </w:tcPr>
          <w:p w14:paraId="2EC50A8C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187.31 (151.12–236.83)</w:t>
            </w:r>
          </w:p>
        </w:tc>
        <w:tc>
          <w:tcPr>
            <w:tcW w:w="972" w:type="dxa"/>
            <w:noWrap/>
            <w:hideMark/>
          </w:tcPr>
          <w:p w14:paraId="58326A5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901 (840–967)</w:t>
            </w:r>
          </w:p>
        </w:tc>
        <w:tc>
          <w:tcPr>
            <w:tcW w:w="1052" w:type="dxa"/>
            <w:noWrap/>
            <w:hideMark/>
          </w:tcPr>
          <w:p w14:paraId="2126380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11 (1.34–50.78)</w:t>
            </w:r>
          </w:p>
        </w:tc>
        <w:tc>
          <w:tcPr>
            <w:tcW w:w="959" w:type="dxa"/>
            <w:noWrap/>
            <w:hideMark/>
          </w:tcPr>
          <w:p w14:paraId="5240A67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1609.46 (1581.93–1656.33)</w:t>
            </w:r>
          </w:p>
        </w:tc>
        <w:tc>
          <w:tcPr>
            <w:tcW w:w="959" w:type="dxa"/>
            <w:noWrap/>
            <w:hideMark/>
          </w:tcPr>
          <w:p w14:paraId="153EB3A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877.42 (866.57–891.17)</w:t>
            </w:r>
          </w:p>
        </w:tc>
        <w:tc>
          <w:tcPr>
            <w:tcW w:w="755" w:type="dxa"/>
            <w:noWrap/>
            <w:hideMark/>
          </w:tcPr>
          <w:p w14:paraId="217E6BF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27.63 (27.17–28.09)</w:t>
            </w:r>
          </w:p>
        </w:tc>
        <w:tc>
          <w:tcPr>
            <w:tcW w:w="901" w:type="dxa"/>
            <w:noWrap/>
            <w:hideMark/>
          </w:tcPr>
          <w:p w14:paraId="0A002D2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10.92 (10.36–11.36)</w:t>
            </w:r>
          </w:p>
        </w:tc>
      </w:tr>
      <w:tr w:rsidR="00434145" w:rsidRPr="00434145" w14:paraId="029DD894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4C1AB2C7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Orinoco</w:t>
            </w:r>
          </w:p>
        </w:tc>
        <w:tc>
          <w:tcPr>
            <w:tcW w:w="734" w:type="dxa"/>
            <w:noWrap/>
            <w:hideMark/>
          </w:tcPr>
          <w:p w14:paraId="3749565C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5.12 (4.8–5.56)</w:t>
            </w:r>
          </w:p>
        </w:tc>
        <w:tc>
          <w:tcPr>
            <w:tcW w:w="1073" w:type="dxa"/>
            <w:noWrap/>
            <w:hideMark/>
          </w:tcPr>
          <w:p w14:paraId="1382C7A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851 (385.82–1231.27)</w:t>
            </w:r>
          </w:p>
        </w:tc>
        <w:tc>
          <w:tcPr>
            <w:tcW w:w="959" w:type="dxa"/>
            <w:noWrap/>
            <w:hideMark/>
          </w:tcPr>
          <w:p w14:paraId="1B31853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498.79 (301.67–751.57)</w:t>
            </w:r>
          </w:p>
        </w:tc>
        <w:tc>
          <w:tcPr>
            <w:tcW w:w="972" w:type="dxa"/>
            <w:noWrap/>
            <w:hideMark/>
          </w:tcPr>
          <w:p w14:paraId="55D16AD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1363 (204–3337)</w:t>
            </w:r>
          </w:p>
        </w:tc>
        <w:tc>
          <w:tcPr>
            <w:tcW w:w="1052" w:type="dxa"/>
            <w:noWrap/>
            <w:hideMark/>
          </w:tcPr>
          <w:p w14:paraId="5DFDD490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19.1 (0.39–89.73)</w:t>
            </w:r>
          </w:p>
        </w:tc>
        <w:tc>
          <w:tcPr>
            <w:tcW w:w="959" w:type="dxa"/>
            <w:noWrap/>
            <w:hideMark/>
          </w:tcPr>
          <w:p w14:paraId="6DD0733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2929.27 (1572.9–4113.9)</w:t>
            </w:r>
          </w:p>
        </w:tc>
        <w:tc>
          <w:tcPr>
            <w:tcW w:w="959" w:type="dxa"/>
            <w:noWrap/>
            <w:hideMark/>
          </w:tcPr>
          <w:p w14:paraId="70E0520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1086.68 (842.1–1212.7)</w:t>
            </w:r>
          </w:p>
        </w:tc>
        <w:tc>
          <w:tcPr>
            <w:tcW w:w="755" w:type="dxa"/>
            <w:noWrap/>
            <w:hideMark/>
          </w:tcPr>
          <w:p w14:paraId="68B7C2F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25.55 (12.82–35.35)</w:t>
            </w:r>
          </w:p>
        </w:tc>
        <w:tc>
          <w:tcPr>
            <w:tcW w:w="901" w:type="dxa"/>
            <w:noWrap/>
            <w:hideMark/>
          </w:tcPr>
          <w:p w14:paraId="6CBF514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14.53 (3.87–22.85)</w:t>
            </w:r>
          </w:p>
        </w:tc>
      </w:tr>
      <w:tr w:rsidR="00434145" w:rsidRPr="00434145" w14:paraId="6B4E1B52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7C8A59D6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Paranapanema</w:t>
            </w:r>
          </w:p>
        </w:tc>
        <w:tc>
          <w:tcPr>
            <w:tcW w:w="734" w:type="dxa"/>
            <w:noWrap/>
            <w:hideMark/>
          </w:tcPr>
          <w:p w14:paraId="62A5702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4.92 (4.65–5.16)</w:t>
            </w:r>
          </w:p>
        </w:tc>
        <w:tc>
          <w:tcPr>
            <w:tcW w:w="1073" w:type="dxa"/>
            <w:noWrap/>
            <w:hideMark/>
          </w:tcPr>
          <w:p w14:paraId="7FCCCAC1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557.39 (374.23–702)</w:t>
            </w:r>
          </w:p>
        </w:tc>
        <w:tc>
          <w:tcPr>
            <w:tcW w:w="959" w:type="dxa"/>
            <w:noWrap/>
            <w:hideMark/>
          </w:tcPr>
          <w:p w14:paraId="6E8B439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362.61 (286.32–452.2)</w:t>
            </w:r>
          </w:p>
        </w:tc>
        <w:tc>
          <w:tcPr>
            <w:tcW w:w="972" w:type="dxa"/>
            <w:noWrap/>
            <w:hideMark/>
          </w:tcPr>
          <w:p w14:paraId="6FAD3D9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765 (638–977)</w:t>
            </w:r>
          </w:p>
        </w:tc>
        <w:tc>
          <w:tcPr>
            <w:tcW w:w="1052" w:type="dxa"/>
            <w:noWrap/>
            <w:hideMark/>
          </w:tcPr>
          <w:p w14:paraId="6420B12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6.03 (0.2–56.28)</w:t>
            </w:r>
          </w:p>
        </w:tc>
        <w:tc>
          <w:tcPr>
            <w:tcW w:w="959" w:type="dxa"/>
            <w:noWrap/>
            <w:hideMark/>
          </w:tcPr>
          <w:p w14:paraId="553A1E22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1476.5 (1309.7–1823.6)</w:t>
            </w:r>
          </w:p>
        </w:tc>
        <w:tc>
          <w:tcPr>
            <w:tcW w:w="959" w:type="dxa"/>
            <w:noWrap/>
            <w:hideMark/>
          </w:tcPr>
          <w:p w14:paraId="31A2D1D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877.8 (861.6–913.8)</w:t>
            </w:r>
          </w:p>
        </w:tc>
        <w:tc>
          <w:tcPr>
            <w:tcW w:w="755" w:type="dxa"/>
            <w:noWrap/>
            <w:hideMark/>
          </w:tcPr>
          <w:p w14:paraId="4E584C7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26.25 (24.61–27.38)</w:t>
            </w:r>
          </w:p>
        </w:tc>
        <w:tc>
          <w:tcPr>
            <w:tcW w:w="901" w:type="dxa"/>
            <w:noWrap/>
            <w:hideMark/>
          </w:tcPr>
          <w:p w14:paraId="2C7A4FA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8.13 (7.2–8.84)</w:t>
            </w:r>
          </w:p>
        </w:tc>
      </w:tr>
      <w:tr w:rsidR="00434145" w:rsidRPr="00434145" w14:paraId="3569C331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2E7B0357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  <w:lang w:val="en-US"/>
              </w:rPr>
              <w:t>Qiantang</w:t>
            </w:r>
          </w:p>
        </w:tc>
        <w:tc>
          <w:tcPr>
            <w:tcW w:w="734" w:type="dxa"/>
            <w:noWrap/>
            <w:hideMark/>
          </w:tcPr>
          <w:p w14:paraId="403BDF78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5.67 (5.38–6.11)</w:t>
            </w:r>
          </w:p>
        </w:tc>
        <w:tc>
          <w:tcPr>
            <w:tcW w:w="1073" w:type="dxa"/>
            <w:noWrap/>
            <w:hideMark/>
          </w:tcPr>
          <w:p w14:paraId="53F8E7A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313.34 (179.51–590.32)</w:t>
            </w:r>
          </w:p>
        </w:tc>
        <w:tc>
          <w:tcPr>
            <w:tcW w:w="959" w:type="dxa"/>
            <w:noWrap/>
            <w:hideMark/>
          </w:tcPr>
          <w:p w14:paraId="0EDB71B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277.91 (178.8–418.33)</w:t>
            </w:r>
          </w:p>
        </w:tc>
        <w:tc>
          <w:tcPr>
            <w:tcW w:w="972" w:type="dxa"/>
            <w:noWrap/>
            <w:hideMark/>
          </w:tcPr>
          <w:p w14:paraId="13A766D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85 (35–210)</w:t>
            </w:r>
          </w:p>
        </w:tc>
        <w:tc>
          <w:tcPr>
            <w:tcW w:w="1052" w:type="dxa"/>
            <w:noWrap/>
            <w:hideMark/>
          </w:tcPr>
          <w:p w14:paraId="1820C6E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82.88 (0.13–1261.34)</w:t>
            </w:r>
          </w:p>
        </w:tc>
        <w:tc>
          <w:tcPr>
            <w:tcW w:w="959" w:type="dxa"/>
            <w:noWrap/>
            <w:hideMark/>
          </w:tcPr>
          <w:p w14:paraId="3C7C723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1501.54 (1404.6–1657.53)</w:t>
            </w:r>
          </w:p>
        </w:tc>
        <w:tc>
          <w:tcPr>
            <w:tcW w:w="959" w:type="dxa"/>
            <w:noWrap/>
            <w:hideMark/>
          </w:tcPr>
          <w:p w14:paraId="0D36E5C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956.9 (924.83–970.2)</w:t>
            </w:r>
          </w:p>
        </w:tc>
        <w:tc>
          <w:tcPr>
            <w:tcW w:w="755" w:type="dxa"/>
            <w:noWrap/>
            <w:hideMark/>
          </w:tcPr>
          <w:p w14:paraId="0E19BA72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33.25 (30.79–33.84)</w:t>
            </w:r>
          </w:p>
        </w:tc>
        <w:tc>
          <w:tcPr>
            <w:tcW w:w="901" w:type="dxa"/>
            <w:noWrap/>
            <w:hideMark/>
          </w:tcPr>
          <w:p w14:paraId="0C124EE8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1.92 (-0.25–2.69)</w:t>
            </w:r>
          </w:p>
        </w:tc>
      </w:tr>
      <w:tr w:rsidR="00434145" w:rsidRPr="00434145" w14:paraId="10366C2A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35720F62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Rhine</w:t>
            </w:r>
          </w:p>
        </w:tc>
        <w:tc>
          <w:tcPr>
            <w:tcW w:w="734" w:type="dxa"/>
            <w:noWrap/>
            <w:hideMark/>
          </w:tcPr>
          <w:p w14:paraId="73C5019C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5.65 (5.03–7.06)</w:t>
            </w:r>
          </w:p>
        </w:tc>
        <w:tc>
          <w:tcPr>
            <w:tcW w:w="1073" w:type="dxa"/>
            <w:noWrap/>
            <w:hideMark/>
          </w:tcPr>
          <w:p w14:paraId="67DBA3CC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810.65 (462.48–1119.54)</w:t>
            </w:r>
          </w:p>
        </w:tc>
        <w:tc>
          <w:tcPr>
            <w:tcW w:w="959" w:type="dxa"/>
            <w:noWrap/>
            <w:hideMark/>
          </w:tcPr>
          <w:p w14:paraId="7027B920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659.86 (586.78–722.93)</w:t>
            </w:r>
          </w:p>
        </w:tc>
        <w:tc>
          <w:tcPr>
            <w:tcW w:w="972" w:type="dxa"/>
            <w:noWrap/>
            <w:hideMark/>
          </w:tcPr>
          <w:p w14:paraId="3EF5EFA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200 (148–342)</w:t>
            </w:r>
          </w:p>
        </w:tc>
        <w:tc>
          <w:tcPr>
            <w:tcW w:w="1052" w:type="dxa"/>
            <w:noWrap/>
            <w:hideMark/>
          </w:tcPr>
          <w:p w14:paraId="7BF8547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34.93 (0.08–282.44)</w:t>
            </w:r>
          </w:p>
        </w:tc>
        <w:tc>
          <w:tcPr>
            <w:tcW w:w="959" w:type="dxa"/>
            <w:noWrap/>
            <w:hideMark/>
          </w:tcPr>
          <w:p w14:paraId="00CCBE1C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766.91 (618.07–940.7)</w:t>
            </w:r>
          </w:p>
        </w:tc>
        <w:tc>
          <w:tcPr>
            <w:tcW w:w="959" w:type="dxa"/>
            <w:noWrap/>
            <w:hideMark/>
          </w:tcPr>
          <w:p w14:paraId="49A5F53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520.89 (476.3–580.37)</w:t>
            </w:r>
          </w:p>
        </w:tc>
        <w:tc>
          <w:tcPr>
            <w:tcW w:w="755" w:type="dxa"/>
            <w:noWrap/>
            <w:hideMark/>
          </w:tcPr>
          <w:p w14:paraId="7EBE006C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24.24 (23–25.67)</w:t>
            </w:r>
          </w:p>
        </w:tc>
        <w:tc>
          <w:tcPr>
            <w:tcW w:w="901" w:type="dxa"/>
            <w:noWrap/>
            <w:hideMark/>
          </w:tcPr>
          <w:p w14:paraId="5A231DA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-1.53 (-2.17–-1)</w:t>
            </w:r>
          </w:p>
        </w:tc>
      </w:tr>
      <w:tr w:rsidR="00434145" w:rsidRPr="00434145" w14:paraId="5B871C6C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12E03378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Amazon</w:t>
            </w:r>
          </w:p>
        </w:tc>
        <w:tc>
          <w:tcPr>
            <w:tcW w:w="734" w:type="dxa"/>
            <w:noWrap/>
            <w:hideMark/>
          </w:tcPr>
          <w:p w14:paraId="3E233C8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4.38 (4.01–4.91)</w:t>
            </w:r>
          </w:p>
        </w:tc>
        <w:tc>
          <w:tcPr>
            <w:tcW w:w="1073" w:type="dxa"/>
            <w:noWrap/>
            <w:hideMark/>
          </w:tcPr>
          <w:p w14:paraId="68D5571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308.18 (285.82–373.66)</w:t>
            </w:r>
          </w:p>
        </w:tc>
        <w:tc>
          <w:tcPr>
            <w:tcW w:w="959" w:type="dxa"/>
            <w:noWrap/>
            <w:hideMark/>
          </w:tcPr>
          <w:p w14:paraId="5B7ADD9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240.56 (209.5–262.77)</w:t>
            </w:r>
          </w:p>
        </w:tc>
        <w:tc>
          <w:tcPr>
            <w:tcW w:w="972" w:type="dxa"/>
            <w:noWrap/>
            <w:hideMark/>
          </w:tcPr>
          <w:p w14:paraId="13944B6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72 (17–123)</w:t>
            </w:r>
          </w:p>
        </w:tc>
        <w:tc>
          <w:tcPr>
            <w:tcW w:w="1052" w:type="dxa"/>
            <w:noWrap/>
            <w:hideMark/>
          </w:tcPr>
          <w:p w14:paraId="3B1D0B21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32.56 (0.43–242.11)</w:t>
            </w:r>
          </w:p>
        </w:tc>
        <w:tc>
          <w:tcPr>
            <w:tcW w:w="959" w:type="dxa"/>
            <w:noWrap/>
            <w:hideMark/>
          </w:tcPr>
          <w:p w14:paraId="6440B59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1855.71 (1753.17–1934.93)</w:t>
            </w:r>
          </w:p>
        </w:tc>
        <w:tc>
          <w:tcPr>
            <w:tcW w:w="959" w:type="dxa"/>
            <w:noWrap/>
            <w:hideMark/>
          </w:tcPr>
          <w:p w14:paraId="21847D4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1004.9 (991.3–1022)</w:t>
            </w:r>
          </w:p>
        </w:tc>
        <w:tc>
          <w:tcPr>
            <w:tcW w:w="755" w:type="dxa"/>
            <w:noWrap/>
            <w:hideMark/>
          </w:tcPr>
          <w:p w14:paraId="72C7424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32.45 (32.19–32.81)</w:t>
            </w:r>
          </w:p>
        </w:tc>
        <w:tc>
          <w:tcPr>
            <w:tcW w:w="901" w:type="dxa"/>
            <w:noWrap/>
            <w:hideMark/>
          </w:tcPr>
          <w:p w14:paraId="6146285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20.31 (19.97–21.03)</w:t>
            </w:r>
          </w:p>
        </w:tc>
      </w:tr>
      <w:tr w:rsidR="00434145" w:rsidRPr="00434145" w14:paraId="06387B48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695A549E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  <w:lang w:val="en-US"/>
              </w:rPr>
              <w:t>Saône</w:t>
            </w:r>
          </w:p>
        </w:tc>
        <w:tc>
          <w:tcPr>
            <w:tcW w:w="734" w:type="dxa"/>
            <w:noWrap/>
            <w:hideMark/>
          </w:tcPr>
          <w:p w14:paraId="496D1521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5.97 (5.4–6.4)</w:t>
            </w:r>
          </w:p>
        </w:tc>
        <w:tc>
          <w:tcPr>
            <w:tcW w:w="1073" w:type="dxa"/>
            <w:noWrap/>
            <w:hideMark/>
          </w:tcPr>
          <w:p w14:paraId="78D063C2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752.56 (441.5–1064.42)</w:t>
            </w:r>
          </w:p>
        </w:tc>
        <w:tc>
          <w:tcPr>
            <w:tcW w:w="959" w:type="dxa"/>
            <w:noWrap/>
            <w:hideMark/>
          </w:tcPr>
          <w:p w14:paraId="6D90025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665.67 (618.5–735.11)</w:t>
            </w:r>
          </w:p>
        </w:tc>
        <w:tc>
          <w:tcPr>
            <w:tcW w:w="972" w:type="dxa"/>
            <w:noWrap/>
            <w:hideMark/>
          </w:tcPr>
          <w:p w14:paraId="48B676A2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231 (189–426)</w:t>
            </w:r>
          </w:p>
        </w:tc>
        <w:tc>
          <w:tcPr>
            <w:tcW w:w="1052" w:type="dxa"/>
            <w:noWrap/>
            <w:hideMark/>
          </w:tcPr>
          <w:p w14:paraId="1AF1F32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335.73 (0.12–1875.15)</w:t>
            </w:r>
          </w:p>
        </w:tc>
        <w:tc>
          <w:tcPr>
            <w:tcW w:w="959" w:type="dxa"/>
            <w:noWrap/>
            <w:hideMark/>
          </w:tcPr>
          <w:p w14:paraId="4F09F1E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995.72 (866.73–1154.83)</w:t>
            </w:r>
          </w:p>
        </w:tc>
        <w:tc>
          <w:tcPr>
            <w:tcW w:w="959" w:type="dxa"/>
            <w:noWrap/>
            <w:hideMark/>
          </w:tcPr>
          <w:p w14:paraId="4B917FA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603.97 (570.3–639.03)</w:t>
            </w:r>
          </w:p>
        </w:tc>
        <w:tc>
          <w:tcPr>
            <w:tcW w:w="755" w:type="dxa"/>
            <w:noWrap/>
            <w:hideMark/>
          </w:tcPr>
          <w:p w14:paraId="27DC3DD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25.33 (23.43–25.7)</w:t>
            </w:r>
          </w:p>
        </w:tc>
        <w:tc>
          <w:tcPr>
            <w:tcW w:w="901" w:type="dxa"/>
            <w:noWrap/>
            <w:hideMark/>
          </w:tcPr>
          <w:p w14:paraId="473CE560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-1.15 (-2.63–-0.62)</w:t>
            </w:r>
          </w:p>
        </w:tc>
      </w:tr>
      <w:tr w:rsidR="00434145" w:rsidRPr="00434145" w14:paraId="71933A98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3FDE1FBF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proofErr w:type="spellStart"/>
            <w:r w:rsidRPr="00434145">
              <w:rPr>
                <w:rFonts w:cs="Times New Roman"/>
                <w:b/>
                <w:bCs/>
                <w:sz w:val="18"/>
                <w:szCs w:val="18"/>
                <w:lang w:val="en-US"/>
              </w:rPr>
              <w:t>Paranaíba</w:t>
            </w:r>
            <w:proofErr w:type="spellEnd"/>
          </w:p>
        </w:tc>
        <w:tc>
          <w:tcPr>
            <w:tcW w:w="734" w:type="dxa"/>
            <w:noWrap/>
            <w:hideMark/>
          </w:tcPr>
          <w:p w14:paraId="4774AAC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5.47 (5.35–5.57)</w:t>
            </w:r>
          </w:p>
        </w:tc>
        <w:tc>
          <w:tcPr>
            <w:tcW w:w="1073" w:type="dxa"/>
            <w:noWrap/>
            <w:hideMark/>
          </w:tcPr>
          <w:p w14:paraId="61C80CE0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206.64 (178.11–235.52)</w:t>
            </w:r>
          </w:p>
        </w:tc>
        <w:tc>
          <w:tcPr>
            <w:tcW w:w="959" w:type="dxa"/>
            <w:noWrap/>
            <w:hideMark/>
          </w:tcPr>
          <w:p w14:paraId="52A2C7E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152.73 (132.32–170.62)</w:t>
            </w:r>
          </w:p>
        </w:tc>
        <w:tc>
          <w:tcPr>
            <w:tcW w:w="972" w:type="dxa"/>
            <w:noWrap/>
            <w:hideMark/>
          </w:tcPr>
          <w:p w14:paraId="49DB397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475 (405–602)</w:t>
            </w:r>
          </w:p>
        </w:tc>
        <w:tc>
          <w:tcPr>
            <w:tcW w:w="1052" w:type="dxa"/>
            <w:noWrap/>
            <w:hideMark/>
          </w:tcPr>
          <w:p w14:paraId="7A394B12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30.59 (0.2–79.5)</w:t>
            </w:r>
          </w:p>
        </w:tc>
        <w:tc>
          <w:tcPr>
            <w:tcW w:w="959" w:type="dxa"/>
            <w:noWrap/>
            <w:hideMark/>
          </w:tcPr>
          <w:p w14:paraId="0301E981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1501.22 (1427.97–1573.37)</w:t>
            </w:r>
          </w:p>
        </w:tc>
        <w:tc>
          <w:tcPr>
            <w:tcW w:w="959" w:type="dxa"/>
            <w:noWrap/>
            <w:hideMark/>
          </w:tcPr>
          <w:p w14:paraId="7B67A5F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934.63 (920.1–951.7)</w:t>
            </w:r>
          </w:p>
        </w:tc>
        <w:tc>
          <w:tcPr>
            <w:tcW w:w="755" w:type="dxa"/>
            <w:noWrap/>
            <w:hideMark/>
          </w:tcPr>
          <w:p w14:paraId="525800F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31.15 (30.53–31.76)</w:t>
            </w:r>
          </w:p>
        </w:tc>
        <w:tc>
          <w:tcPr>
            <w:tcW w:w="901" w:type="dxa"/>
            <w:noWrap/>
            <w:hideMark/>
          </w:tcPr>
          <w:p w14:paraId="15296EF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13.39 (12.59–14.12)</w:t>
            </w:r>
          </w:p>
        </w:tc>
      </w:tr>
      <w:tr w:rsidR="00434145" w:rsidRPr="00434145" w14:paraId="579D6D3F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383BC7E3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Segura</w:t>
            </w:r>
          </w:p>
        </w:tc>
        <w:tc>
          <w:tcPr>
            <w:tcW w:w="734" w:type="dxa"/>
            <w:noWrap/>
            <w:hideMark/>
          </w:tcPr>
          <w:p w14:paraId="6870343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7.39 (6.58–7.9)</w:t>
            </w:r>
          </w:p>
        </w:tc>
        <w:tc>
          <w:tcPr>
            <w:tcW w:w="1073" w:type="dxa"/>
            <w:noWrap/>
            <w:hideMark/>
          </w:tcPr>
          <w:p w14:paraId="33911421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371.2 (188–673.88)</w:t>
            </w:r>
          </w:p>
        </w:tc>
        <w:tc>
          <w:tcPr>
            <w:tcW w:w="959" w:type="dxa"/>
            <w:noWrap/>
            <w:hideMark/>
          </w:tcPr>
          <w:p w14:paraId="5FBDF52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297.21 (180.99–466.14)</w:t>
            </w:r>
          </w:p>
        </w:tc>
        <w:tc>
          <w:tcPr>
            <w:tcW w:w="972" w:type="dxa"/>
            <w:noWrap/>
            <w:hideMark/>
          </w:tcPr>
          <w:p w14:paraId="1572B7B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536 (7–1160)</w:t>
            </w:r>
          </w:p>
        </w:tc>
        <w:tc>
          <w:tcPr>
            <w:tcW w:w="1052" w:type="dxa"/>
            <w:noWrap/>
            <w:hideMark/>
          </w:tcPr>
          <w:p w14:paraId="6CFF3D40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2068.11 (0.04–10849.55)</w:t>
            </w:r>
          </w:p>
        </w:tc>
        <w:tc>
          <w:tcPr>
            <w:tcW w:w="959" w:type="dxa"/>
            <w:noWrap/>
            <w:hideMark/>
          </w:tcPr>
          <w:p w14:paraId="16DDA28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372.2 (284.1–547.9)</w:t>
            </w:r>
          </w:p>
        </w:tc>
        <w:tc>
          <w:tcPr>
            <w:tcW w:w="959" w:type="dxa"/>
            <w:noWrap/>
            <w:hideMark/>
          </w:tcPr>
          <w:p w14:paraId="4FB2076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344.75 (269.83–473.2)</w:t>
            </w:r>
          </w:p>
        </w:tc>
        <w:tc>
          <w:tcPr>
            <w:tcW w:w="755" w:type="dxa"/>
            <w:noWrap/>
            <w:hideMark/>
          </w:tcPr>
          <w:p w14:paraId="7BD3419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32.76 (30.55–33.93)</w:t>
            </w:r>
          </w:p>
        </w:tc>
        <w:tc>
          <w:tcPr>
            <w:tcW w:w="901" w:type="dxa"/>
            <w:noWrap/>
            <w:hideMark/>
          </w:tcPr>
          <w:p w14:paraId="72879CF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1.72 (-2.95–6.22)</w:t>
            </w:r>
          </w:p>
        </w:tc>
      </w:tr>
      <w:tr w:rsidR="00434145" w:rsidRPr="00434145" w14:paraId="1417DF55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4D74E8AC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  <w:lang w:val="en-US"/>
              </w:rPr>
              <w:t xml:space="preserve">Southern Morava </w:t>
            </w:r>
          </w:p>
        </w:tc>
        <w:tc>
          <w:tcPr>
            <w:tcW w:w="734" w:type="dxa"/>
            <w:noWrap/>
            <w:hideMark/>
          </w:tcPr>
          <w:p w14:paraId="190EDFB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6.3 (5.98–6.75)</w:t>
            </w:r>
          </w:p>
        </w:tc>
        <w:tc>
          <w:tcPr>
            <w:tcW w:w="1073" w:type="dxa"/>
            <w:noWrap/>
            <w:hideMark/>
          </w:tcPr>
          <w:p w14:paraId="6AA8F8B2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582.88 (373.33–805.05)</w:t>
            </w:r>
          </w:p>
        </w:tc>
        <w:tc>
          <w:tcPr>
            <w:tcW w:w="959" w:type="dxa"/>
            <w:noWrap/>
            <w:hideMark/>
          </w:tcPr>
          <w:p w14:paraId="6F59AB9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577 (365.5–835.67)</w:t>
            </w:r>
          </w:p>
        </w:tc>
        <w:tc>
          <w:tcPr>
            <w:tcW w:w="972" w:type="dxa"/>
            <w:noWrap/>
            <w:hideMark/>
          </w:tcPr>
          <w:p w14:paraId="5E1995E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401 (150–1264)</w:t>
            </w:r>
          </w:p>
        </w:tc>
        <w:tc>
          <w:tcPr>
            <w:tcW w:w="1052" w:type="dxa"/>
            <w:noWrap/>
            <w:hideMark/>
          </w:tcPr>
          <w:p w14:paraId="1698A01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1296.98 (0.07–13885)</w:t>
            </w:r>
          </w:p>
        </w:tc>
        <w:tc>
          <w:tcPr>
            <w:tcW w:w="959" w:type="dxa"/>
            <w:noWrap/>
            <w:hideMark/>
          </w:tcPr>
          <w:p w14:paraId="7842CF7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655.96 (613.8–815.03)</w:t>
            </w:r>
          </w:p>
        </w:tc>
        <w:tc>
          <w:tcPr>
            <w:tcW w:w="959" w:type="dxa"/>
            <w:noWrap/>
            <w:hideMark/>
          </w:tcPr>
          <w:p w14:paraId="361E407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558.1 (545.17–598.33)</w:t>
            </w:r>
          </w:p>
        </w:tc>
        <w:tc>
          <w:tcPr>
            <w:tcW w:w="755" w:type="dxa"/>
            <w:noWrap/>
            <w:hideMark/>
          </w:tcPr>
          <w:p w14:paraId="419C7B5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26.95 (22.23–29.23)</w:t>
            </w:r>
          </w:p>
        </w:tc>
        <w:tc>
          <w:tcPr>
            <w:tcW w:w="901" w:type="dxa"/>
            <w:noWrap/>
            <w:hideMark/>
          </w:tcPr>
          <w:p w14:paraId="2B34651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-3.73 (-6.11–-2.45)</w:t>
            </w:r>
          </w:p>
        </w:tc>
      </w:tr>
      <w:tr w:rsidR="00434145" w:rsidRPr="00434145" w14:paraId="7A2047FF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72DF7287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  <w:lang w:val="en-US"/>
              </w:rPr>
              <w:t xml:space="preserve">South Platte </w:t>
            </w:r>
          </w:p>
        </w:tc>
        <w:tc>
          <w:tcPr>
            <w:tcW w:w="734" w:type="dxa"/>
            <w:noWrap/>
            <w:hideMark/>
          </w:tcPr>
          <w:p w14:paraId="01399D28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5.64 (5–6.49)</w:t>
            </w:r>
          </w:p>
        </w:tc>
        <w:tc>
          <w:tcPr>
            <w:tcW w:w="1073" w:type="dxa"/>
            <w:noWrap/>
            <w:hideMark/>
          </w:tcPr>
          <w:p w14:paraId="1A4EC19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851.54 (566.71–1110.91)</w:t>
            </w:r>
          </w:p>
        </w:tc>
        <w:tc>
          <w:tcPr>
            <w:tcW w:w="959" w:type="dxa"/>
            <w:noWrap/>
            <w:hideMark/>
          </w:tcPr>
          <w:p w14:paraId="5A66020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575.93 (387.69–870)</w:t>
            </w:r>
          </w:p>
        </w:tc>
        <w:tc>
          <w:tcPr>
            <w:tcW w:w="972" w:type="dxa"/>
            <w:noWrap/>
            <w:hideMark/>
          </w:tcPr>
          <w:p w14:paraId="16684D5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2630 (1557–3411)</w:t>
            </w:r>
          </w:p>
        </w:tc>
        <w:tc>
          <w:tcPr>
            <w:tcW w:w="1052" w:type="dxa"/>
            <w:noWrap/>
            <w:hideMark/>
          </w:tcPr>
          <w:p w14:paraId="3A6B40A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39.84 (0.19–279.21)</w:t>
            </w:r>
          </w:p>
        </w:tc>
        <w:tc>
          <w:tcPr>
            <w:tcW w:w="959" w:type="dxa"/>
            <w:noWrap/>
            <w:hideMark/>
          </w:tcPr>
          <w:p w14:paraId="3F9CBFF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525.08 (383.83–693.33)</w:t>
            </w:r>
          </w:p>
        </w:tc>
        <w:tc>
          <w:tcPr>
            <w:tcW w:w="959" w:type="dxa"/>
            <w:noWrap/>
            <w:hideMark/>
          </w:tcPr>
          <w:p w14:paraId="7B7CD9B1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410.79 (361.17–446.1)</w:t>
            </w:r>
          </w:p>
        </w:tc>
        <w:tc>
          <w:tcPr>
            <w:tcW w:w="755" w:type="dxa"/>
            <w:noWrap/>
            <w:hideMark/>
          </w:tcPr>
          <w:p w14:paraId="7FB8444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23.06 (16.93–31.56)</w:t>
            </w:r>
          </w:p>
        </w:tc>
        <w:tc>
          <w:tcPr>
            <w:tcW w:w="901" w:type="dxa"/>
            <w:noWrap/>
            <w:hideMark/>
          </w:tcPr>
          <w:p w14:paraId="5B201DB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-11.85 (-15.07–-7.46)</w:t>
            </w:r>
          </w:p>
        </w:tc>
      </w:tr>
      <w:tr w:rsidR="00434145" w:rsidRPr="00434145" w14:paraId="799ACDFA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4376F806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Teno</w:t>
            </w:r>
          </w:p>
        </w:tc>
        <w:tc>
          <w:tcPr>
            <w:tcW w:w="734" w:type="dxa"/>
            <w:noWrap/>
            <w:hideMark/>
          </w:tcPr>
          <w:p w14:paraId="4615D7B8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5.1 (4.92–5.24)</w:t>
            </w:r>
          </w:p>
        </w:tc>
        <w:tc>
          <w:tcPr>
            <w:tcW w:w="1073" w:type="dxa"/>
            <w:noWrap/>
            <w:hideMark/>
          </w:tcPr>
          <w:p w14:paraId="4F018A01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2056.57 (1888.5–2202.13)</w:t>
            </w:r>
          </w:p>
        </w:tc>
        <w:tc>
          <w:tcPr>
            <w:tcW w:w="959" w:type="dxa"/>
            <w:noWrap/>
            <w:hideMark/>
          </w:tcPr>
          <w:p w14:paraId="0918323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1022.67 (903.23–1140.82)</w:t>
            </w:r>
          </w:p>
        </w:tc>
        <w:tc>
          <w:tcPr>
            <w:tcW w:w="972" w:type="dxa"/>
            <w:noWrap/>
            <w:hideMark/>
          </w:tcPr>
          <w:p w14:paraId="004C1AE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125 (46–214)</w:t>
            </w:r>
          </w:p>
        </w:tc>
        <w:tc>
          <w:tcPr>
            <w:tcW w:w="1052" w:type="dxa"/>
            <w:noWrap/>
            <w:hideMark/>
          </w:tcPr>
          <w:p w14:paraId="02B0504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13.9 (0.03–62.41)</w:t>
            </w:r>
          </w:p>
        </w:tc>
        <w:tc>
          <w:tcPr>
            <w:tcW w:w="959" w:type="dxa"/>
            <w:noWrap/>
            <w:hideMark/>
          </w:tcPr>
          <w:p w14:paraId="41059202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446.09 (418.23–487.2)</w:t>
            </w:r>
          </w:p>
        </w:tc>
        <w:tc>
          <w:tcPr>
            <w:tcW w:w="959" w:type="dxa"/>
            <w:noWrap/>
            <w:hideMark/>
          </w:tcPr>
          <w:p w14:paraId="0DBF3E7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259.53 (253.93–270.57)</w:t>
            </w:r>
          </w:p>
        </w:tc>
        <w:tc>
          <w:tcPr>
            <w:tcW w:w="755" w:type="dxa"/>
            <w:noWrap/>
            <w:hideMark/>
          </w:tcPr>
          <w:p w14:paraId="7CCD314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17.19 (16.39–18.09)</w:t>
            </w:r>
          </w:p>
        </w:tc>
        <w:tc>
          <w:tcPr>
            <w:tcW w:w="901" w:type="dxa"/>
            <w:noWrap/>
            <w:hideMark/>
          </w:tcPr>
          <w:p w14:paraId="66E851E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-18.84 (-20.96–-16.14)</w:t>
            </w:r>
          </w:p>
        </w:tc>
      </w:tr>
      <w:tr w:rsidR="00434145" w:rsidRPr="00434145" w14:paraId="16ACC5D4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42DCDF77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  <w:lang w:val="en-US"/>
              </w:rPr>
              <w:t xml:space="preserve">São Francisco </w:t>
            </w:r>
          </w:p>
        </w:tc>
        <w:tc>
          <w:tcPr>
            <w:tcW w:w="734" w:type="dxa"/>
            <w:noWrap/>
            <w:hideMark/>
          </w:tcPr>
          <w:p w14:paraId="2E75A49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5.45 (5.3–5.56)</w:t>
            </w:r>
          </w:p>
        </w:tc>
        <w:tc>
          <w:tcPr>
            <w:tcW w:w="1073" w:type="dxa"/>
            <w:noWrap/>
            <w:hideMark/>
          </w:tcPr>
          <w:p w14:paraId="7237C57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213.77 (177.17–269.01)</w:t>
            </w:r>
          </w:p>
        </w:tc>
        <w:tc>
          <w:tcPr>
            <w:tcW w:w="959" w:type="dxa"/>
            <w:noWrap/>
            <w:hideMark/>
          </w:tcPr>
          <w:p w14:paraId="60A032B0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161.18 (147.87–185.77)</w:t>
            </w:r>
          </w:p>
        </w:tc>
        <w:tc>
          <w:tcPr>
            <w:tcW w:w="972" w:type="dxa"/>
            <w:noWrap/>
            <w:hideMark/>
          </w:tcPr>
          <w:p w14:paraId="7CC5618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674 (577–822)</w:t>
            </w:r>
          </w:p>
        </w:tc>
        <w:tc>
          <w:tcPr>
            <w:tcW w:w="1052" w:type="dxa"/>
            <w:noWrap/>
            <w:hideMark/>
          </w:tcPr>
          <w:p w14:paraId="3B3B5ED8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38.93 (0.41–165.37)</w:t>
            </w:r>
          </w:p>
        </w:tc>
        <w:tc>
          <w:tcPr>
            <w:tcW w:w="959" w:type="dxa"/>
            <w:noWrap/>
            <w:hideMark/>
          </w:tcPr>
          <w:p w14:paraId="6FB2666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1280.92 (1154.13–1445)</w:t>
            </w:r>
          </w:p>
        </w:tc>
        <w:tc>
          <w:tcPr>
            <w:tcW w:w="959" w:type="dxa"/>
            <w:noWrap/>
            <w:hideMark/>
          </w:tcPr>
          <w:p w14:paraId="2A0F4068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852.38 (814.9–892.9)</w:t>
            </w:r>
          </w:p>
        </w:tc>
        <w:tc>
          <w:tcPr>
            <w:tcW w:w="755" w:type="dxa"/>
            <w:noWrap/>
            <w:hideMark/>
          </w:tcPr>
          <w:p w14:paraId="2626983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29.69 (28.76–30.24)</w:t>
            </w:r>
          </w:p>
        </w:tc>
        <w:tc>
          <w:tcPr>
            <w:tcW w:w="901" w:type="dxa"/>
            <w:noWrap/>
            <w:hideMark/>
          </w:tcPr>
          <w:p w14:paraId="31AB60C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10.63 (9.99–11.46)</w:t>
            </w:r>
          </w:p>
        </w:tc>
      </w:tr>
      <w:tr w:rsidR="00434145" w:rsidRPr="00434145" w14:paraId="7D8F2348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7D2E2270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  <w:lang w:val="en-US"/>
              </w:rPr>
              <w:t xml:space="preserve">Grande River </w:t>
            </w:r>
          </w:p>
        </w:tc>
        <w:tc>
          <w:tcPr>
            <w:tcW w:w="734" w:type="dxa"/>
            <w:noWrap/>
            <w:hideMark/>
          </w:tcPr>
          <w:p w14:paraId="6DEC2D61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5.34 (5.27–5.41)</w:t>
            </w:r>
          </w:p>
        </w:tc>
        <w:tc>
          <w:tcPr>
            <w:tcW w:w="1073" w:type="dxa"/>
            <w:noWrap/>
            <w:hideMark/>
          </w:tcPr>
          <w:p w14:paraId="1895C47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247.01 (199.53–348.93)</w:t>
            </w:r>
          </w:p>
        </w:tc>
        <w:tc>
          <w:tcPr>
            <w:tcW w:w="959" w:type="dxa"/>
            <w:noWrap/>
            <w:hideMark/>
          </w:tcPr>
          <w:p w14:paraId="449F0E8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175.99 (157.31–203.43)</w:t>
            </w:r>
          </w:p>
        </w:tc>
        <w:tc>
          <w:tcPr>
            <w:tcW w:w="972" w:type="dxa"/>
            <w:noWrap/>
            <w:hideMark/>
          </w:tcPr>
          <w:p w14:paraId="24FD3034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614 (522–730)</w:t>
            </w:r>
          </w:p>
        </w:tc>
        <w:tc>
          <w:tcPr>
            <w:tcW w:w="1052" w:type="dxa"/>
            <w:noWrap/>
            <w:hideMark/>
          </w:tcPr>
          <w:p w14:paraId="202F0898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17.84 (0.09–85.12)</w:t>
            </w:r>
          </w:p>
        </w:tc>
        <w:tc>
          <w:tcPr>
            <w:tcW w:w="959" w:type="dxa"/>
            <w:noWrap/>
            <w:hideMark/>
          </w:tcPr>
          <w:p w14:paraId="4769708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1576.89 (1531.47–1621.07)</w:t>
            </w:r>
          </w:p>
        </w:tc>
        <w:tc>
          <w:tcPr>
            <w:tcW w:w="959" w:type="dxa"/>
            <w:noWrap/>
            <w:hideMark/>
          </w:tcPr>
          <w:p w14:paraId="330FE06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912.01 (875.53–944.07)</w:t>
            </w:r>
          </w:p>
        </w:tc>
        <w:tc>
          <w:tcPr>
            <w:tcW w:w="755" w:type="dxa"/>
            <w:noWrap/>
            <w:hideMark/>
          </w:tcPr>
          <w:p w14:paraId="0320FA6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29.34 (28.14–30.43)</w:t>
            </w:r>
          </w:p>
        </w:tc>
        <w:tc>
          <w:tcPr>
            <w:tcW w:w="901" w:type="dxa"/>
            <w:noWrap/>
            <w:hideMark/>
          </w:tcPr>
          <w:p w14:paraId="23332E97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12.05 (11.48–12.46)</w:t>
            </w:r>
          </w:p>
        </w:tc>
      </w:tr>
      <w:tr w:rsidR="00434145" w:rsidRPr="00434145" w14:paraId="0E4172DF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77497C7C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Wei</w:t>
            </w:r>
          </w:p>
        </w:tc>
        <w:tc>
          <w:tcPr>
            <w:tcW w:w="734" w:type="dxa"/>
            <w:noWrap/>
            <w:hideMark/>
          </w:tcPr>
          <w:p w14:paraId="5939A0A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6.71 (6.01–7.71)</w:t>
            </w:r>
          </w:p>
        </w:tc>
        <w:tc>
          <w:tcPr>
            <w:tcW w:w="1073" w:type="dxa"/>
            <w:noWrap/>
            <w:hideMark/>
          </w:tcPr>
          <w:p w14:paraId="12D4E70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476.44 (157.33–775.58)</w:t>
            </w:r>
          </w:p>
        </w:tc>
        <w:tc>
          <w:tcPr>
            <w:tcW w:w="959" w:type="dxa"/>
            <w:noWrap/>
            <w:hideMark/>
          </w:tcPr>
          <w:p w14:paraId="0CAFF8D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337.49 (127–501.99)</w:t>
            </w:r>
          </w:p>
        </w:tc>
        <w:tc>
          <w:tcPr>
            <w:tcW w:w="972" w:type="dxa"/>
            <w:noWrap/>
            <w:hideMark/>
          </w:tcPr>
          <w:p w14:paraId="55EB4A1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760 (368–1278)</w:t>
            </w:r>
          </w:p>
        </w:tc>
        <w:tc>
          <w:tcPr>
            <w:tcW w:w="1052" w:type="dxa"/>
            <w:noWrap/>
            <w:hideMark/>
          </w:tcPr>
          <w:p w14:paraId="3E87493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102.03 (0.12–344.71)</w:t>
            </w:r>
          </w:p>
        </w:tc>
        <w:tc>
          <w:tcPr>
            <w:tcW w:w="959" w:type="dxa"/>
            <w:noWrap/>
            <w:hideMark/>
          </w:tcPr>
          <w:p w14:paraId="670FFD5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684.37 (627.4–767.47)</w:t>
            </w:r>
          </w:p>
        </w:tc>
        <w:tc>
          <w:tcPr>
            <w:tcW w:w="959" w:type="dxa"/>
            <w:noWrap/>
            <w:hideMark/>
          </w:tcPr>
          <w:p w14:paraId="6B78092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602.2 (571.87–624.5)</w:t>
            </w:r>
          </w:p>
        </w:tc>
        <w:tc>
          <w:tcPr>
            <w:tcW w:w="755" w:type="dxa"/>
            <w:noWrap/>
            <w:hideMark/>
          </w:tcPr>
          <w:p w14:paraId="7704806C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28.04 (22.51–31.79)</w:t>
            </w:r>
          </w:p>
        </w:tc>
        <w:tc>
          <w:tcPr>
            <w:tcW w:w="901" w:type="dxa"/>
            <w:noWrap/>
            <w:hideMark/>
          </w:tcPr>
          <w:p w14:paraId="02BFAC4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-5.31 (-6.64–-3.96)</w:t>
            </w:r>
          </w:p>
        </w:tc>
      </w:tr>
      <w:tr w:rsidR="00434145" w:rsidRPr="00434145" w14:paraId="122042A8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7FE07C46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  <w:lang w:val="en-US"/>
              </w:rPr>
              <w:t>Yarlung Tsangbo</w:t>
            </w:r>
          </w:p>
        </w:tc>
        <w:tc>
          <w:tcPr>
            <w:tcW w:w="734" w:type="dxa"/>
            <w:noWrap/>
            <w:hideMark/>
          </w:tcPr>
          <w:p w14:paraId="620C812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6.29 (5.54–7.06)</w:t>
            </w:r>
          </w:p>
        </w:tc>
        <w:tc>
          <w:tcPr>
            <w:tcW w:w="1073" w:type="dxa"/>
            <w:noWrap/>
            <w:hideMark/>
          </w:tcPr>
          <w:p w14:paraId="14C40C4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743.23 (429.96–1020.47)</w:t>
            </w:r>
          </w:p>
        </w:tc>
        <w:tc>
          <w:tcPr>
            <w:tcW w:w="959" w:type="dxa"/>
            <w:noWrap/>
            <w:hideMark/>
          </w:tcPr>
          <w:p w14:paraId="4018392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508.99 (359.44–658.45)</w:t>
            </w:r>
          </w:p>
        </w:tc>
        <w:tc>
          <w:tcPr>
            <w:tcW w:w="972" w:type="dxa"/>
            <w:noWrap/>
            <w:hideMark/>
          </w:tcPr>
          <w:p w14:paraId="7C55E8A1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2019 (594–4201)</w:t>
            </w:r>
          </w:p>
        </w:tc>
        <w:tc>
          <w:tcPr>
            <w:tcW w:w="1052" w:type="dxa"/>
            <w:noWrap/>
            <w:hideMark/>
          </w:tcPr>
          <w:p w14:paraId="06CA69A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25160.37 (0.08–240523.61)</w:t>
            </w:r>
          </w:p>
        </w:tc>
        <w:tc>
          <w:tcPr>
            <w:tcW w:w="959" w:type="dxa"/>
            <w:noWrap/>
            <w:hideMark/>
          </w:tcPr>
          <w:p w14:paraId="1E447E4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1181.29 (445.3–2069.33)</w:t>
            </w:r>
          </w:p>
        </w:tc>
        <w:tc>
          <w:tcPr>
            <w:tcW w:w="959" w:type="dxa"/>
            <w:noWrap/>
            <w:hideMark/>
          </w:tcPr>
          <w:p w14:paraId="44ADCD6D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736.89 (349.47–958.7)</w:t>
            </w:r>
          </w:p>
        </w:tc>
        <w:tc>
          <w:tcPr>
            <w:tcW w:w="755" w:type="dxa"/>
            <w:noWrap/>
            <w:hideMark/>
          </w:tcPr>
          <w:p w14:paraId="5AAEA1B1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22.52 (11.27–29.51)</w:t>
            </w:r>
          </w:p>
        </w:tc>
        <w:tc>
          <w:tcPr>
            <w:tcW w:w="901" w:type="dxa"/>
            <w:noWrap/>
            <w:hideMark/>
          </w:tcPr>
          <w:p w14:paraId="787DEDFF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-5.05 (-20.2–3.45)</w:t>
            </w:r>
          </w:p>
        </w:tc>
      </w:tr>
      <w:tr w:rsidR="00434145" w:rsidRPr="00434145" w14:paraId="59062C2A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7AA9D39C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Yuqu</w:t>
            </w:r>
          </w:p>
        </w:tc>
        <w:tc>
          <w:tcPr>
            <w:tcW w:w="734" w:type="dxa"/>
            <w:noWrap/>
            <w:hideMark/>
          </w:tcPr>
          <w:p w14:paraId="60280AC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6.42 (5.98–6.68)</w:t>
            </w:r>
          </w:p>
        </w:tc>
        <w:tc>
          <w:tcPr>
            <w:tcW w:w="1073" w:type="dxa"/>
            <w:noWrap/>
            <w:hideMark/>
          </w:tcPr>
          <w:p w14:paraId="7B33092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686.85 (620.67–885.56)</w:t>
            </w:r>
          </w:p>
        </w:tc>
        <w:tc>
          <w:tcPr>
            <w:tcW w:w="959" w:type="dxa"/>
            <w:noWrap/>
            <w:hideMark/>
          </w:tcPr>
          <w:p w14:paraId="6FF2FD3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534.61 (516.39–606.5)</w:t>
            </w:r>
          </w:p>
        </w:tc>
        <w:tc>
          <w:tcPr>
            <w:tcW w:w="972" w:type="dxa"/>
            <w:noWrap/>
            <w:hideMark/>
          </w:tcPr>
          <w:p w14:paraId="57E96ED0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3554 (2400–4365)</w:t>
            </w:r>
          </w:p>
        </w:tc>
        <w:tc>
          <w:tcPr>
            <w:tcW w:w="1052" w:type="dxa"/>
            <w:noWrap/>
            <w:hideMark/>
          </w:tcPr>
          <w:p w14:paraId="314D0C30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2649.4 (0.02–8598.43)</w:t>
            </w:r>
          </w:p>
        </w:tc>
        <w:tc>
          <w:tcPr>
            <w:tcW w:w="959" w:type="dxa"/>
            <w:noWrap/>
            <w:hideMark/>
          </w:tcPr>
          <w:p w14:paraId="73D9531E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665.55 (593.3–788.87)</w:t>
            </w:r>
          </w:p>
        </w:tc>
        <w:tc>
          <w:tcPr>
            <w:tcW w:w="959" w:type="dxa"/>
            <w:noWrap/>
            <w:hideMark/>
          </w:tcPr>
          <w:p w14:paraId="7356A340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528.53 (426.87–654.03)</w:t>
            </w:r>
          </w:p>
        </w:tc>
        <w:tc>
          <w:tcPr>
            <w:tcW w:w="755" w:type="dxa"/>
            <w:noWrap/>
            <w:hideMark/>
          </w:tcPr>
          <w:p w14:paraId="5DC1CA1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16.24 (13.38–19.5)</w:t>
            </w:r>
          </w:p>
        </w:tc>
        <w:tc>
          <w:tcPr>
            <w:tcW w:w="901" w:type="dxa"/>
            <w:noWrap/>
            <w:hideMark/>
          </w:tcPr>
          <w:p w14:paraId="6E735163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-12.61 (-18.63–-6.89)</w:t>
            </w:r>
          </w:p>
        </w:tc>
      </w:tr>
      <w:tr w:rsidR="00434145" w:rsidRPr="00434145" w14:paraId="685CC529" w14:textId="77777777" w:rsidTr="003E692F">
        <w:trPr>
          <w:trHeight w:val="300"/>
        </w:trPr>
        <w:tc>
          <w:tcPr>
            <w:tcW w:w="1264" w:type="dxa"/>
            <w:noWrap/>
            <w:hideMark/>
          </w:tcPr>
          <w:p w14:paraId="5CD921FF" w14:textId="77777777" w:rsidR="00434145" w:rsidRPr="00434145" w:rsidRDefault="00434145" w:rsidP="0043414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434145">
              <w:rPr>
                <w:rFonts w:cs="Times New Roman"/>
                <w:b/>
                <w:bCs/>
                <w:sz w:val="18"/>
                <w:szCs w:val="18"/>
              </w:rPr>
              <w:t>Thur</w:t>
            </w:r>
          </w:p>
        </w:tc>
        <w:tc>
          <w:tcPr>
            <w:tcW w:w="734" w:type="dxa"/>
            <w:noWrap/>
            <w:hideMark/>
          </w:tcPr>
          <w:p w14:paraId="10FA0C3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5.8 (5.32–6.05)</w:t>
            </w:r>
          </w:p>
        </w:tc>
        <w:tc>
          <w:tcPr>
            <w:tcW w:w="1073" w:type="dxa"/>
            <w:noWrap/>
            <w:hideMark/>
          </w:tcPr>
          <w:p w14:paraId="63B2F530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985.94 (596–1193.43)</w:t>
            </w:r>
          </w:p>
        </w:tc>
        <w:tc>
          <w:tcPr>
            <w:tcW w:w="959" w:type="dxa"/>
            <w:noWrap/>
            <w:hideMark/>
          </w:tcPr>
          <w:p w14:paraId="63752B85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917.01 (836.5–966.24)</w:t>
            </w:r>
          </w:p>
        </w:tc>
        <w:tc>
          <w:tcPr>
            <w:tcW w:w="972" w:type="dxa"/>
            <w:noWrap/>
            <w:hideMark/>
          </w:tcPr>
          <w:p w14:paraId="21137B8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630 (500–775)</w:t>
            </w:r>
          </w:p>
        </w:tc>
        <w:tc>
          <w:tcPr>
            <w:tcW w:w="1052" w:type="dxa"/>
            <w:noWrap/>
            <w:hideMark/>
          </w:tcPr>
          <w:p w14:paraId="03771808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42.49 (0.1–110.04)</w:t>
            </w:r>
          </w:p>
        </w:tc>
        <w:tc>
          <w:tcPr>
            <w:tcW w:w="959" w:type="dxa"/>
            <w:noWrap/>
            <w:hideMark/>
          </w:tcPr>
          <w:p w14:paraId="0AE1958B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1263 (1113.07–1363)</w:t>
            </w:r>
          </w:p>
        </w:tc>
        <w:tc>
          <w:tcPr>
            <w:tcW w:w="959" w:type="dxa"/>
            <w:noWrap/>
            <w:hideMark/>
          </w:tcPr>
          <w:p w14:paraId="0B32B68A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637.29 (631.57–643.13)</w:t>
            </w:r>
          </w:p>
        </w:tc>
        <w:tc>
          <w:tcPr>
            <w:tcW w:w="755" w:type="dxa"/>
            <w:noWrap/>
            <w:hideMark/>
          </w:tcPr>
          <w:p w14:paraId="339172B9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22.71 (21.9–23.76)</w:t>
            </w:r>
          </w:p>
        </w:tc>
        <w:tc>
          <w:tcPr>
            <w:tcW w:w="901" w:type="dxa"/>
            <w:noWrap/>
            <w:hideMark/>
          </w:tcPr>
          <w:p w14:paraId="6DEAEB96" w14:textId="77777777" w:rsidR="00434145" w:rsidRPr="00434145" w:rsidRDefault="00434145" w:rsidP="00434145">
            <w:pPr>
              <w:rPr>
                <w:rFonts w:cs="Times New Roman"/>
                <w:sz w:val="16"/>
                <w:szCs w:val="16"/>
              </w:rPr>
            </w:pPr>
            <w:r w:rsidRPr="00434145">
              <w:rPr>
                <w:rFonts w:cs="Times New Roman"/>
                <w:sz w:val="16"/>
                <w:szCs w:val="16"/>
              </w:rPr>
              <w:t>-3.24 (-3.4–-3.1)</w:t>
            </w:r>
          </w:p>
        </w:tc>
      </w:tr>
    </w:tbl>
    <w:p w14:paraId="52D7C135" w14:textId="3DAD042F" w:rsidR="009D2379" w:rsidRPr="00AE20C7" w:rsidRDefault="009D2379" w:rsidP="000156CF">
      <w:pPr>
        <w:spacing w:before="120" w:after="120"/>
        <w:rPr>
          <w:lang w:val="en-US"/>
        </w:rPr>
      </w:pPr>
    </w:p>
    <w:sectPr w:rsidR="009D2379" w:rsidRPr="00AE20C7" w:rsidSect="002412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134" w:bottom="1134" w:left="1134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E7553" w14:textId="77777777" w:rsidR="002412E7" w:rsidRDefault="002412E7" w:rsidP="00E950F9">
      <w:r>
        <w:separator/>
      </w:r>
    </w:p>
  </w:endnote>
  <w:endnote w:type="continuationSeparator" w:id="0">
    <w:p w14:paraId="7D485BCB" w14:textId="77777777" w:rsidR="002412E7" w:rsidRDefault="002412E7" w:rsidP="00E9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B9AA" w14:textId="77777777" w:rsidR="00E950F9" w:rsidRDefault="00E950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8F770" w14:textId="77777777" w:rsidR="00E950F9" w:rsidRDefault="00E950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8BCA8" w14:textId="77777777" w:rsidR="00E950F9" w:rsidRDefault="00E950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DAF04" w14:textId="77777777" w:rsidR="002412E7" w:rsidRDefault="002412E7" w:rsidP="00E950F9">
      <w:r>
        <w:separator/>
      </w:r>
    </w:p>
  </w:footnote>
  <w:footnote w:type="continuationSeparator" w:id="0">
    <w:p w14:paraId="10BD590B" w14:textId="77777777" w:rsidR="002412E7" w:rsidRDefault="002412E7" w:rsidP="00E95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04ECC" w14:textId="77777777" w:rsidR="00E950F9" w:rsidRDefault="00E950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C6869" w14:textId="77777777" w:rsidR="00E950F9" w:rsidRDefault="00E950F9" w:rsidP="00E950F9">
    <w:pPr>
      <w:pStyle w:val="Header"/>
    </w:pPr>
    <w:hyperlink r:id="rId1" w:history="1">
      <w:r>
        <w:rPr>
          <w:rStyle w:val="Hyperlink"/>
        </w:rPr>
        <w:t>https://doi.org/10.17028/rd.lboro.25586865</w:t>
      </w:r>
    </w:hyperlink>
    <w:r>
      <w:t xml:space="preserve"> (c) The Authors CC BY 4.0</w:t>
    </w:r>
  </w:p>
  <w:p w14:paraId="68D5A8A0" w14:textId="1A1B71DE" w:rsidR="00E950F9" w:rsidRDefault="00E950F9">
    <w:pPr>
      <w:pStyle w:val="Header"/>
    </w:pPr>
  </w:p>
  <w:p w14:paraId="4F426FB6" w14:textId="77777777" w:rsidR="00E950F9" w:rsidRDefault="00E950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A30E1" w14:textId="77777777" w:rsidR="00E950F9" w:rsidRDefault="00E950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77D85"/>
    <w:multiLevelType w:val="hybridMultilevel"/>
    <w:tmpl w:val="C7C216C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14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0C7"/>
    <w:rsid w:val="000156CF"/>
    <w:rsid w:val="0005181B"/>
    <w:rsid w:val="00107E69"/>
    <w:rsid w:val="00191A33"/>
    <w:rsid w:val="001B05F6"/>
    <w:rsid w:val="002412E7"/>
    <w:rsid w:val="0027338C"/>
    <w:rsid w:val="002B68DB"/>
    <w:rsid w:val="00304121"/>
    <w:rsid w:val="00334B89"/>
    <w:rsid w:val="003E7808"/>
    <w:rsid w:val="00434145"/>
    <w:rsid w:val="004D3EA3"/>
    <w:rsid w:val="00542953"/>
    <w:rsid w:val="00554BAA"/>
    <w:rsid w:val="005A1F3A"/>
    <w:rsid w:val="005D3F43"/>
    <w:rsid w:val="005E13C8"/>
    <w:rsid w:val="00623137"/>
    <w:rsid w:val="006E25C4"/>
    <w:rsid w:val="007A1B9F"/>
    <w:rsid w:val="007B60C2"/>
    <w:rsid w:val="00827D96"/>
    <w:rsid w:val="00903CEF"/>
    <w:rsid w:val="009D2379"/>
    <w:rsid w:val="00A02207"/>
    <w:rsid w:val="00AB0848"/>
    <w:rsid w:val="00AE20C7"/>
    <w:rsid w:val="00B3294D"/>
    <w:rsid w:val="00B80C19"/>
    <w:rsid w:val="00C52521"/>
    <w:rsid w:val="00C653F6"/>
    <w:rsid w:val="00CC243E"/>
    <w:rsid w:val="00E66184"/>
    <w:rsid w:val="00E9403B"/>
    <w:rsid w:val="00E950F9"/>
    <w:rsid w:val="00EA0B33"/>
    <w:rsid w:val="00EA4178"/>
    <w:rsid w:val="00EC13EE"/>
    <w:rsid w:val="00EC5EB5"/>
    <w:rsid w:val="00ED5DFA"/>
    <w:rsid w:val="00EE4AA9"/>
    <w:rsid w:val="00F846AF"/>
    <w:rsid w:val="00FB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9E38A"/>
  <w15:chartTrackingRefBased/>
  <w15:docId w15:val="{484CBAB0-7045-40CF-BEFF-8BBC24F53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4"/>
        <w:szCs w:val="24"/>
        <w:lang w:val="fi-FI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CEF"/>
    <w:pPr>
      <w:spacing w:before="0" w:after="0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1B9F"/>
    <w:pPr>
      <w:keepNext/>
      <w:keepLines/>
      <w:tabs>
        <w:tab w:val="left" w:pos="1304"/>
      </w:tabs>
      <w:spacing w:before="240" w:after="12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3124"/>
    <w:pPr>
      <w:keepNext/>
      <w:keepLines/>
      <w:tabs>
        <w:tab w:val="left" w:pos="1304"/>
      </w:tabs>
      <w:spacing w:before="40" w:after="12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1B9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3124"/>
    <w:rPr>
      <w:rFonts w:eastAsiaTheme="majorEastAsia" w:cstheme="majorBidi"/>
      <w:b/>
      <w:color w:val="000000" w:themeColor="text1"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7A1B9F"/>
    <w:pPr>
      <w:tabs>
        <w:tab w:val="left" w:pos="1304"/>
      </w:tabs>
      <w:spacing w:before="120" w:after="120"/>
      <w:contextualSpacing/>
    </w:pPr>
    <w:rPr>
      <w:rFonts w:eastAsiaTheme="majorEastAsia" w:cstheme="majorHAnsi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1B9F"/>
    <w:rPr>
      <w:rFonts w:eastAsiaTheme="majorEastAsia" w:cstheme="majorHAnsi"/>
      <w:kern w:val="28"/>
      <w:sz w:val="2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3124"/>
    <w:pPr>
      <w:numPr>
        <w:ilvl w:val="1"/>
      </w:numPr>
      <w:tabs>
        <w:tab w:val="left" w:pos="1304"/>
      </w:tabs>
      <w:spacing w:before="120" w:after="120"/>
      <w:ind w:left="1134"/>
    </w:pPr>
    <w:rPr>
      <w:rFonts w:eastAsiaTheme="minorEastAsia"/>
      <w:b/>
      <w:color w:val="4472C4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B3124"/>
    <w:rPr>
      <w:rFonts w:eastAsiaTheme="minorEastAsia"/>
      <w:b/>
      <w:color w:val="4472C4" w:themeColor="accent1"/>
      <w:spacing w:val="15"/>
      <w:sz w:val="24"/>
    </w:rPr>
  </w:style>
  <w:style w:type="paragraph" w:styleId="CommentText">
    <w:name w:val="annotation text"/>
    <w:basedOn w:val="Normal"/>
    <w:link w:val="CommentTextChar"/>
    <w:uiPriority w:val="99"/>
    <w:unhideWhenUsed/>
    <w:rsid w:val="00AE20C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20C7"/>
    <w:rPr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AE20C7"/>
    <w:pPr>
      <w:spacing w:after="200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20C7"/>
    <w:rPr>
      <w:sz w:val="16"/>
      <w:szCs w:val="16"/>
    </w:rPr>
  </w:style>
  <w:style w:type="table" w:styleId="PlainTable2">
    <w:name w:val="Plain Table 2"/>
    <w:basedOn w:val="TableNormal"/>
    <w:uiPriority w:val="42"/>
    <w:rsid w:val="00AE20C7"/>
    <w:pPr>
      <w:spacing w:after="0"/>
    </w:p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EC5EB5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E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7E69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5D3F43"/>
  </w:style>
  <w:style w:type="table" w:styleId="TableGrid">
    <w:name w:val="Table Grid"/>
    <w:basedOn w:val="TableNormal"/>
    <w:uiPriority w:val="39"/>
    <w:rsid w:val="0043414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50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50F9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E950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50F9"/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E950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2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17028/rd.lboro.25586865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E27BE-F67F-4999-B7CD-DB4A45776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1718</Words>
  <Characters>9796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Snåre Henna</dc:creator>
  <cp:keywords/>
  <dc:description/>
  <cp:lastModifiedBy>David Campling</cp:lastModifiedBy>
  <cp:revision>4</cp:revision>
  <dcterms:created xsi:type="dcterms:W3CDTF">2024-04-11T15:32:00Z</dcterms:created>
  <dcterms:modified xsi:type="dcterms:W3CDTF">2024-04-11T15:35:00Z</dcterms:modified>
</cp:coreProperties>
</file>