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7F19C7" w14:textId="2395DA09" w:rsidR="00CD3203" w:rsidRPr="003030D2" w:rsidRDefault="00C7764C" w:rsidP="00CD3203">
      <w:pPr>
        <w:pStyle w:val="MDPI12title"/>
        <w:spacing w:line="240" w:lineRule="atLeast"/>
      </w:pPr>
      <w:bookmarkStart w:id="0" w:name="_GoBack"/>
      <w:bookmarkEnd w:id="0"/>
      <w:r w:rsidRPr="00C7764C">
        <w:t>Supplementary Material for “Analysis of attributes for industrial food waste management” - List of attributes</w:t>
      </w:r>
    </w:p>
    <w:p w14:paraId="66112F31" w14:textId="77777777" w:rsidR="00C7764C" w:rsidRPr="00C7764C" w:rsidRDefault="00C7764C" w:rsidP="00C7764C">
      <w:pPr>
        <w:adjustRightInd w:val="0"/>
        <w:snapToGrid w:val="0"/>
        <w:spacing w:after="120" w:line="260" w:lineRule="atLeast"/>
        <w:jc w:val="left"/>
        <w:rPr>
          <w:rFonts w:ascii="Palatino Linotype" w:hAnsi="Palatino Linotype"/>
          <w:b/>
          <w:sz w:val="20"/>
          <w:szCs w:val="22"/>
          <w:lang w:val="en-GB" w:bidi="en-US"/>
        </w:rPr>
      </w:pPr>
      <w:r w:rsidRPr="00C7764C">
        <w:rPr>
          <w:rFonts w:ascii="Palatino Linotype" w:hAnsi="Palatino Linotype"/>
          <w:b/>
          <w:sz w:val="20"/>
          <w:szCs w:val="22"/>
          <w:lang w:val="en-GB" w:bidi="en-US"/>
        </w:rPr>
        <w:t xml:space="preserve">Guillermo Garcia-Garcia </w:t>
      </w:r>
      <w:r w:rsidRPr="00C7764C">
        <w:rPr>
          <w:rFonts w:ascii="Palatino Linotype" w:hAnsi="Palatino Linotype"/>
          <w:b/>
          <w:sz w:val="20"/>
          <w:szCs w:val="22"/>
          <w:vertAlign w:val="superscript"/>
          <w:lang w:val="en-GB" w:bidi="en-US"/>
        </w:rPr>
        <w:t>1</w:t>
      </w:r>
      <w:r w:rsidRPr="00C7764C">
        <w:rPr>
          <w:rFonts w:ascii="Palatino Linotype" w:hAnsi="Palatino Linotype"/>
          <w:b/>
          <w:sz w:val="20"/>
          <w:szCs w:val="22"/>
          <w:lang w:val="en-GB" w:bidi="en-US"/>
        </w:rPr>
        <w:t xml:space="preserve">, Elliot Woolley </w:t>
      </w:r>
      <w:proofErr w:type="gramStart"/>
      <w:r w:rsidRPr="00C7764C">
        <w:rPr>
          <w:rFonts w:ascii="Palatino Linotype" w:hAnsi="Palatino Linotype"/>
          <w:b/>
          <w:sz w:val="20"/>
          <w:szCs w:val="22"/>
          <w:vertAlign w:val="superscript"/>
          <w:lang w:val="en-GB" w:bidi="en-US"/>
        </w:rPr>
        <w:t>2,*</w:t>
      </w:r>
      <w:proofErr w:type="gramEnd"/>
      <w:r w:rsidRPr="00C7764C">
        <w:rPr>
          <w:rFonts w:ascii="Palatino Linotype" w:hAnsi="Palatino Linotype"/>
          <w:b/>
          <w:sz w:val="20"/>
          <w:szCs w:val="22"/>
          <w:lang w:val="en-GB" w:bidi="en-US"/>
        </w:rPr>
        <w:t xml:space="preserve"> and Shahin Rahimifard</w:t>
      </w:r>
      <w:r w:rsidRPr="00C7764C">
        <w:rPr>
          <w:rFonts w:ascii="Palatino Linotype" w:hAnsi="Palatino Linotype"/>
          <w:b/>
          <w:sz w:val="20"/>
          <w:szCs w:val="22"/>
          <w:vertAlign w:val="superscript"/>
          <w:lang w:val="en-GB" w:bidi="en-US"/>
        </w:rPr>
        <w:t>1</w:t>
      </w:r>
    </w:p>
    <w:p w14:paraId="3C4C5D38" w14:textId="77777777" w:rsidR="00C7764C" w:rsidRPr="00C7764C" w:rsidRDefault="00C7764C" w:rsidP="00C7764C">
      <w:pPr>
        <w:adjustRightInd w:val="0"/>
        <w:snapToGrid w:val="0"/>
        <w:spacing w:line="200" w:lineRule="atLeast"/>
        <w:ind w:left="311" w:hanging="198"/>
        <w:jc w:val="left"/>
        <w:rPr>
          <w:rFonts w:ascii="Palatino Linotype" w:hAnsi="Palatino Linotype"/>
          <w:sz w:val="18"/>
          <w:szCs w:val="18"/>
          <w:lang w:bidi="en-US"/>
        </w:rPr>
      </w:pPr>
      <w:r w:rsidRPr="00C7764C">
        <w:rPr>
          <w:rFonts w:ascii="Palatino Linotype" w:hAnsi="Palatino Linotype"/>
          <w:sz w:val="18"/>
          <w:szCs w:val="18"/>
          <w:vertAlign w:val="superscript"/>
          <w:lang w:bidi="en-US"/>
        </w:rPr>
        <w:t>1</w:t>
      </w:r>
      <w:r w:rsidRPr="00C7764C">
        <w:rPr>
          <w:rFonts w:ascii="Palatino Linotype" w:hAnsi="Palatino Linotype"/>
          <w:sz w:val="18"/>
          <w:szCs w:val="18"/>
          <w:lang w:bidi="en-US"/>
        </w:rPr>
        <w:tab/>
        <w:t xml:space="preserve">Centre for Sustainable Manufacturing and Recycling Technologies (SMART), Loughborough University, </w:t>
      </w:r>
      <w:proofErr w:type="spellStart"/>
      <w:r w:rsidRPr="00C7764C">
        <w:rPr>
          <w:rFonts w:ascii="Palatino Linotype" w:hAnsi="Palatino Linotype"/>
          <w:sz w:val="18"/>
          <w:szCs w:val="18"/>
          <w:lang w:bidi="en-US"/>
        </w:rPr>
        <w:t>Epinal</w:t>
      </w:r>
      <w:proofErr w:type="spellEnd"/>
      <w:r w:rsidRPr="00C7764C">
        <w:rPr>
          <w:rFonts w:ascii="Palatino Linotype" w:hAnsi="Palatino Linotype"/>
          <w:sz w:val="18"/>
          <w:szCs w:val="18"/>
          <w:lang w:bidi="en-US"/>
        </w:rPr>
        <w:t xml:space="preserve"> Way, Loughborough, Leicestershire, LE11 3TU, United Kingdom; G.Garcia-Garcia@lboro.ac.uk (G.G.G.); S.Rahimifard@lboro.ac.uk (S.R.)</w:t>
      </w:r>
    </w:p>
    <w:p w14:paraId="58A0EED4" w14:textId="77777777" w:rsidR="00C7764C" w:rsidRPr="00C7764C" w:rsidRDefault="00C7764C" w:rsidP="00C7764C">
      <w:pPr>
        <w:adjustRightInd w:val="0"/>
        <w:snapToGrid w:val="0"/>
        <w:spacing w:line="200" w:lineRule="atLeast"/>
        <w:ind w:left="311" w:hanging="198"/>
        <w:jc w:val="left"/>
        <w:rPr>
          <w:rFonts w:ascii="Palatino Linotype" w:hAnsi="Palatino Linotype"/>
          <w:sz w:val="18"/>
          <w:szCs w:val="18"/>
          <w:lang w:bidi="en-US"/>
        </w:rPr>
      </w:pPr>
      <w:r w:rsidRPr="00C7764C">
        <w:rPr>
          <w:rFonts w:ascii="Palatino Linotype" w:hAnsi="Palatino Linotype"/>
          <w:sz w:val="18"/>
          <w:vertAlign w:val="superscript"/>
          <w:lang w:bidi="en-US"/>
        </w:rPr>
        <w:t>2</w:t>
      </w:r>
      <w:r w:rsidRPr="00C7764C">
        <w:rPr>
          <w:rFonts w:ascii="Palatino Linotype" w:hAnsi="Palatino Linotype"/>
          <w:sz w:val="18"/>
          <w:lang w:bidi="en-US"/>
        </w:rPr>
        <w:tab/>
        <w:t xml:space="preserve">Wolfson School of Mechanical, Electrical and Manufacturing Engineering, Loughborough University, </w:t>
      </w:r>
      <w:proofErr w:type="spellStart"/>
      <w:r w:rsidRPr="00C7764C">
        <w:rPr>
          <w:rFonts w:ascii="Palatino Linotype" w:hAnsi="Palatino Linotype"/>
          <w:sz w:val="18"/>
          <w:lang w:bidi="en-US"/>
        </w:rPr>
        <w:t>Epinal</w:t>
      </w:r>
      <w:proofErr w:type="spellEnd"/>
      <w:r w:rsidRPr="00C7764C">
        <w:rPr>
          <w:rFonts w:ascii="Palatino Linotype" w:hAnsi="Palatino Linotype"/>
          <w:sz w:val="18"/>
          <w:lang w:bidi="en-US"/>
        </w:rPr>
        <w:t xml:space="preserve"> Way, Loughborough, Leicestershire, LE11 3TU, United Kingdom</w:t>
      </w:r>
    </w:p>
    <w:p w14:paraId="30F731C7" w14:textId="77777777" w:rsidR="00C7764C" w:rsidRPr="00C7764C" w:rsidRDefault="00C7764C" w:rsidP="00C7764C">
      <w:pPr>
        <w:adjustRightInd w:val="0"/>
        <w:snapToGrid w:val="0"/>
        <w:spacing w:line="200" w:lineRule="atLeast"/>
        <w:ind w:left="311" w:hanging="198"/>
        <w:jc w:val="left"/>
        <w:rPr>
          <w:rFonts w:ascii="Palatino Linotype" w:hAnsi="Palatino Linotype"/>
          <w:sz w:val="18"/>
          <w:lang w:bidi="en-US"/>
        </w:rPr>
      </w:pPr>
      <w:r w:rsidRPr="00C7764C">
        <w:rPr>
          <w:rFonts w:ascii="Palatino Linotype" w:hAnsi="Palatino Linotype"/>
          <w:b/>
          <w:sz w:val="18"/>
          <w:lang w:bidi="en-US"/>
        </w:rPr>
        <w:t>*</w:t>
      </w:r>
      <w:r w:rsidRPr="00C7764C">
        <w:rPr>
          <w:rFonts w:ascii="Palatino Linotype" w:hAnsi="Palatino Linotype"/>
          <w:sz w:val="18"/>
          <w:lang w:bidi="en-US"/>
        </w:rPr>
        <w:tab/>
        <w:t>Correspondence: E.B.Woolley@lboro.ac.uk; Tel.: +44 (0)1509 225410</w:t>
      </w:r>
    </w:p>
    <w:p w14:paraId="2091472F" w14:textId="42073198" w:rsidR="00632077" w:rsidRDefault="00632077" w:rsidP="00F4061C">
      <w:pPr>
        <w:pStyle w:val="MDPI71References"/>
        <w:numPr>
          <w:ilvl w:val="0"/>
          <w:numId w:val="0"/>
        </w:numPr>
        <w:spacing w:after="240"/>
        <w:ind w:left="425"/>
      </w:pPr>
    </w:p>
    <w:p w14:paraId="40D2FA1C" w14:textId="77777777" w:rsidR="00C7764C" w:rsidRPr="00C7764C" w:rsidRDefault="00C7764C" w:rsidP="00C7764C">
      <w:pPr>
        <w:spacing w:after="160" w:line="259" w:lineRule="auto"/>
        <w:rPr>
          <w:rFonts w:eastAsia="Calibri"/>
          <w:b/>
          <w:color w:val="auto"/>
          <w:sz w:val="28"/>
          <w:szCs w:val="28"/>
          <w:lang w:val="en-GB" w:eastAsia="en-US"/>
        </w:rPr>
      </w:pPr>
      <w:r w:rsidRPr="00C7764C">
        <w:rPr>
          <w:rFonts w:eastAsia="Calibri"/>
          <w:b/>
          <w:color w:val="auto"/>
          <w:sz w:val="28"/>
          <w:szCs w:val="28"/>
          <w:lang w:val="en-GB" w:eastAsia="en-US"/>
        </w:rPr>
        <w:t>Abbreviations</w:t>
      </w:r>
    </w:p>
    <w:tbl>
      <w:tblPr>
        <w:tblW w:w="0" w:type="auto"/>
        <w:tblLook w:val="04A0" w:firstRow="1" w:lastRow="0" w:firstColumn="1" w:lastColumn="0" w:noHBand="0" w:noVBand="1"/>
      </w:tblPr>
      <w:tblGrid>
        <w:gridCol w:w="1696"/>
        <w:gridCol w:w="7320"/>
      </w:tblGrid>
      <w:tr w:rsidR="008301D9" w:rsidRPr="00C81B1E" w14:paraId="2664AECE" w14:textId="77777777" w:rsidTr="00C81B1E">
        <w:tc>
          <w:tcPr>
            <w:tcW w:w="1696" w:type="dxa"/>
            <w:shd w:val="clear" w:color="auto" w:fill="auto"/>
          </w:tcPr>
          <w:p w14:paraId="5F5B59B6" w14:textId="4F4E0F71" w:rsidR="008301D9" w:rsidRPr="00C81B1E" w:rsidRDefault="003C4887" w:rsidP="00C7764C">
            <w:pPr>
              <w:pStyle w:val="MDPI31text"/>
              <w:rPr>
                <w:rFonts w:eastAsia="Calibri"/>
                <w:lang w:val="en-GB" w:eastAsia="en-US"/>
              </w:rPr>
            </w:pPr>
            <w:r>
              <w:rPr>
                <w:rFonts w:eastAsia="Calibri"/>
                <w:lang w:val="en-GB" w:eastAsia="en-US"/>
              </w:rPr>
              <w:t>ABP</w:t>
            </w:r>
          </w:p>
        </w:tc>
        <w:tc>
          <w:tcPr>
            <w:tcW w:w="7320" w:type="dxa"/>
            <w:shd w:val="clear" w:color="auto" w:fill="auto"/>
          </w:tcPr>
          <w:p w14:paraId="4E8D8644" w14:textId="00DEA2F5" w:rsidR="008301D9" w:rsidRPr="00C81B1E" w:rsidRDefault="00562CFC" w:rsidP="00C7764C">
            <w:pPr>
              <w:pStyle w:val="MDPI31text"/>
              <w:rPr>
                <w:rFonts w:eastAsia="Calibri"/>
                <w:lang w:val="en-GB" w:eastAsia="en-US"/>
              </w:rPr>
            </w:pPr>
            <w:r>
              <w:rPr>
                <w:rFonts w:eastAsia="Calibri"/>
                <w:lang w:val="en-GB" w:eastAsia="en-US"/>
              </w:rPr>
              <w:t>Animal By-Products</w:t>
            </w:r>
          </w:p>
        </w:tc>
      </w:tr>
      <w:tr w:rsidR="00C7764C" w:rsidRPr="00C81B1E" w14:paraId="160BDC90" w14:textId="77777777" w:rsidTr="00C81B1E">
        <w:tc>
          <w:tcPr>
            <w:tcW w:w="1696" w:type="dxa"/>
            <w:shd w:val="clear" w:color="auto" w:fill="auto"/>
          </w:tcPr>
          <w:p w14:paraId="78D1D2EB" w14:textId="77777777" w:rsidR="00C7764C" w:rsidRPr="00C81B1E" w:rsidRDefault="00C7764C" w:rsidP="00C7764C">
            <w:pPr>
              <w:pStyle w:val="MDPI31text"/>
              <w:rPr>
                <w:rFonts w:eastAsia="Calibri"/>
                <w:lang w:val="en-GB" w:eastAsia="en-US"/>
              </w:rPr>
            </w:pPr>
            <w:r w:rsidRPr="00C81B1E">
              <w:rPr>
                <w:rFonts w:eastAsia="Calibri"/>
                <w:lang w:val="en-GB" w:eastAsia="en-US"/>
              </w:rPr>
              <w:t>AD</w:t>
            </w:r>
          </w:p>
        </w:tc>
        <w:tc>
          <w:tcPr>
            <w:tcW w:w="7320" w:type="dxa"/>
            <w:shd w:val="clear" w:color="auto" w:fill="auto"/>
          </w:tcPr>
          <w:p w14:paraId="24957DE7" w14:textId="77777777" w:rsidR="00C7764C" w:rsidRPr="00C81B1E" w:rsidRDefault="00C7764C" w:rsidP="00C7764C">
            <w:pPr>
              <w:pStyle w:val="MDPI31text"/>
              <w:rPr>
                <w:rFonts w:eastAsia="Calibri"/>
                <w:lang w:val="en-GB" w:eastAsia="en-US"/>
              </w:rPr>
            </w:pPr>
            <w:r w:rsidRPr="00C81B1E">
              <w:rPr>
                <w:rFonts w:eastAsia="Calibri"/>
                <w:lang w:val="en-GB" w:eastAsia="en-US"/>
              </w:rPr>
              <w:t>Anaerobic Digestion</w:t>
            </w:r>
          </w:p>
        </w:tc>
      </w:tr>
      <w:tr w:rsidR="00C7764C" w:rsidRPr="00C81B1E" w14:paraId="2B34A409" w14:textId="77777777" w:rsidTr="00C81B1E">
        <w:tc>
          <w:tcPr>
            <w:tcW w:w="1696" w:type="dxa"/>
            <w:shd w:val="clear" w:color="auto" w:fill="auto"/>
          </w:tcPr>
          <w:p w14:paraId="60194B64" w14:textId="77777777" w:rsidR="00C7764C" w:rsidRPr="00C81B1E" w:rsidRDefault="00C7764C" w:rsidP="00C7764C">
            <w:pPr>
              <w:pStyle w:val="MDPI31text"/>
              <w:rPr>
                <w:rFonts w:eastAsia="Calibri"/>
                <w:lang w:val="en-GB" w:eastAsia="en-US"/>
              </w:rPr>
            </w:pPr>
            <w:r w:rsidRPr="00C81B1E">
              <w:rPr>
                <w:rFonts w:eastAsia="Calibri"/>
                <w:lang w:val="en-GB" w:eastAsia="en-US"/>
              </w:rPr>
              <w:t>AF</w:t>
            </w:r>
          </w:p>
        </w:tc>
        <w:tc>
          <w:tcPr>
            <w:tcW w:w="7320" w:type="dxa"/>
            <w:shd w:val="clear" w:color="auto" w:fill="auto"/>
          </w:tcPr>
          <w:p w14:paraId="456E1551" w14:textId="77777777" w:rsidR="00C7764C" w:rsidRPr="00C81B1E" w:rsidRDefault="00C7764C" w:rsidP="00C7764C">
            <w:pPr>
              <w:pStyle w:val="MDPI31text"/>
              <w:rPr>
                <w:rFonts w:eastAsia="Calibri"/>
                <w:lang w:val="en-GB" w:eastAsia="en-US"/>
              </w:rPr>
            </w:pPr>
            <w:r w:rsidRPr="00C81B1E">
              <w:rPr>
                <w:rFonts w:eastAsia="Calibri"/>
                <w:lang w:val="en-GB" w:eastAsia="en-US"/>
              </w:rPr>
              <w:t>Animal Feeding</w:t>
            </w:r>
          </w:p>
        </w:tc>
      </w:tr>
      <w:tr w:rsidR="00C7764C" w:rsidRPr="00C81B1E" w14:paraId="69D9928A" w14:textId="77777777" w:rsidTr="00C81B1E">
        <w:tc>
          <w:tcPr>
            <w:tcW w:w="1696" w:type="dxa"/>
            <w:shd w:val="clear" w:color="auto" w:fill="auto"/>
          </w:tcPr>
          <w:p w14:paraId="1D85BE6B" w14:textId="77777777" w:rsidR="00C7764C" w:rsidRPr="00C81B1E" w:rsidRDefault="00C7764C" w:rsidP="00C7764C">
            <w:pPr>
              <w:pStyle w:val="MDPI31text"/>
              <w:rPr>
                <w:rFonts w:eastAsia="Calibri"/>
                <w:lang w:val="en-GB" w:eastAsia="en-US"/>
              </w:rPr>
            </w:pPr>
            <w:r w:rsidRPr="00C81B1E">
              <w:rPr>
                <w:rFonts w:eastAsia="Calibri"/>
                <w:lang w:val="en-GB" w:eastAsia="en-US"/>
              </w:rPr>
              <w:t>C</w:t>
            </w:r>
          </w:p>
        </w:tc>
        <w:tc>
          <w:tcPr>
            <w:tcW w:w="7320" w:type="dxa"/>
            <w:shd w:val="clear" w:color="auto" w:fill="auto"/>
          </w:tcPr>
          <w:p w14:paraId="2EE6DDD9" w14:textId="77777777" w:rsidR="00C7764C" w:rsidRPr="00C81B1E" w:rsidRDefault="00C7764C" w:rsidP="00C7764C">
            <w:pPr>
              <w:pStyle w:val="MDPI31text"/>
              <w:rPr>
                <w:rFonts w:eastAsia="Calibri"/>
                <w:lang w:val="en-GB" w:eastAsia="en-US"/>
              </w:rPr>
            </w:pPr>
            <w:r w:rsidRPr="00C81B1E">
              <w:rPr>
                <w:rFonts w:eastAsia="Calibri"/>
                <w:lang w:val="en-GB" w:eastAsia="en-US"/>
              </w:rPr>
              <w:t>Composting</w:t>
            </w:r>
          </w:p>
        </w:tc>
      </w:tr>
      <w:tr w:rsidR="003C4887" w:rsidRPr="00C81B1E" w14:paraId="43D8F1F5" w14:textId="77777777" w:rsidTr="00C81B1E">
        <w:tc>
          <w:tcPr>
            <w:tcW w:w="1696" w:type="dxa"/>
            <w:shd w:val="clear" w:color="auto" w:fill="auto"/>
          </w:tcPr>
          <w:p w14:paraId="79D6DF63" w14:textId="47BE06B4" w:rsidR="003C4887" w:rsidRPr="00C81B1E" w:rsidRDefault="003C4887" w:rsidP="00C7764C">
            <w:pPr>
              <w:pStyle w:val="MDPI31text"/>
              <w:rPr>
                <w:rFonts w:eastAsia="Calibri"/>
                <w:lang w:val="en-GB" w:eastAsia="en-US"/>
              </w:rPr>
            </w:pPr>
            <w:r>
              <w:rPr>
                <w:rFonts w:eastAsia="Calibri"/>
                <w:lang w:val="en-GB" w:eastAsia="en-US"/>
              </w:rPr>
              <w:t>CFU</w:t>
            </w:r>
            <w:r w:rsidR="00AB5AA1">
              <w:rPr>
                <w:rFonts w:eastAsia="Calibri"/>
                <w:lang w:val="en-GB" w:eastAsia="en-US"/>
              </w:rPr>
              <w:t>s</w:t>
            </w:r>
          </w:p>
        </w:tc>
        <w:tc>
          <w:tcPr>
            <w:tcW w:w="7320" w:type="dxa"/>
            <w:shd w:val="clear" w:color="auto" w:fill="auto"/>
          </w:tcPr>
          <w:p w14:paraId="4344DCD7" w14:textId="6013FD2F" w:rsidR="003C4887" w:rsidRPr="00C81B1E" w:rsidRDefault="00562CFC" w:rsidP="00C7764C">
            <w:pPr>
              <w:pStyle w:val="MDPI31text"/>
              <w:rPr>
                <w:rFonts w:eastAsia="Calibri"/>
                <w:lang w:val="en-GB" w:eastAsia="en-US"/>
              </w:rPr>
            </w:pPr>
            <w:r w:rsidRPr="00562CFC">
              <w:rPr>
                <w:rFonts w:eastAsia="Calibri"/>
                <w:lang w:val="en-GB" w:eastAsia="en-US"/>
              </w:rPr>
              <w:t>Colony-Forming Unit</w:t>
            </w:r>
            <w:r w:rsidR="00AB5AA1">
              <w:rPr>
                <w:rFonts w:eastAsia="Calibri"/>
                <w:lang w:val="en-GB" w:eastAsia="en-US"/>
              </w:rPr>
              <w:t>s</w:t>
            </w:r>
          </w:p>
        </w:tc>
      </w:tr>
      <w:tr w:rsidR="00565509" w:rsidRPr="00C81B1E" w14:paraId="080ACCCE" w14:textId="77777777" w:rsidTr="00C81B1E">
        <w:tc>
          <w:tcPr>
            <w:tcW w:w="1696" w:type="dxa"/>
            <w:shd w:val="clear" w:color="auto" w:fill="auto"/>
          </w:tcPr>
          <w:p w14:paraId="42A40118" w14:textId="53F03A55" w:rsidR="00565509" w:rsidRPr="00C81B1E" w:rsidRDefault="00565509" w:rsidP="00C7764C">
            <w:pPr>
              <w:pStyle w:val="MDPI31text"/>
              <w:rPr>
                <w:rFonts w:eastAsia="Calibri"/>
                <w:lang w:val="en-GB" w:eastAsia="en-US"/>
              </w:rPr>
            </w:pPr>
            <w:r>
              <w:rPr>
                <w:rFonts w:eastAsia="Calibri"/>
                <w:lang w:val="en-GB" w:eastAsia="en-US"/>
              </w:rPr>
              <w:t>COD</w:t>
            </w:r>
          </w:p>
        </w:tc>
        <w:tc>
          <w:tcPr>
            <w:tcW w:w="7320" w:type="dxa"/>
            <w:shd w:val="clear" w:color="auto" w:fill="auto"/>
          </w:tcPr>
          <w:p w14:paraId="28CAD2EE" w14:textId="49465D0C" w:rsidR="00565509" w:rsidRPr="00C81B1E" w:rsidRDefault="007516DB" w:rsidP="00C7764C">
            <w:pPr>
              <w:pStyle w:val="MDPI31text"/>
              <w:rPr>
                <w:rFonts w:eastAsia="Calibri"/>
                <w:lang w:val="en-GB" w:eastAsia="en-US"/>
              </w:rPr>
            </w:pPr>
            <w:r>
              <w:rPr>
                <w:rFonts w:eastAsia="Calibri"/>
                <w:lang w:val="en-GB" w:eastAsia="en-US"/>
              </w:rPr>
              <w:t>Chemical Oxygen Demand</w:t>
            </w:r>
          </w:p>
        </w:tc>
      </w:tr>
      <w:tr w:rsidR="00C7764C" w:rsidRPr="00C81B1E" w14:paraId="131F88C8" w14:textId="77777777" w:rsidTr="00C81B1E">
        <w:tc>
          <w:tcPr>
            <w:tcW w:w="1696" w:type="dxa"/>
            <w:shd w:val="clear" w:color="auto" w:fill="auto"/>
          </w:tcPr>
          <w:p w14:paraId="5AD7A7A0" w14:textId="77777777" w:rsidR="00C7764C" w:rsidRPr="00C81B1E" w:rsidRDefault="00C7764C" w:rsidP="00C7764C">
            <w:pPr>
              <w:pStyle w:val="MDPI31text"/>
              <w:rPr>
                <w:rFonts w:eastAsia="Calibri"/>
                <w:lang w:val="en-GB" w:eastAsia="en-US"/>
              </w:rPr>
            </w:pPr>
            <w:r w:rsidRPr="00C81B1E">
              <w:rPr>
                <w:rFonts w:eastAsia="Calibri"/>
                <w:lang w:val="en-GB" w:eastAsia="en-US"/>
              </w:rPr>
              <w:t>FW</w:t>
            </w:r>
          </w:p>
        </w:tc>
        <w:tc>
          <w:tcPr>
            <w:tcW w:w="7320" w:type="dxa"/>
            <w:shd w:val="clear" w:color="auto" w:fill="auto"/>
          </w:tcPr>
          <w:p w14:paraId="1E4689C2" w14:textId="77777777" w:rsidR="00C7764C" w:rsidRPr="00C81B1E" w:rsidRDefault="00C7764C" w:rsidP="00C7764C">
            <w:pPr>
              <w:pStyle w:val="MDPI31text"/>
              <w:rPr>
                <w:rFonts w:eastAsia="Calibri"/>
                <w:lang w:val="en-GB" w:eastAsia="en-US"/>
              </w:rPr>
            </w:pPr>
            <w:r w:rsidRPr="00C81B1E">
              <w:rPr>
                <w:rFonts w:eastAsia="Calibri"/>
                <w:lang w:val="en-GB" w:eastAsia="en-US"/>
              </w:rPr>
              <w:t>Food Waste</w:t>
            </w:r>
          </w:p>
        </w:tc>
      </w:tr>
      <w:tr w:rsidR="00C7764C" w:rsidRPr="00C81B1E" w14:paraId="71D07C7C" w14:textId="77777777" w:rsidTr="00C81B1E">
        <w:tc>
          <w:tcPr>
            <w:tcW w:w="1696" w:type="dxa"/>
            <w:shd w:val="clear" w:color="auto" w:fill="auto"/>
          </w:tcPr>
          <w:p w14:paraId="3BCF2810" w14:textId="77777777" w:rsidR="00C7764C" w:rsidRPr="00C81B1E" w:rsidRDefault="00C7764C" w:rsidP="00C7764C">
            <w:pPr>
              <w:pStyle w:val="MDPI31text"/>
              <w:rPr>
                <w:rFonts w:eastAsia="Calibri"/>
                <w:lang w:val="en-GB" w:eastAsia="en-US"/>
              </w:rPr>
            </w:pPr>
            <w:r w:rsidRPr="00C81B1E">
              <w:rPr>
                <w:rFonts w:eastAsia="Calibri"/>
                <w:lang w:val="en-GB" w:eastAsia="en-US"/>
              </w:rPr>
              <w:t>FWM</w:t>
            </w:r>
          </w:p>
        </w:tc>
        <w:tc>
          <w:tcPr>
            <w:tcW w:w="7320" w:type="dxa"/>
            <w:shd w:val="clear" w:color="auto" w:fill="auto"/>
          </w:tcPr>
          <w:p w14:paraId="1540CBA0" w14:textId="77777777" w:rsidR="00C7764C" w:rsidRPr="00C81B1E" w:rsidRDefault="00C7764C" w:rsidP="00C7764C">
            <w:pPr>
              <w:pStyle w:val="MDPI31text"/>
              <w:rPr>
                <w:rFonts w:eastAsia="Calibri"/>
                <w:lang w:val="en-GB" w:eastAsia="en-US"/>
              </w:rPr>
            </w:pPr>
            <w:r w:rsidRPr="00C81B1E">
              <w:rPr>
                <w:rFonts w:eastAsia="Calibri"/>
                <w:lang w:val="en-GB" w:eastAsia="en-US"/>
              </w:rPr>
              <w:t>Food Waste Management</w:t>
            </w:r>
          </w:p>
        </w:tc>
      </w:tr>
      <w:tr w:rsidR="00C7764C" w:rsidRPr="00C81B1E" w14:paraId="5A3DD556" w14:textId="77777777" w:rsidTr="00C81B1E">
        <w:tc>
          <w:tcPr>
            <w:tcW w:w="1696" w:type="dxa"/>
            <w:shd w:val="clear" w:color="auto" w:fill="auto"/>
          </w:tcPr>
          <w:p w14:paraId="66448633" w14:textId="77777777" w:rsidR="00C7764C" w:rsidRPr="00C81B1E" w:rsidRDefault="00C7764C" w:rsidP="00C7764C">
            <w:pPr>
              <w:pStyle w:val="MDPI31text"/>
              <w:rPr>
                <w:rFonts w:eastAsia="Calibri"/>
                <w:lang w:val="en-GB" w:eastAsia="en-US"/>
              </w:rPr>
            </w:pPr>
            <w:r w:rsidRPr="00C81B1E">
              <w:rPr>
                <w:rFonts w:eastAsia="Calibri"/>
                <w:lang w:val="en-GB" w:eastAsia="en-US"/>
              </w:rPr>
              <w:t>FWMS</w:t>
            </w:r>
          </w:p>
        </w:tc>
        <w:tc>
          <w:tcPr>
            <w:tcW w:w="7320" w:type="dxa"/>
            <w:shd w:val="clear" w:color="auto" w:fill="auto"/>
          </w:tcPr>
          <w:p w14:paraId="6DDD34C2" w14:textId="77777777" w:rsidR="00C7764C" w:rsidRPr="00C81B1E" w:rsidRDefault="00C7764C" w:rsidP="00C7764C">
            <w:pPr>
              <w:pStyle w:val="MDPI31text"/>
              <w:rPr>
                <w:rFonts w:eastAsia="Calibri"/>
                <w:lang w:val="en-GB" w:eastAsia="en-US"/>
              </w:rPr>
            </w:pPr>
            <w:r w:rsidRPr="00C81B1E">
              <w:rPr>
                <w:rFonts w:eastAsia="Calibri"/>
                <w:lang w:val="en-GB" w:eastAsia="en-US"/>
              </w:rPr>
              <w:t>Food Waste Management Solution</w:t>
            </w:r>
          </w:p>
        </w:tc>
      </w:tr>
      <w:tr w:rsidR="007516DB" w:rsidRPr="00C81B1E" w14:paraId="20A57406" w14:textId="77777777" w:rsidTr="00C81B1E">
        <w:tc>
          <w:tcPr>
            <w:tcW w:w="1696" w:type="dxa"/>
            <w:shd w:val="clear" w:color="auto" w:fill="auto"/>
          </w:tcPr>
          <w:p w14:paraId="74063DF7" w14:textId="0B4FD825" w:rsidR="007516DB" w:rsidRDefault="007516DB" w:rsidP="00C7764C">
            <w:pPr>
              <w:pStyle w:val="MDPI31text"/>
              <w:rPr>
                <w:rFonts w:eastAsia="Calibri"/>
                <w:lang w:val="en-GB" w:eastAsia="en-US"/>
              </w:rPr>
            </w:pPr>
            <w:r w:rsidRPr="007516DB">
              <w:rPr>
                <w:rFonts w:eastAsia="Calibri"/>
                <w:lang w:val="en-GB" w:eastAsia="en-US"/>
              </w:rPr>
              <w:t>I-TEQ</w:t>
            </w:r>
          </w:p>
        </w:tc>
        <w:tc>
          <w:tcPr>
            <w:tcW w:w="7320" w:type="dxa"/>
            <w:shd w:val="clear" w:color="auto" w:fill="auto"/>
          </w:tcPr>
          <w:p w14:paraId="2E843301" w14:textId="51C61DA4" w:rsidR="007516DB" w:rsidRPr="00562CFC" w:rsidRDefault="007516DB" w:rsidP="00C7764C">
            <w:pPr>
              <w:pStyle w:val="MDPI31text"/>
              <w:rPr>
                <w:rFonts w:eastAsia="Calibri"/>
                <w:lang w:val="en-GB" w:eastAsia="en-US"/>
              </w:rPr>
            </w:pPr>
            <w:r w:rsidRPr="007516DB">
              <w:rPr>
                <w:rFonts w:eastAsia="Calibri"/>
                <w:lang w:val="en-GB" w:eastAsia="en-US"/>
              </w:rPr>
              <w:t>International Toxic Equivalents</w:t>
            </w:r>
          </w:p>
        </w:tc>
      </w:tr>
      <w:tr w:rsidR="003C4887" w:rsidRPr="00C81B1E" w14:paraId="38210138" w14:textId="77777777" w:rsidTr="00C81B1E">
        <w:tc>
          <w:tcPr>
            <w:tcW w:w="1696" w:type="dxa"/>
            <w:shd w:val="clear" w:color="auto" w:fill="auto"/>
          </w:tcPr>
          <w:p w14:paraId="5A1B9852" w14:textId="154AC4B4" w:rsidR="003C4887" w:rsidRDefault="003C4887" w:rsidP="00C7764C">
            <w:pPr>
              <w:pStyle w:val="MDPI31text"/>
              <w:rPr>
                <w:rFonts w:eastAsia="Calibri"/>
                <w:lang w:val="en-GB" w:eastAsia="en-US"/>
              </w:rPr>
            </w:pPr>
            <w:r>
              <w:rPr>
                <w:rFonts w:eastAsia="Calibri"/>
                <w:lang w:val="en-GB" w:eastAsia="en-US"/>
              </w:rPr>
              <w:t>NIMBY</w:t>
            </w:r>
          </w:p>
        </w:tc>
        <w:tc>
          <w:tcPr>
            <w:tcW w:w="7320" w:type="dxa"/>
            <w:shd w:val="clear" w:color="auto" w:fill="auto"/>
          </w:tcPr>
          <w:p w14:paraId="6FAF6E22" w14:textId="3F230127" w:rsidR="003C4887" w:rsidRPr="00C81B1E" w:rsidRDefault="00562CFC" w:rsidP="00C7764C">
            <w:pPr>
              <w:pStyle w:val="MDPI31text"/>
              <w:rPr>
                <w:rFonts w:eastAsia="Calibri"/>
                <w:lang w:val="en-GB" w:eastAsia="en-US"/>
              </w:rPr>
            </w:pPr>
            <w:r w:rsidRPr="00562CFC">
              <w:rPr>
                <w:rFonts w:eastAsia="Calibri"/>
                <w:lang w:val="en-GB" w:eastAsia="en-US"/>
              </w:rPr>
              <w:t xml:space="preserve">Not </w:t>
            </w:r>
            <w:proofErr w:type="gramStart"/>
            <w:r w:rsidRPr="00562CFC">
              <w:rPr>
                <w:rFonts w:eastAsia="Calibri"/>
                <w:lang w:val="en-GB" w:eastAsia="en-US"/>
              </w:rPr>
              <w:t>In</w:t>
            </w:r>
            <w:proofErr w:type="gramEnd"/>
            <w:r w:rsidRPr="00562CFC">
              <w:rPr>
                <w:rFonts w:eastAsia="Calibri"/>
                <w:lang w:val="en-GB" w:eastAsia="en-US"/>
              </w:rPr>
              <w:t xml:space="preserve"> My Back Yard</w:t>
            </w:r>
            <w:r>
              <w:rPr>
                <w:rFonts w:eastAsia="Calibri"/>
                <w:lang w:val="en-GB" w:eastAsia="en-US"/>
              </w:rPr>
              <w:t xml:space="preserve"> phenomenon</w:t>
            </w:r>
          </w:p>
        </w:tc>
      </w:tr>
      <w:tr w:rsidR="003C4887" w:rsidRPr="00C81B1E" w14:paraId="40A3D5C5" w14:textId="77777777" w:rsidTr="00C81B1E">
        <w:tc>
          <w:tcPr>
            <w:tcW w:w="1696" w:type="dxa"/>
            <w:shd w:val="clear" w:color="auto" w:fill="auto"/>
          </w:tcPr>
          <w:p w14:paraId="5F2760C8" w14:textId="1B48315A" w:rsidR="003C4887" w:rsidRPr="00C81B1E" w:rsidRDefault="003C4887" w:rsidP="00C7764C">
            <w:pPr>
              <w:pStyle w:val="MDPI31text"/>
              <w:rPr>
                <w:rFonts w:eastAsia="Calibri"/>
                <w:lang w:val="en-GB" w:eastAsia="en-US"/>
              </w:rPr>
            </w:pPr>
            <w:r>
              <w:rPr>
                <w:rFonts w:eastAsia="Calibri"/>
                <w:lang w:val="en-GB" w:eastAsia="en-US"/>
              </w:rPr>
              <w:t>PAH</w:t>
            </w:r>
          </w:p>
        </w:tc>
        <w:tc>
          <w:tcPr>
            <w:tcW w:w="7320" w:type="dxa"/>
            <w:shd w:val="clear" w:color="auto" w:fill="auto"/>
          </w:tcPr>
          <w:p w14:paraId="04B8CD2C" w14:textId="78111A25" w:rsidR="003C4887" w:rsidRPr="00C81B1E" w:rsidRDefault="00562CFC" w:rsidP="00C7764C">
            <w:pPr>
              <w:pStyle w:val="MDPI31text"/>
              <w:rPr>
                <w:rFonts w:eastAsia="Calibri"/>
                <w:lang w:val="en-GB" w:eastAsia="en-US"/>
              </w:rPr>
            </w:pPr>
            <w:r w:rsidRPr="00562CFC">
              <w:rPr>
                <w:rFonts w:eastAsia="Calibri"/>
                <w:lang w:val="en-GB" w:eastAsia="en-US"/>
              </w:rPr>
              <w:t>Polycyclic Aromatic Hydrocarbons</w:t>
            </w:r>
          </w:p>
        </w:tc>
      </w:tr>
      <w:tr w:rsidR="003C4887" w:rsidRPr="00C81B1E" w14:paraId="5DE51651" w14:textId="77777777" w:rsidTr="00C81B1E">
        <w:tc>
          <w:tcPr>
            <w:tcW w:w="1696" w:type="dxa"/>
            <w:shd w:val="clear" w:color="auto" w:fill="auto"/>
          </w:tcPr>
          <w:p w14:paraId="4BFDE79F" w14:textId="289CB8F3" w:rsidR="003C4887" w:rsidRPr="00C81B1E" w:rsidRDefault="003C4887" w:rsidP="00C7764C">
            <w:pPr>
              <w:pStyle w:val="MDPI31text"/>
              <w:rPr>
                <w:rFonts w:eastAsia="Calibri"/>
                <w:lang w:val="en-GB" w:eastAsia="en-US"/>
              </w:rPr>
            </w:pPr>
            <w:r>
              <w:rPr>
                <w:rFonts w:eastAsia="Calibri"/>
                <w:lang w:val="en-GB" w:eastAsia="en-US"/>
              </w:rPr>
              <w:t>PCBs</w:t>
            </w:r>
          </w:p>
        </w:tc>
        <w:tc>
          <w:tcPr>
            <w:tcW w:w="7320" w:type="dxa"/>
            <w:shd w:val="clear" w:color="auto" w:fill="auto"/>
          </w:tcPr>
          <w:p w14:paraId="66AB8A4A" w14:textId="40DA8FCF" w:rsidR="003C4887" w:rsidRPr="00C81B1E" w:rsidRDefault="00562CFC" w:rsidP="00C7764C">
            <w:pPr>
              <w:pStyle w:val="MDPI31text"/>
              <w:rPr>
                <w:rFonts w:eastAsia="Calibri"/>
                <w:lang w:val="en-GB" w:eastAsia="en-US"/>
              </w:rPr>
            </w:pPr>
            <w:r w:rsidRPr="00562CFC">
              <w:rPr>
                <w:rFonts w:eastAsia="Calibri"/>
                <w:lang w:val="en-GB" w:eastAsia="en-US"/>
              </w:rPr>
              <w:t>Polychlorinated Biphenyl</w:t>
            </w:r>
            <w:r>
              <w:rPr>
                <w:rFonts w:eastAsia="Calibri"/>
                <w:lang w:val="en-GB" w:eastAsia="en-US"/>
              </w:rPr>
              <w:t>s</w:t>
            </w:r>
          </w:p>
        </w:tc>
      </w:tr>
      <w:tr w:rsidR="00C7764C" w:rsidRPr="00C81B1E" w14:paraId="1C6A668D" w14:textId="77777777" w:rsidTr="00C81B1E">
        <w:tc>
          <w:tcPr>
            <w:tcW w:w="1696" w:type="dxa"/>
            <w:shd w:val="clear" w:color="auto" w:fill="auto"/>
          </w:tcPr>
          <w:p w14:paraId="112E1C96" w14:textId="77777777" w:rsidR="00C7764C" w:rsidRPr="00C81B1E" w:rsidRDefault="00C7764C" w:rsidP="00C7764C">
            <w:pPr>
              <w:pStyle w:val="MDPI31text"/>
              <w:rPr>
                <w:rFonts w:eastAsia="Calibri"/>
                <w:lang w:val="en-GB" w:eastAsia="en-US"/>
              </w:rPr>
            </w:pPr>
            <w:r w:rsidRPr="00C81B1E">
              <w:rPr>
                <w:rFonts w:eastAsia="Calibri"/>
                <w:lang w:val="en-GB" w:eastAsia="en-US"/>
              </w:rPr>
              <w:t>R</w:t>
            </w:r>
          </w:p>
        </w:tc>
        <w:tc>
          <w:tcPr>
            <w:tcW w:w="7320" w:type="dxa"/>
            <w:shd w:val="clear" w:color="auto" w:fill="auto"/>
          </w:tcPr>
          <w:p w14:paraId="310B5FE3" w14:textId="77777777" w:rsidR="00C7764C" w:rsidRPr="00C81B1E" w:rsidRDefault="00C7764C" w:rsidP="00C7764C">
            <w:pPr>
              <w:pStyle w:val="MDPI31text"/>
              <w:rPr>
                <w:rFonts w:eastAsia="Calibri"/>
                <w:lang w:val="en-GB" w:eastAsia="en-US"/>
              </w:rPr>
            </w:pPr>
            <w:r w:rsidRPr="00C81B1E">
              <w:rPr>
                <w:rFonts w:eastAsia="Calibri"/>
                <w:lang w:val="en-GB" w:eastAsia="en-US"/>
              </w:rPr>
              <w:t>Redistribution</w:t>
            </w:r>
          </w:p>
        </w:tc>
      </w:tr>
      <w:tr w:rsidR="00C7764C" w:rsidRPr="00C81B1E" w14:paraId="426E0051" w14:textId="77777777" w:rsidTr="00C81B1E">
        <w:tc>
          <w:tcPr>
            <w:tcW w:w="1696" w:type="dxa"/>
            <w:shd w:val="clear" w:color="auto" w:fill="auto"/>
          </w:tcPr>
          <w:p w14:paraId="38ECF5F5" w14:textId="77777777" w:rsidR="00C7764C" w:rsidRPr="00C81B1E" w:rsidRDefault="00C7764C" w:rsidP="00C7764C">
            <w:pPr>
              <w:pStyle w:val="MDPI31text"/>
              <w:rPr>
                <w:rFonts w:eastAsia="Calibri"/>
                <w:lang w:val="en-GB" w:eastAsia="en-US"/>
              </w:rPr>
            </w:pPr>
            <w:r w:rsidRPr="00C81B1E">
              <w:rPr>
                <w:rFonts w:eastAsia="Calibri"/>
                <w:lang w:val="en-GB" w:eastAsia="en-US"/>
              </w:rPr>
              <w:t>T</w:t>
            </w:r>
          </w:p>
        </w:tc>
        <w:tc>
          <w:tcPr>
            <w:tcW w:w="7320" w:type="dxa"/>
            <w:shd w:val="clear" w:color="auto" w:fill="auto"/>
          </w:tcPr>
          <w:p w14:paraId="75A47D76" w14:textId="77777777" w:rsidR="00C7764C" w:rsidRPr="00C81B1E" w:rsidRDefault="00C7764C" w:rsidP="00C7764C">
            <w:pPr>
              <w:pStyle w:val="MDPI31text"/>
              <w:rPr>
                <w:rFonts w:eastAsia="Calibri"/>
                <w:lang w:val="en-GB" w:eastAsia="en-US"/>
              </w:rPr>
            </w:pPr>
            <w:r w:rsidRPr="00C81B1E">
              <w:rPr>
                <w:rFonts w:eastAsia="Calibri"/>
                <w:lang w:val="en-GB" w:eastAsia="en-US"/>
              </w:rPr>
              <w:t>Transport</w:t>
            </w:r>
          </w:p>
        </w:tc>
      </w:tr>
      <w:tr w:rsidR="00AB5AA1" w:rsidRPr="00C81B1E" w14:paraId="30E95D00" w14:textId="77777777" w:rsidTr="00C81B1E">
        <w:tc>
          <w:tcPr>
            <w:tcW w:w="1696" w:type="dxa"/>
            <w:shd w:val="clear" w:color="auto" w:fill="auto"/>
          </w:tcPr>
          <w:p w14:paraId="16100664" w14:textId="291AE16E" w:rsidR="00AB5AA1" w:rsidRPr="00C81B1E" w:rsidRDefault="007516DB" w:rsidP="00C7764C">
            <w:pPr>
              <w:pStyle w:val="MDPI31text"/>
              <w:rPr>
                <w:rFonts w:eastAsia="Calibri"/>
                <w:lang w:val="en-GB" w:eastAsia="en-US"/>
              </w:rPr>
            </w:pPr>
            <w:r w:rsidRPr="007516DB">
              <w:rPr>
                <w:rFonts w:eastAsia="Calibri"/>
                <w:lang w:val="en-GB" w:eastAsia="en-US"/>
              </w:rPr>
              <w:t>TOC</w:t>
            </w:r>
          </w:p>
        </w:tc>
        <w:tc>
          <w:tcPr>
            <w:tcW w:w="7320" w:type="dxa"/>
            <w:shd w:val="clear" w:color="auto" w:fill="auto"/>
          </w:tcPr>
          <w:p w14:paraId="7FD1DBC7" w14:textId="3A3978FD" w:rsidR="00AB5AA1" w:rsidRPr="00C81B1E" w:rsidRDefault="007516DB" w:rsidP="00C7764C">
            <w:pPr>
              <w:pStyle w:val="MDPI31text"/>
              <w:rPr>
                <w:rFonts w:eastAsia="Calibri"/>
                <w:lang w:val="en-GB" w:eastAsia="en-US"/>
              </w:rPr>
            </w:pPr>
            <w:r w:rsidRPr="007516DB">
              <w:rPr>
                <w:rFonts w:eastAsia="Calibri"/>
                <w:lang w:val="en-GB" w:eastAsia="en-US"/>
              </w:rPr>
              <w:t>Total Organic Carbon</w:t>
            </w:r>
          </w:p>
        </w:tc>
      </w:tr>
      <w:tr w:rsidR="00AB5AA1" w:rsidRPr="00C81B1E" w14:paraId="1ADE24E2" w14:textId="77777777" w:rsidTr="00C81B1E">
        <w:tc>
          <w:tcPr>
            <w:tcW w:w="1696" w:type="dxa"/>
            <w:shd w:val="clear" w:color="auto" w:fill="auto"/>
          </w:tcPr>
          <w:p w14:paraId="638A1FC8" w14:textId="7AEA5131" w:rsidR="00AB5AA1" w:rsidRPr="00C81B1E" w:rsidRDefault="007516DB" w:rsidP="00C7764C">
            <w:pPr>
              <w:pStyle w:val="MDPI31text"/>
              <w:rPr>
                <w:rFonts w:eastAsia="Calibri"/>
                <w:lang w:val="en-GB" w:eastAsia="en-US"/>
              </w:rPr>
            </w:pPr>
            <w:r w:rsidRPr="007516DB">
              <w:rPr>
                <w:rFonts w:eastAsia="Calibri"/>
                <w:lang w:val="en-GB" w:eastAsia="en-US"/>
              </w:rPr>
              <w:t>TS</w:t>
            </w:r>
          </w:p>
        </w:tc>
        <w:tc>
          <w:tcPr>
            <w:tcW w:w="7320" w:type="dxa"/>
            <w:shd w:val="clear" w:color="auto" w:fill="auto"/>
          </w:tcPr>
          <w:p w14:paraId="44F234BE" w14:textId="419A49E4" w:rsidR="00AB5AA1" w:rsidRPr="00C81B1E" w:rsidRDefault="007516DB" w:rsidP="00C7764C">
            <w:pPr>
              <w:pStyle w:val="MDPI31text"/>
              <w:rPr>
                <w:rFonts w:eastAsia="Calibri"/>
                <w:lang w:val="en-GB" w:eastAsia="en-US"/>
              </w:rPr>
            </w:pPr>
            <w:r>
              <w:rPr>
                <w:rFonts w:eastAsia="Calibri"/>
                <w:lang w:val="en-GB" w:eastAsia="en-US"/>
              </w:rPr>
              <w:t>Total Solids</w:t>
            </w:r>
          </w:p>
        </w:tc>
      </w:tr>
      <w:tr w:rsidR="00C7764C" w:rsidRPr="00C81B1E" w14:paraId="1B054775" w14:textId="77777777" w:rsidTr="00C81B1E">
        <w:tc>
          <w:tcPr>
            <w:tcW w:w="1696" w:type="dxa"/>
            <w:shd w:val="clear" w:color="auto" w:fill="auto"/>
          </w:tcPr>
          <w:p w14:paraId="110F055C" w14:textId="77777777" w:rsidR="00C7764C" w:rsidRPr="00C81B1E" w:rsidRDefault="00C7764C" w:rsidP="00C7764C">
            <w:pPr>
              <w:pStyle w:val="MDPI31text"/>
              <w:rPr>
                <w:rFonts w:eastAsia="Calibri"/>
                <w:lang w:val="en-GB" w:eastAsia="en-US"/>
              </w:rPr>
            </w:pPr>
            <w:r w:rsidRPr="00C81B1E">
              <w:rPr>
                <w:rFonts w:eastAsia="Calibri"/>
                <w:lang w:val="en-GB" w:eastAsia="en-US"/>
              </w:rPr>
              <w:t>TT</w:t>
            </w:r>
          </w:p>
        </w:tc>
        <w:tc>
          <w:tcPr>
            <w:tcW w:w="7320" w:type="dxa"/>
            <w:shd w:val="clear" w:color="auto" w:fill="auto"/>
          </w:tcPr>
          <w:p w14:paraId="084D5D69" w14:textId="77777777" w:rsidR="00C7764C" w:rsidRPr="00C81B1E" w:rsidRDefault="00C7764C" w:rsidP="00C7764C">
            <w:pPr>
              <w:pStyle w:val="MDPI31text"/>
              <w:rPr>
                <w:rFonts w:eastAsia="Calibri"/>
                <w:lang w:val="en-GB" w:eastAsia="en-US"/>
              </w:rPr>
            </w:pPr>
            <w:r w:rsidRPr="00C81B1E">
              <w:rPr>
                <w:rFonts w:eastAsia="Calibri"/>
                <w:lang w:val="en-GB" w:eastAsia="en-US"/>
              </w:rPr>
              <w:t>Thermal Treatment with energy recovery</w:t>
            </w:r>
          </w:p>
        </w:tc>
      </w:tr>
      <w:tr w:rsidR="003C4887" w:rsidRPr="00C81B1E" w14:paraId="7ADC8054" w14:textId="77777777" w:rsidTr="00C81B1E">
        <w:tc>
          <w:tcPr>
            <w:tcW w:w="1696" w:type="dxa"/>
            <w:shd w:val="clear" w:color="auto" w:fill="auto"/>
          </w:tcPr>
          <w:p w14:paraId="688625F1" w14:textId="5C3B7043" w:rsidR="003C4887" w:rsidRDefault="003C4887" w:rsidP="00C7764C">
            <w:pPr>
              <w:pStyle w:val="MDPI31text"/>
              <w:rPr>
                <w:rFonts w:eastAsia="Calibri"/>
                <w:lang w:val="en-GB" w:eastAsia="en-US"/>
              </w:rPr>
            </w:pPr>
            <w:r>
              <w:rPr>
                <w:rFonts w:eastAsia="Calibri"/>
                <w:lang w:val="en-GB" w:eastAsia="en-US"/>
              </w:rPr>
              <w:t>VFAs</w:t>
            </w:r>
          </w:p>
        </w:tc>
        <w:tc>
          <w:tcPr>
            <w:tcW w:w="7320" w:type="dxa"/>
            <w:shd w:val="clear" w:color="auto" w:fill="auto"/>
          </w:tcPr>
          <w:p w14:paraId="7D6A877B" w14:textId="027B6443" w:rsidR="003C4887" w:rsidRPr="00C81B1E" w:rsidRDefault="00562CFC" w:rsidP="00C7764C">
            <w:pPr>
              <w:pStyle w:val="MDPI31text"/>
              <w:rPr>
                <w:rFonts w:eastAsia="Calibri"/>
                <w:lang w:val="en-GB" w:eastAsia="en-US"/>
              </w:rPr>
            </w:pPr>
            <w:r w:rsidRPr="00562CFC">
              <w:rPr>
                <w:rFonts w:eastAsia="Calibri"/>
                <w:lang w:val="en-GB" w:eastAsia="en-US"/>
              </w:rPr>
              <w:t>Volatile Fatty Acids</w:t>
            </w:r>
          </w:p>
        </w:tc>
      </w:tr>
      <w:tr w:rsidR="003C4887" w:rsidRPr="00C81B1E" w14:paraId="2C2E772B" w14:textId="77777777" w:rsidTr="00C81B1E">
        <w:tc>
          <w:tcPr>
            <w:tcW w:w="1696" w:type="dxa"/>
            <w:shd w:val="clear" w:color="auto" w:fill="auto"/>
          </w:tcPr>
          <w:p w14:paraId="657E6EE9" w14:textId="477ADEF0" w:rsidR="003C4887" w:rsidRPr="00C81B1E" w:rsidRDefault="003C4887" w:rsidP="00C7764C">
            <w:pPr>
              <w:pStyle w:val="MDPI31text"/>
              <w:rPr>
                <w:rFonts w:eastAsia="Calibri"/>
                <w:lang w:val="en-GB" w:eastAsia="en-US"/>
              </w:rPr>
            </w:pPr>
            <w:r>
              <w:rPr>
                <w:rFonts w:eastAsia="Calibri"/>
                <w:lang w:val="en-GB" w:eastAsia="en-US"/>
              </w:rPr>
              <w:t>VS</w:t>
            </w:r>
          </w:p>
        </w:tc>
        <w:tc>
          <w:tcPr>
            <w:tcW w:w="7320" w:type="dxa"/>
            <w:shd w:val="clear" w:color="auto" w:fill="auto"/>
          </w:tcPr>
          <w:p w14:paraId="3E71BB62" w14:textId="2BD23E68" w:rsidR="003C4887" w:rsidRPr="00C81B1E" w:rsidRDefault="00562CFC" w:rsidP="00C7764C">
            <w:pPr>
              <w:pStyle w:val="MDPI31text"/>
              <w:rPr>
                <w:rFonts w:eastAsia="Calibri"/>
                <w:lang w:val="en-GB" w:eastAsia="en-US"/>
              </w:rPr>
            </w:pPr>
            <w:r>
              <w:rPr>
                <w:rFonts w:eastAsia="Calibri"/>
                <w:lang w:val="en-GB" w:eastAsia="en-US"/>
              </w:rPr>
              <w:t>Volatile Solids</w:t>
            </w:r>
          </w:p>
        </w:tc>
      </w:tr>
      <w:tr w:rsidR="00C7764C" w:rsidRPr="00C81B1E" w14:paraId="1D9696DB" w14:textId="77777777" w:rsidTr="00C81B1E">
        <w:tc>
          <w:tcPr>
            <w:tcW w:w="1696" w:type="dxa"/>
            <w:shd w:val="clear" w:color="auto" w:fill="auto"/>
          </w:tcPr>
          <w:p w14:paraId="349323D4" w14:textId="77777777" w:rsidR="00C7764C" w:rsidRPr="00C81B1E" w:rsidRDefault="00C7764C" w:rsidP="00C7764C">
            <w:pPr>
              <w:pStyle w:val="MDPI31text"/>
              <w:rPr>
                <w:rFonts w:eastAsia="Calibri"/>
                <w:lang w:val="en-GB" w:eastAsia="en-US"/>
              </w:rPr>
            </w:pPr>
          </w:p>
        </w:tc>
        <w:tc>
          <w:tcPr>
            <w:tcW w:w="7320" w:type="dxa"/>
            <w:shd w:val="clear" w:color="auto" w:fill="auto"/>
          </w:tcPr>
          <w:p w14:paraId="0BD24B12" w14:textId="77777777" w:rsidR="00C7764C" w:rsidRPr="00C81B1E" w:rsidRDefault="00C7764C" w:rsidP="00C7764C">
            <w:pPr>
              <w:pStyle w:val="MDPI31text"/>
              <w:rPr>
                <w:rFonts w:eastAsia="Calibri"/>
                <w:lang w:val="en-GB" w:eastAsia="en-US"/>
              </w:rPr>
            </w:pPr>
          </w:p>
        </w:tc>
      </w:tr>
    </w:tbl>
    <w:p w14:paraId="35261492" w14:textId="77777777" w:rsidR="00C7764C" w:rsidRPr="00C7764C" w:rsidRDefault="00C7764C" w:rsidP="00C7764C">
      <w:pPr>
        <w:pStyle w:val="MDPI31text"/>
        <w:rPr>
          <w:rFonts w:eastAsia="Calibri"/>
          <w:lang w:val="en-GB" w:eastAsia="en-US"/>
        </w:rPr>
      </w:pPr>
      <w:r w:rsidRPr="00C7764C">
        <w:rPr>
          <w:rFonts w:eastAsia="Calibri"/>
          <w:lang w:val="en-GB" w:eastAsia="en-US"/>
        </w:rPr>
        <w:t>The tables are comprised of four columns: the first column shows the attribute considered, the second column gives an example of that type of attribute or a unit commonly used to measure it, the third column presents the FWMSs that need the attribute to be defined, and the last column gives one example of published research where the attribute is used per type of FWMS listed in the third column. Consequently, the references from the fourth column, which include published research and legislation, confirm the need to consider the attribute for the FWMS assessed.</w:t>
      </w:r>
    </w:p>
    <w:p w14:paraId="290678D9" w14:textId="47A35E28" w:rsidR="00F4061C" w:rsidRPr="00C7764C" w:rsidRDefault="00F4061C" w:rsidP="00F4061C">
      <w:pPr>
        <w:pStyle w:val="MDPI71References"/>
        <w:numPr>
          <w:ilvl w:val="0"/>
          <w:numId w:val="0"/>
        </w:numPr>
        <w:spacing w:after="240"/>
        <w:ind w:left="425"/>
        <w:rPr>
          <w:lang w:val="en-GB"/>
        </w:rPr>
      </w:pPr>
    </w:p>
    <w:p w14:paraId="69677E57" w14:textId="77777777" w:rsidR="00C7764C" w:rsidRPr="00C7764C" w:rsidRDefault="00C7764C" w:rsidP="00C7764C">
      <w:pPr>
        <w:pStyle w:val="MDPI41tablecaption"/>
        <w:rPr>
          <w:rFonts w:eastAsia="Calibri"/>
          <w:lang w:val="en-GB" w:eastAsia="en-US"/>
        </w:rPr>
      </w:pPr>
      <w:r w:rsidRPr="00C7764C">
        <w:rPr>
          <w:rFonts w:eastAsia="Calibri"/>
          <w:lang w:val="en-GB" w:eastAsia="en-US"/>
        </w:rPr>
        <w:t xml:space="preserve">Table </w:t>
      </w:r>
      <w:r w:rsidRPr="00C7764C">
        <w:rPr>
          <w:rFonts w:eastAsia="Calibri"/>
          <w:lang w:val="en-GB" w:eastAsia="en-US"/>
        </w:rPr>
        <w:fldChar w:fldCharType="begin"/>
      </w:r>
      <w:r w:rsidRPr="00C7764C">
        <w:rPr>
          <w:rFonts w:eastAsia="Calibri"/>
          <w:lang w:val="en-GB" w:eastAsia="en-US"/>
        </w:rPr>
        <w:instrText xml:space="preserve"> SEQ Table \* ARABIC </w:instrText>
      </w:r>
      <w:r w:rsidRPr="00C7764C">
        <w:rPr>
          <w:rFonts w:eastAsia="Calibri"/>
          <w:lang w:val="en-GB" w:eastAsia="en-US"/>
        </w:rPr>
        <w:fldChar w:fldCharType="separate"/>
      </w:r>
      <w:r w:rsidRPr="00C7764C">
        <w:rPr>
          <w:rFonts w:eastAsia="Calibri"/>
          <w:noProof/>
          <w:lang w:val="en-GB" w:eastAsia="en-US"/>
        </w:rPr>
        <w:t>1</w:t>
      </w:r>
      <w:r w:rsidRPr="00C7764C">
        <w:rPr>
          <w:rFonts w:eastAsia="Calibri"/>
          <w:lang w:val="en-GB" w:eastAsia="en-US"/>
        </w:rPr>
        <w:fldChar w:fldCharType="end"/>
      </w:r>
      <w:r w:rsidRPr="00C7764C">
        <w:rPr>
          <w:rFonts w:eastAsia="Calibri"/>
          <w:lang w:val="en-GB" w:eastAsia="en-US"/>
        </w:rPr>
        <w:t>. Qualitative FW parameters</w:t>
      </w:r>
    </w:p>
    <w:tbl>
      <w:tblPr>
        <w:tblW w:w="9086" w:type="dxa"/>
        <w:tblBorders>
          <w:top w:val="single" w:sz="4" w:space="0" w:color="7F7F7F"/>
          <w:bottom w:val="single" w:sz="4" w:space="0" w:color="7F7F7F"/>
        </w:tblBorders>
        <w:tblLayout w:type="fixed"/>
        <w:tblLook w:val="04A0" w:firstRow="1" w:lastRow="0" w:firstColumn="1" w:lastColumn="0" w:noHBand="0" w:noVBand="1"/>
      </w:tblPr>
      <w:tblGrid>
        <w:gridCol w:w="2142"/>
        <w:gridCol w:w="3118"/>
        <w:gridCol w:w="1275"/>
        <w:gridCol w:w="2551"/>
      </w:tblGrid>
      <w:tr w:rsidR="00C81B1E" w:rsidRPr="00C81B1E" w14:paraId="54E6730F" w14:textId="77777777" w:rsidTr="00C81B1E">
        <w:trPr>
          <w:trHeight w:val="255"/>
        </w:trPr>
        <w:tc>
          <w:tcPr>
            <w:tcW w:w="2142" w:type="dxa"/>
            <w:tcBorders>
              <w:bottom w:val="single" w:sz="4" w:space="0" w:color="7F7F7F"/>
            </w:tcBorders>
            <w:shd w:val="clear" w:color="auto" w:fill="auto"/>
            <w:noWrap/>
            <w:vAlign w:val="center"/>
            <w:hideMark/>
          </w:tcPr>
          <w:p w14:paraId="4266B3DC" w14:textId="77777777" w:rsidR="00C7764C" w:rsidRPr="00C81B1E" w:rsidRDefault="00C7764C" w:rsidP="00C7764C">
            <w:pPr>
              <w:pStyle w:val="MDPI42tablebody"/>
              <w:rPr>
                <w:rFonts w:eastAsia="Calibri"/>
                <w:b/>
                <w:bCs/>
                <w:szCs w:val="22"/>
                <w:lang w:val="en-GB" w:eastAsia="en-US"/>
              </w:rPr>
            </w:pPr>
            <w:r w:rsidRPr="00C81B1E">
              <w:rPr>
                <w:rFonts w:eastAsia="Calibri"/>
                <w:b/>
                <w:bCs/>
                <w:szCs w:val="22"/>
                <w:lang w:val="en-GB" w:eastAsia="en-US"/>
              </w:rPr>
              <w:t>Parameter</w:t>
            </w:r>
          </w:p>
        </w:tc>
        <w:tc>
          <w:tcPr>
            <w:tcW w:w="3118" w:type="dxa"/>
            <w:tcBorders>
              <w:bottom w:val="single" w:sz="4" w:space="0" w:color="7F7F7F"/>
            </w:tcBorders>
            <w:shd w:val="clear" w:color="auto" w:fill="auto"/>
            <w:noWrap/>
            <w:vAlign w:val="center"/>
            <w:hideMark/>
          </w:tcPr>
          <w:p w14:paraId="790EDA1B" w14:textId="77777777" w:rsidR="00C7764C" w:rsidRPr="00C81B1E" w:rsidRDefault="00C7764C" w:rsidP="00C7764C">
            <w:pPr>
              <w:pStyle w:val="MDPI42tablebody"/>
              <w:rPr>
                <w:rFonts w:eastAsia="Calibri"/>
                <w:b/>
                <w:bCs/>
                <w:szCs w:val="22"/>
                <w:lang w:val="en-GB" w:eastAsia="en-US"/>
              </w:rPr>
            </w:pPr>
            <w:r w:rsidRPr="00C81B1E">
              <w:rPr>
                <w:rFonts w:eastAsia="Calibri"/>
                <w:b/>
                <w:bCs/>
                <w:szCs w:val="22"/>
                <w:lang w:val="en-GB" w:eastAsia="en-US"/>
              </w:rPr>
              <w:t>Example or unit</w:t>
            </w:r>
          </w:p>
        </w:tc>
        <w:tc>
          <w:tcPr>
            <w:tcW w:w="1275" w:type="dxa"/>
            <w:tcBorders>
              <w:bottom w:val="single" w:sz="4" w:space="0" w:color="7F7F7F"/>
            </w:tcBorders>
            <w:shd w:val="clear" w:color="auto" w:fill="auto"/>
            <w:noWrap/>
            <w:vAlign w:val="center"/>
            <w:hideMark/>
          </w:tcPr>
          <w:p w14:paraId="49D2402F" w14:textId="77777777" w:rsidR="00C7764C" w:rsidRPr="00C81B1E" w:rsidRDefault="00C7764C" w:rsidP="00C7764C">
            <w:pPr>
              <w:pStyle w:val="MDPI42tablebody"/>
              <w:rPr>
                <w:rFonts w:eastAsia="Calibri"/>
                <w:b/>
                <w:bCs/>
                <w:szCs w:val="22"/>
                <w:lang w:val="en-GB" w:eastAsia="en-US"/>
              </w:rPr>
            </w:pPr>
            <w:r w:rsidRPr="00C81B1E">
              <w:rPr>
                <w:rFonts w:eastAsia="Calibri"/>
                <w:b/>
                <w:bCs/>
                <w:szCs w:val="22"/>
                <w:lang w:val="en-GB" w:eastAsia="en-US"/>
              </w:rPr>
              <w:t>FWMS</w:t>
            </w:r>
          </w:p>
        </w:tc>
        <w:tc>
          <w:tcPr>
            <w:tcW w:w="2551" w:type="dxa"/>
            <w:tcBorders>
              <w:bottom w:val="single" w:sz="4" w:space="0" w:color="7F7F7F"/>
            </w:tcBorders>
            <w:shd w:val="clear" w:color="auto" w:fill="auto"/>
            <w:noWrap/>
            <w:vAlign w:val="center"/>
            <w:hideMark/>
          </w:tcPr>
          <w:p w14:paraId="21F52703" w14:textId="77777777" w:rsidR="00C7764C" w:rsidRPr="00C81B1E" w:rsidRDefault="00C7764C" w:rsidP="00C7764C">
            <w:pPr>
              <w:pStyle w:val="MDPI42tablebody"/>
              <w:rPr>
                <w:rFonts w:eastAsia="Calibri"/>
                <w:b/>
                <w:bCs/>
                <w:szCs w:val="22"/>
                <w:lang w:val="en-GB" w:eastAsia="en-US"/>
              </w:rPr>
            </w:pPr>
            <w:r w:rsidRPr="00C81B1E">
              <w:rPr>
                <w:rFonts w:eastAsia="Calibri"/>
                <w:b/>
                <w:bCs/>
                <w:szCs w:val="22"/>
                <w:lang w:val="en-GB" w:eastAsia="en-US"/>
              </w:rPr>
              <w:t>Reference</w:t>
            </w:r>
          </w:p>
        </w:tc>
      </w:tr>
      <w:tr w:rsidR="00C81B1E" w:rsidRPr="00C81B1E" w14:paraId="4698C76C" w14:textId="77777777" w:rsidTr="00C81B1E">
        <w:trPr>
          <w:trHeight w:val="255"/>
        </w:trPr>
        <w:tc>
          <w:tcPr>
            <w:tcW w:w="2142" w:type="dxa"/>
            <w:tcBorders>
              <w:top w:val="single" w:sz="4" w:space="0" w:color="7F7F7F"/>
              <w:bottom w:val="single" w:sz="4" w:space="0" w:color="7F7F7F"/>
            </w:tcBorders>
            <w:shd w:val="clear" w:color="auto" w:fill="auto"/>
            <w:noWrap/>
            <w:vAlign w:val="center"/>
            <w:hideMark/>
          </w:tcPr>
          <w:p w14:paraId="27D8DF8A" w14:textId="77777777" w:rsidR="00C7764C" w:rsidRPr="00C81B1E" w:rsidRDefault="00C7764C" w:rsidP="00C7764C">
            <w:pPr>
              <w:pStyle w:val="MDPI42tablebody"/>
              <w:rPr>
                <w:rFonts w:eastAsia="Calibri"/>
                <w:b/>
                <w:bCs/>
                <w:szCs w:val="22"/>
                <w:lang w:val="en-GB" w:eastAsia="en-US"/>
              </w:rPr>
            </w:pPr>
            <w:r w:rsidRPr="00C81B1E">
              <w:rPr>
                <w:rFonts w:eastAsia="Calibri"/>
                <w:b/>
                <w:bCs/>
                <w:szCs w:val="22"/>
                <w:lang w:val="en-GB" w:eastAsia="en-US"/>
              </w:rPr>
              <w:t>Edibility</w:t>
            </w:r>
          </w:p>
        </w:tc>
        <w:tc>
          <w:tcPr>
            <w:tcW w:w="3118" w:type="dxa"/>
            <w:tcBorders>
              <w:top w:val="single" w:sz="4" w:space="0" w:color="7F7F7F"/>
              <w:bottom w:val="single" w:sz="4" w:space="0" w:color="7F7F7F"/>
            </w:tcBorders>
            <w:shd w:val="clear" w:color="auto" w:fill="auto"/>
            <w:noWrap/>
            <w:vAlign w:val="center"/>
            <w:hideMark/>
          </w:tcPr>
          <w:p w14:paraId="460489D9" w14:textId="77777777" w:rsidR="00C7764C" w:rsidRPr="00C81B1E" w:rsidRDefault="00C7764C" w:rsidP="00C7764C">
            <w:pPr>
              <w:pStyle w:val="MDPI42tablebody"/>
              <w:rPr>
                <w:rFonts w:eastAsia="Calibri"/>
                <w:szCs w:val="22"/>
                <w:lang w:val="en-GB" w:eastAsia="en-US"/>
              </w:rPr>
            </w:pPr>
            <w:r w:rsidRPr="00C81B1E">
              <w:rPr>
                <w:rFonts w:eastAsia="Calibri"/>
                <w:szCs w:val="22"/>
                <w:lang w:val="en-GB" w:eastAsia="en-US"/>
              </w:rPr>
              <w:t>Edible / Inedible</w:t>
            </w:r>
          </w:p>
        </w:tc>
        <w:tc>
          <w:tcPr>
            <w:tcW w:w="1275" w:type="dxa"/>
            <w:tcBorders>
              <w:top w:val="single" w:sz="4" w:space="0" w:color="7F7F7F"/>
              <w:bottom w:val="single" w:sz="4" w:space="0" w:color="7F7F7F"/>
            </w:tcBorders>
            <w:shd w:val="clear" w:color="auto" w:fill="auto"/>
            <w:noWrap/>
            <w:vAlign w:val="center"/>
            <w:hideMark/>
          </w:tcPr>
          <w:p w14:paraId="37292612" w14:textId="77777777" w:rsidR="00C7764C" w:rsidRPr="00C81B1E" w:rsidRDefault="00C7764C" w:rsidP="00C7764C">
            <w:pPr>
              <w:pStyle w:val="MDPI42tablebody"/>
              <w:rPr>
                <w:rFonts w:eastAsia="Calibri"/>
                <w:szCs w:val="22"/>
                <w:lang w:val="en-GB" w:eastAsia="en-US"/>
              </w:rPr>
            </w:pPr>
            <w:r w:rsidRPr="00C81B1E">
              <w:rPr>
                <w:rFonts w:eastAsia="Calibri"/>
                <w:szCs w:val="22"/>
                <w:lang w:val="en-GB" w:eastAsia="en-US"/>
              </w:rPr>
              <w:t>R, AF</w:t>
            </w:r>
          </w:p>
        </w:tc>
        <w:tc>
          <w:tcPr>
            <w:tcW w:w="2551" w:type="dxa"/>
            <w:vMerge w:val="restart"/>
            <w:tcBorders>
              <w:top w:val="single" w:sz="4" w:space="0" w:color="7F7F7F"/>
              <w:bottom w:val="single" w:sz="4" w:space="0" w:color="7F7F7F"/>
            </w:tcBorders>
            <w:shd w:val="clear" w:color="auto" w:fill="auto"/>
            <w:noWrap/>
            <w:vAlign w:val="center"/>
            <w:hideMark/>
          </w:tcPr>
          <w:p w14:paraId="40A64B05" w14:textId="77777777" w:rsidR="00C7764C" w:rsidRPr="00C81B1E" w:rsidRDefault="00C7764C" w:rsidP="00C7764C">
            <w:pPr>
              <w:pStyle w:val="MDPI42tablebody"/>
              <w:rPr>
                <w:rFonts w:eastAsia="Calibri"/>
                <w:szCs w:val="22"/>
                <w:lang w:val="en-GB" w:eastAsia="en-US"/>
              </w:rPr>
            </w:pPr>
            <w:r w:rsidRPr="00C81B1E">
              <w:rPr>
                <w:rFonts w:eastAsia="Calibri"/>
                <w:szCs w:val="22"/>
                <w:lang w:val="en-GB" w:eastAsia="en-US"/>
              </w:rPr>
              <w:fldChar w:fldCharType="begin" w:fldLock="1"/>
            </w:r>
            <w:r w:rsidRPr="00C81B1E">
              <w:rPr>
                <w:rFonts w:eastAsia="Calibri"/>
                <w:szCs w:val="22"/>
                <w:lang w:val="en-GB" w:eastAsia="en-US"/>
              </w:rPr>
              <w:instrText>ADDIN CSL_CITATION {"citationItems":[{"id":"ITEM-1","itemData":{"DOI":"10.1007/s12649-016-9720-0","ISSN":"1877265X","abstract":"As much as one-third of the food intentionally grown for human consumption is never consumed and is therefore wasted, with significant environmental, social and economic ramifications. An increasing number of publications in this area currently consider different aspects of this critical issue, and generally focus on proactive approaches to reduce food waste, or reactive solutions for more efficient waste management. In this context, this paper takes a holistic approach with the aim of achieving a better understanding of the different types of food waste, and using this knowledge to support informed decisions for more sustainable management of food waste. With this aim, existing food waste categorizations are reviewed and their usefulness are analysed. A systematic methodology to identify types of food waste through a nine-stage categorization is used in conjunction with a version of the waste hierarchy applied to food products. For each type of food waste characterized, a set of waste management alternatives are suggested in order to minimize environmental impacts and maximize social and economic benefits. This decision-support process is demonstrated for two case studies from the UK food manufacturing sector. As a result, types of food waste which could be managed in a more sustainable manner are identified and recommendations are given. The applicability of the categorisation process for industrial food waste management is discussed.","author":[{"dropping-particle":"","family":"Garcia-Garcia","given":"Guillermo","non-dropping-particle":"","parse-names":false,"suffix":""},{"dropping-particle":"","family":"Woolley","given":"Elliot","non-dropping-particle":"","parse-names":false,"suffix":""},{"dropping-particle":"","family":"Rahimifard","given":"Shahin","non-dropping-particle":"","parse-names":false,"suffix":""},{"dropping-particle":"","family":"Colwill","given":"James","non-dropping-particle":"","parse-names":false,"suffix":""},{"dropping-particle":"","family":"White","given":"Rod","non-dropping-particle":"","parse-names":false,"suffix":""},{"dropping-particle":"","family":"Needham","given":"Louise","non-dropping-particle":"","parse-names":false,"suffix":""}],"container-title":"Waste and Biomass Valorization","id":"ITEM-1","issue":"6","issued":{"date-parts":[["2017"]]},"page":"2209-2227","publisher":"Springer Netherlands","title":"A methodology for sustainable management of food waste","type":"article-journal","volume":"8"},"uris":["http://www.mendeley.com/documents/?uuid=2b4e59ac-e383-4368-8c01-dbfc4bc5ff05"]}],"mendeley":{"formattedCitation":"(Garcia-Garcia et al., 2017)","manualFormatting":"Garcia-Garcia et al. (2017)","plainTextFormattedCitation":"(Garcia-Garcia et al., 2017)","previouslyFormattedCitation":"(Garcia-Garcia et al., 2017)"},"properties":{"noteIndex":0},"schema":"https://github.com/citation-style-language/schema/raw/master/csl-citation.json"}</w:instrText>
            </w:r>
            <w:r w:rsidRPr="00C81B1E">
              <w:rPr>
                <w:rFonts w:eastAsia="Calibri"/>
                <w:szCs w:val="22"/>
                <w:lang w:val="en-GB" w:eastAsia="en-US"/>
              </w:rPr>
              <w:fldChar w:fldCharType="separate"/>
            </w:r>
            <w:r w:rsidRPr="00C81B1E">
              <w:rPr>
                <w:rFonts w:eastAsia="Calibri"/>
                <w:noProof/>
                <w:szCs w:val="22"/>
                <w:lang w:val="en-GB" w:eastAsia="en-US"/>
              </w:rPr>
              <w:t>Garcia-Garcia et al. (2017)</w:t>
            </w:r>
            <w:r w:rsidRPr="00C81B1E">
              <w:rPr>
                <w:rFonts w:eastAsia="Calibri"/>
                <w:szCs w:val="22"/>
                <w:lang w:val="en-GB" w:eastAsia="en-US"/>
              </w:rPr>
              <w:fldChar w:fldCharType="end"/>
            </w:r>
          </w:p>
        </w:tc>
      </w:tr>
      <w:tr w:rsidR="00C81B1E" w:rsidRPr="00C81B1E" w14:paraId="449115D1" w14:textId="77777777" w:rsidTr="00C81B1E">
        <w:trPr>
          <w:trHeight w:val="255"/>
        </w:trPr>
        <w:tc>
          <w:tcPr>
            <w:tcW w:w="2142" w:type="dxa"/>
            <w:shd w:val="clear" w:color="auto" w:fill="auto"/>
            <w:noWrap/>
            <w:vAlign w:val="center"/>
            <w:hideMark/>
          </w:tcPr>
          <w:p w14:paraId="6E275472" w14:textId="77777777" w:rsidR="00C7764C" w:rsidRPr="00C81B1E" w:rsidRDefault="00C7764C" w:rsidP="00C7764C">
            <w:pPr>
              <w:pStyle w:val="MDPI42tablebody"/>
              <w:rPr>
                <w:rFonts w:eastAsia="Calibri"/>
                <w:b/>
                <w:bCs/>
                <w:szCs w:val="22"/>
                <w:lang w:val="en-GB" w:eastAsia="en-US"/>
              </w:rPr>
            </w:pPr>
            <w:r w:rsidRPr="00C81B1E">
              <w:rPr>
                <w:rFonts w:eastAsia="Calibri"/>
                <w:b/>
                <w:bCs/>
                <w:szCs w:val="22"/>
                <w:lang w:val="en-GB" w:eastAsia="en-US"/>
              </w:rPr>
              <w:t>State</w:t>
            </w:r>
          </w:p>
        </w:tc>
        <w:tc>
          <w:tcPr>
            <w:tcW w:w="3118" w:type="dxa"/>
            <w:shd w:val="clear" w:color="auto" w:fill="auto"/>
            <w:noWrap/>
            <w:vAlign w:val="center"/>
            <w:hideMark/>
          </w:tcPr>
          <w:p w14:paraId="75DF8DED" w14:textId="77777777" w:rsidR="00C7764C" w:rsidRPr="00C81B1E" w:rsidRDefault="00C7764C" w:rsidP="00C7764C">
            <w:pPr>
              <w:pStyle w:val="MDPI42tablebody"/>
              <w:rPr>
                <w:rFonts w:eastAsia="Calibri"/>
                <w:szCs w:val="22"/>
                <w:lang w:val="en-GB" w:eastAsia="en-US"/>
              </w:rPr>
            </w:pPr>
            <w:r w:rsidRPr="00C81B1E">
              <w:rPr>
                <w:rFonts w:eastAsia="Calibri"/>
                <w:szCs w:val="22"/>
                <w:lang w:val="en-GB" w:eastAsia="en-US"/>
              </w:rPr>
              <w:t>Eatable / Not eatable / Uneatable for humans, eatable for animals</w:t>
            </w:r>
          </w:p>
        </w:tc>
        <w:tc>
          <w:tcPr>
            <w:tcW w:w="1275" w:type="dxa"/>
            <w:shd w:val="clear" w:color="auto" w:fill="auto"/>
            <w:noWrap/>
            <w:vAlign w:val="center"/>
            <w:hideMark/>
          </w:tcPr>
          <w:p w14:paraId="1C54A853" w14:textId="77777777" w:rsidR="00C7764C" w:rsidRPr="00C81B1E" w:rsidRDefault="00C7764C" w:rsidP="00C7764C">
            <w:pPr>
              <w:pStyle w:val="MDPI42tablebody"/>
              <w:rPr>
                <w:rFonts w:eastAsia="Calibri"/>
                <w:szCs w:val="22"/>
                <w:lang w:val="en-GB" w:eastAsia="en-US"/>
              </w:rPr>
            </w:pPr>
            <w:r w:rsidRPr="00C81B1E">
              <w:rPr>
                <w:rFonts w:eastAsia="Calibri"/>
                <w:szCs w:val="22"/>
                <w:lang w:val="en-GB" w:eastAsia="en-US"/>
              </w:rPr>
              <w:t>R, AF</w:t>
            </w:r>
          </w:p>
        </w:tc>
        <w:tc>
          <w:tcPr>
            <w:tcW w:w="2551" w:type="dxa"/>
            <w:vMerge/>
            <w:shd w:val="clear" w:color="auto" w:fill="auto"/>
            <w:noWrap/>
            <w:vAlign w:val="center"/>
          </w:tcPr>
          <w:p w14:paraId="76CA28ED" w14:textId="77777777" w:rsidR="00C7764C" w:rsidRPr="00C81B1E" w:rsidRDefault="00C7764C" w:rsidP="00C7764C">
            <w:pPr>
              <w:pStyle w:val="MDPI42tablebody"/>
              <w:rPr>
                <w:rFonts w:eastAsia="Calibri"/>
                <w:szCs w:val="22"/>
                <w:lang w:val="en-GB" w:eastAsia="en-US"/>
              </w:rPr>
            </w:pPr>
          </w:p>
        </w:tc>
      </w:tr>
      <w:tr w:rsidR="00C81B1E" w:rsidRPr="00C81B1E" w14:paraId="3DFFC425" w14:textId="77777777" w:rsidTr="00C81B1E">
        <w:trPr>
          <w:trHeight w:val="255"/>
        </w:trPr>
        <w:tc>
          <w:tcPr>
            <w:tcW w:w="2142" w:type="dxa"/>
            <w:tcBorders>
              <w:top w:val="single" w:sz="4" w:space="0" w:color="7F7F7F"/>
              <w:bottom w:val="single" w:sz="4" w:space="0" w:color="7F7F7F"/>
            </w:tcBorders>
            <w:shd w:val="clear" w:color="auto" w:fill="auto"/>
            <w:noWrap/>
            <w:vAlign w:val="center"/>
            <w:hideMark/>
          </w:tcPr>
          <w:p w14:paraId="0CFEC760" w14:textId="77777777" w:rsidR="00C7764C" w:rsidRPr="00C81B1E" w:rsidRDefault="00C7764C" w:rsidP="00C7764C">
            <w:pPr>
              <w:pStyle w:val="MDPI42tablebody"/>
              <w:rPr>
                <w:rFonts w:eastAsia="Calibri"/>
                <w:b/>
                <w:bCs/>
                <w:szCs w:val="22"/>
                <w:lang w:val="en-GB" w:eastAsia="en-US"/>
              </w:rPr>
            </w:pPr>
            <w:r w:rsidRPr="00C81B1E">
              <w:rPr>
                <w:rFonts w:eastAsia="Calibri"/>
                <w:b/>
                <w:bCs/>
                <w:szCs w:val="22"/>
                <w:lang w:val="en-GB" w:eastAsia="en-US"/>
              </w:rPr>
              <w:lastRenderedPageBreak/>
              <w:t>Origin</w:t>
            </w:r>
          </w:p>
        </w:tc>
        <w:tc>
          <w:tcPr>
            <w:tcW w:w="3118" w:type="dxa"/>
            <w:tcBorders>
              <w:top w:val="single" w:sz="4" w:space="0" w:color="7F7F7F"/>
              <w:bottom w:val="single" w:sz="4" w:space="0" w:color="7F7F7F"/>
            </w:tcBorders>
            <w:shd w:val="clear" w:color="auto" w:fill="auto"/>
            <w:noWrap/>
            <w:vAlign w:val="center"/>
            <w:hideMark/>
          </w:tcPr>
          <w:p w14:paraId="25335630" w14:textId="77777777" w:rsidR="00C7764C" w:rsidRPr="00C81B1E" w:rsidRDefault="00C7764C" w:rsidP="00C7764C">
            <w:pPr>
              <w:pStyle w:val="MDPI42tablebody"/>
              <w:rPr>
                <w:rFonts w:eastAsia="Calibri"/>
                <w:szCs w:val="22"/>
                <w:lang w:val="en-GB" w:eastAsia="en-US"/>
              </w:rPr>
            </w:pPr>
            <w:r w:rsidRPr="00C81B1E">
              <w:rPr>
                <w:rFonts w:eastAsia="Calibri"/>
                <w:szCs w:val="22"/>
                <w:lang w:val="en-GB" w:eastAsia="en-US"/>
              </w:rPr>
              <w:t>Animal based / Plant based</w:t>
            </w:r>
          </w:p>
        </w:tc>
        <w:tc>
          <w:tcPr>
            <w:tcW w:w="1275" w:type="dxa"/>
            <w:tcBorders>
              <w:top w:val="single" w:sz="4" w:space="0" w:color="7F7F7F"/>
              <w:bottom w:val="single" w:sz="4" w:space="0" w:color="7F7F7F"/>
            </w:tcBorders>
            <w:shd w:val="clear" w:color="auto" w:fill="auto"/>
            <w:noWrap/>
            <w:vAlign w:val="center"/>
            <w:hideMark/>
          </w:tcPr>
          <w:p w14:paraId="3D7E3EA3" w14:textId="77777777" w:rsidR="00C7764C" w:rsidRPr="00C81B1E" w:rsidRDefault="00C7764C" w:rsidP="00C7764C">
            <w:pPr>
              <w:pStyle w:val="MDPI42tablebody"/>
              <w:rPr>
                <w:rFonts w:eastAsia="Calibri"/>
                <w:szCs w:val="22"/>
                <w:lang w:val="en-GB" w:eastAsia="en-US"/>
              </w:rPr>
            </w:pPr>
            <w:r w:rsidRPr="00C81B1E">
              <w:rPr>
                <w:rFonts w:eastAsia="Calibri"/>
                <w:szCs w:val="22"/>
                <w:lang w:val="en-GB" w:eastAsia="en-US"/>
              </w:rPr>
              <w:t>AF, AD, C</w:t>
            </w:r>
          </w:p>
        </w:tc>
        <w:tc>
          <w:tcPr>
            <w:tcW w:w="2551" w:type="dxa"/>
            <w:vMerge/>
            <w:tcBorders>
              <w:top w:val="single" w:sz="4" w:space="0" w:color="7F7F7F"/>
              <w:bottom w:val="single" w:sz="4" w:space="0" w:color="7F7F7F"/>
            </w:tcBorders>
            <w:shd w:val="clear" w:color="auto" w:fill="auto"/>
            <w:noWrap/>
            <w:vAlign w:val="center"/>
          </w:tcPr>
          <w:p w14:paraId="2F35CCD5" w14:textId="77777777" w:rsidR="00C7764C" w:rsidRPr="00C81B1E" w:rsidRDefault="00C7764C" w:rsidP="00C7764C">
            <w:pPr>
              <w:pStyle w:val="MDPI42tablebody"/>
              <w:rPr>
                <w:rFonts w:eastAsia="Calibri"/>
                <w:szCs w:val="22"/>
                <w:lang w:val="en-GB" w:eastAsia="en-US"/>
              </w:rPr>
            </w:pPr>
          </w:p>
        </w:tc>
      </w:tr>
      <w:tr w:rsidR="00C81B1E" w:rsidRPr="00C81B1E" w14:paraId="3DB72E26" w14:textId="77777777" w:rsidTr="00C81B1E">
        <w:trPr>
          <w:trHeight w:val="255"/>
        </w:trPr>
        <w:tc>
          <w:tcPr>
            <w:tcW w:w="2142" w:type="dxa"/>
            <w:shd w:val="clear" w:color="auto" w:fill="auto"/>
            <w:noWrap/>
            <w:vAlign w:val="center"/>
            <w:hideMark/>
          </w:tcPr>
          <w:p w14:paraId="1814A532" w14:textId="77777777" w:rsidR="00C7764C" w:rsidRPr="00C81B1E" w:rsidRDefault="00C7764C" w:rsidP="00C7764C">
            <w:pPr>
              <w:pStyle w:val="MDPI42tablebody"/>
              <w:rPr>
                <w:rFonts w:eastAsia="Calibri"/>
                <w:b/>
                <w:bCs/>
                <w:szCs w:val="22"/>
                <w:lang w:val="en-GB" w:eastAsia="en-US"/>
              </w:rPr>
            </w:pPr>
            <w:r w:rsidRPr="00C81B1E">
              <w:rPr>
                <w:rFonts w:eastAsia="Calibri"/>
                <w:b/>
                <w:bCs/>
                <w:szCs w:val="22"/>
                <w:lang w:val="en-GB" w:eastAsia="en-US"/>
              </w:rPr>
              <w:t>Complexity</w:t>
            </w:r>
          </w:p>
        </w:tc>
        <w:tc>
          <w:tcPr>
            <w:tcW w:w="3118" w:type="dxa"/>
            <w:shd w:val="clear" w:color="auto" w:fill="auto"/>
            <w:noWrap/>
            <w:vAlign w:val="center"/>
            <w:hideMark/>
          </w:tcPr>
          <w:p w14:paraId="6B123C43" w14:textId="77777777" w:rsidR="00C7764C" w:rsidRPr="00C81B1E" w:rsidRDefault="00C7764C" w:rsidP="00C7764C">
            <w:pPr>
              <w:pStyle w:val="MDPI42tablebody"/>
              <w:rPr>
                <w:rFonts w:eastAsia="Calibri"/>
                <w:szCs w:val="22"/>
                <w:lang w:val="en-GB" w:eastAsia="en-US"/>
              </w:rPr>
            </w:pPr>
            <w:r w:rsidRPr="00C81B1E">
              <w:rPr>
                <w:rFonts w:eastAsia="Calibri"/>
                <w:szCs w:val="22"/>
                <w:lang w:val="en-GB" w:eastAsia="en-US"/>
              </w:rPr>
              <w:t>Single / Mixed</w:t>
            </w:r>
          </w:p>
        </w:tc>
        <w:tc>
          <w:tcPr>
            <w:tcW w:w="1275" w:type="dxa"/>
            <w:shd w:val="clear" w:color="auto" w:fill="auto"/>
            <w:noWrap/>
            <w:vAlign w:val="center"/>
            <w:hideMark/>
          </w:tcPr>
          <w:p w14:paraId="359ED305" w14:textId="77777777" w:rsidR="00C7764C" w:rsidRPr="00C81B1E" w:rsidRDefault="00C7764C" w:rsidP="00C7764C">
            <w:pPr>
              <w:pStyle w:val="MDPI42tablebody"/>
              <w:rPr>
                <w:rFonts w:eastAsia="Calibri"/>
                <w:szCs w:val="22"/>
                <w:lang w:val="en-GB" w:eastAsia="en-US"/>
              </w:rPr>
            </w:pPr>
            <w:r w:rsidRPr="00C81B1E">
              <w:rPr>
                <w:rFonts w:eastAsia="Calibri"/>
                <w:szCs w:val="22"/>
                <w:lang w:val="en-GB" w:eastAsia="en-US"/>
              </w:rPr>
              <w:t>AF, AD, C</w:t>
            </w:r>
          </w:p>
        </w:tc>
        <w:tc>
          <w:tcPr>
            <w:tcW w:w="2551" w:type="dxa"/>
            <w:vMerge/>
            <w:shd w:val="clear" w:color="auto" w:fill="auto"/>
            <w:noWrap/>
            <w:vAlign w:val="center"/>
          </w:tcPr>
          <w:p w14:paraId="29124A3F" w14:textId="77777777" w:rsidR="00C7764C" w:rsidRPr="00C81B1E" w:rsidRDefault="00C7764C" w:rsidP="00C7764C">
            <w:pPr>
              <w:pStyle w:val="MDPI42tablebody"/>
              <w:rPr>
                <w:rFonts w:eastAsia="Calibri"/>
                <w:szCs w:val="22"/>
                <w:lang w:val="en-GB" w:eastAsia="en-US"/>
              </w:rPr>
            </w:pPr>
          </w:p>
        </w:tc>
      </w:tr>
      <w:tr w:rsidR="00C81B1E" w:rsidRPr="00C81B1E" w14:paraId="04CBEC93" w14:textId="77777777" w:rsidTr="00C81B1E">
        <w:trPr>
          <w:trHeight w:val="255"/>
        </w:trPr>
        <w:tc>
          <w:tcPr>
            <w:tcW w:w="2142" w:type="dxa"/>
            <w:tcBorders>
              <w:top w:val="single" w:sz="4" w:space="0" w:color="7F7F7F"/>
              <w:bottom w:val="single" w:sz="4" w:space="0" w:color="7F7F7F"/>
            </w:tcBorders>
            <w:shd w:val="clear" w:color="auto" w:fill="auto"/>
            <w:noWrap/>
            <w:vAlign w:val="center"/>
            <w:hideMark/>
          </w:tcPr>
          <w:p w14:paraId="37724AC9" w14:textId="77777777" w:rsidR="00C7764C" w:rsidRPr="00C81B1E" w:rsidRDefault="00C7764C" w:rsidP="00C7764C">
            <w:pPr>
              <w:pStyle w:val="MDPI42tablebody"/>
              <w:rPr>
                <w:rFonts w:eastAsia="Calibri"/>
                <w:b/>
                <w:bCs/>
                <w:szCs w:val="22"/>
                <w:lang w:val="en-GB" w:eastAsia="en-US"/>
              </w:rPr>
            </w:pPr>
            <w:r w:rsidRPr="00C81B1E">
              <w:rPr>
                <w:rFonts w:eastAsia="Calibri"/>
                <w:b/>
                <w:bCs/>
                <w:szCs w:val="22"/>
                <w:lang w:val="en-GB" w:eastAsia="en-US"/>
              </w:rPr>
              <w:t>Animal-material presence</w:t>
            </w:r>
          </w:p>
        </w:tc>
        <w:tc>
          <w:tcPr>
            <w:tcW w:w="3118" w:type="dxa"/>
            <w:tcBorders>
              <w:top w:val="single" w:sz="4" w:space="0" w:color="7F7F7F"/>
              <w:bottom w:val="single" w:sz="4" w:space="0" w:color="7F7F7F"/>
            </w:tcBorders>
            <w:shd w:val="clear" w:color="auto" w:fill="auto"/>
            <w:noWrap/>
            <w:vAlign w:val="center"/>
            <w:hideMark/>
          </w:tcPr>
          <w:p w14:paraId="36ABD8D6" w14:textId="77777777" w:rsidR="00C7764C" w:rsidRPr="00C81B1E" w:rsidRDefault="00C7764C" w:rsidP="00C7764C">
            <w:pPr>
              <w:pStyle w:val="MDPI42tablebody"/>
              <w:rPr>
                <w:rFonts w:eastAsia="Calibri"/>
                <w:szCs w:val="22"/>
                <w:lang w:val="en-GB" w:eastAsia="en-US"/>
              </w:rPr>
            </w:pPr>
            <w:r w:rsidRPr="00C81B1E">
              <w:rPr>
                <w:rFonts w:eastAsia="Calibri"/>
                <w:szCs w:val="22"/>
                <w:lang w:val="en-GB" w:eastAsia="en-US"/>
              </w:rPr>
              <w:t>Meat / Animal product / By-product from animal bodies / In contact with ABP / Not in contact with ABP</w:t>
            </w:r>
          </w:p>
        </w:tc>
        <w:tc>
          <w:tcPr>
            <w:tcW w:w="1275" w:type="dxa"/>
            <w:tcBorders>
              <w:top w:val="single" w:sz="4" w:space="0" w:color="7F7F7F"/>
              <w:bottom w:val="single" w:sz="4" w:space="0" w:color="7F7F7F"/>
            </w:tcBorders>
            <w:shd w:val="clear" w:color="auto" w:fill="auto"/>
            <w:noWrap/>
            <w:vAlign w:val="center"/>
            <w:hideMark/>
          </w:tcPr>
          <w:p w14:paraId="79AA5F15" w14:textId="77777777" w:rsidR="00C7764C" w:rsidRPr="00C81B1E" w:rsidRDefault="00C7764C" w:rsidP="00C7764C">
            <w:pPr>
              <w:pStyle w:val="MDPI42tablebody"/>
              <w:rPr>
                <w:rFonts w:eastAsia="Calibri"/>
                <w:szCs w:val="22"/>
                <w:lang w:val="en-GB" w:eastAsia="en-US"/>
              </w:rPr>
            </w:pPr>
            <w:r w:rsidRPr="00C81B1E">
              <w:rPr>
                <w:rFonts w:eastAsia="Calibri"/>
                <w:szCs w:val="22"/>
                <w:lang w:val="en-GB" w:eastAsia="en-US"/>
              </w:rPr>
              <w:t>AF, AD, C</w:t>
            </w:r>
          </w:p>
        </w:tc>
        <w:tc>
          <w:tcPr>
            <w:tcW w:w="2551" w:type="dxa"/>
            <w:vMerge/>
            <w:tcBorders>
              <w:top w:val="single" w:sz="4" w:space="0" w:color="7F7F7F"/>
              <w:bottom w:val="single" w:sz="4" w:space="0" w:color="7F7F7F"/>
            </w:tcBorders>
            <w:shd w:val="clear" w:color="auto" w:fill="auto"/>
            <w:noWrap/>
            <w:vAlign w:val="center"/>
          </w:tcPr>
          <w:p w14:paraId="180EA490" w14:textId="77777777" w:rsidR="00C7764C" w:rsidRPr="00C81B1E" w:rsidRDefault="00C7764C" w:rsidP="00C7764C">
            <w:pPr>
              <w:pStyle w:val="MDPI42tablebody"/>
              <w:rPr>
                <w:rFonts w:eastAsia="Calibri"/>
                <w:szCs w:val="22"/>
                <w:lang w:val="en-GB" w:eastAsia="en-US"/>
              </w:rPr>
            </w:pPr>
          </w:p>
        </w:tc>
      </w:tr>
      <w:tr w:rsidR="00C81B1E" w:rsidRPr="00C81B1E" w14:paraId="0A45520F" w14:textId="77777777" w:rsidTr="00C81B1E">
        <w:trPr>
          <w:trHeight w:val="255"/>
        </w:trPr>
        <w:tc>
          <w:tcPr>
            <w:tcW w:w="2142" w:type="dxa"/>
            <w:shd w:val="clear" w:color="auto" w:fill="auto"/>
            <w:noWrap/>
            <w:vAlign w:val="center"/>
            <w:hideMark/>
          </w:tcPr>
          <w:p w14:paraId="1E3F8917" w14:textId="77777777" w:rsidR="00C7764C" w:rsidRPr="00C81B1E" w:rsidRDefault="00C7764C" w:rsidP="00C7764C">
            <w:pPr>
              <w:pStyle w:val="MDPI42tablebody"/>
              <w:rPr>
                <w:rFonts w:eastAsia="Calibri"/>
                <w:b/>
                <w:bCs/>
                <w:szCs w:val="22"/>
                <w:lang w:val="en-GB" w:eastAsia="en-US"/>
              </w:rPr>
            </w:pPr>
            <w:r w:rsidRPr="00C81B1E">
              <w:rPr>
                <w:rFonts w:eastAsia="Calibri"/>
                <w:b/>
                <w:bCs/>
                <w:szCs w:val="22"/>
                <w:lang w:val="en-GB" w:eastAsia="en-US"/>
              </w:rPr>
              <w:t>Treatment</w:t>
            </w:r>
          </w:p>
        </w:tc>
        <w:tc>
          <w:tcPr>
            <w:tcW w:w="3118" w:type="dxa"/>
            <w:shd w:val="clear" w:color="auto" w:fill="auto"/>
            <w:noWrap/>
            <w:vAlign w:val="center"/>
            <w:hideMark/>
          </w:tcPr>
          <w:p w14:paraId="067AE7FD" w14:textId="77777777" w:rsidR="00C7764C" w:rsidRPr="00C81B1E" w:rsidRDefault="00C7764C" w:rsidP="00C7764C">
            <w:pPr>
              <w:pStyle w:val="MDPI42tablebody"/>
              <w:rPr>
                <w:rFonts w:eastAsia="Calibri"/>
                <w:szCs w:val="22"/>
                <w:lang w:val="en-GB" w:eastAsia="en-US"/>
              </w:rPr>
            </w:pPr>
            <w:r w:rsidRPr="00C81B1E">
              <w:rPr>
                <w:rFonts w:eastAsia="Calibri"/>
                <w:szCs w:val="22"/>
                <w:lang w:val="en-GB" w:eastAsia="en-US"/>
              </w:rPr>
              <w:t>Processed / Unprocessed</w:t>
            </w:r>
          </w:p>
        </w:tc>
        <w:tc>
          <w:tcPr>
            <w:tcW w:w="1275" w:type="dxa"/>
            <w:shd w:val="clear" w:color="auto" w:fill="auto"/>
            <w:noWrap/>
            <w:vAlign w:val="center"/>
            <w:hideMark/>
          </w:tcPr>
          <w:p w14:paraId="342283F7" w14:textId="77777777" w:rsidR="00C7764C" w:rsidRPr="00C81B1E" w:rsidRDefault="00C7764C" w:rsidP="00C7764C">
            <w:pPr>
              <w:pStyle w:val="MDPI42tablebody"/>
              <w:rPr>
                <w:rFonts w:eastAsia="Calibri"/>
                <w:szCs w:val="22"/>
                <w:lang w:val="en-GB" w:eastAsia="en-US"/>
              </w:rPr>
            </w:pPr>
            <w:r w:rsidRPr="00C81B1E">
              <w:rPr>
                <w:rFonts w:eastAsia="Calibri"/>
                <w:szCs w:val="22"/>
                <w:lang w:val="en-GB" w:eastAsia="en-US"/>
              </w:rPr>
              <w:t>R</w:t>
            </w:r>
          </w:p>
        </w:tc>
        <w:tc>
          <w:tcPr>
            <w:tcW w:w="2551" w:type="dxa"/>
            <w:vMerge/>
            <w:shd w:val="clear" w:color="auto" w:fill="auto"/>
            <w:noWrap/>
            <w:vAlign w:val="center"/>
          </w:tcPr>
          <w:p w14:paraId="2B2D7745" w14:textId="77777777" w:rsidR="00C7764C" w:rsidRPr="00C81B1E" w:rsidRDefault="00C7764C" w:rsidP="00C7764C">
            <w:pPr>
              <w:pStyle w:val="MDPI42tablebody"/>
              <w:rPr>
                <w:rFonts w:eastAsia="Calibri"/>
                <w:szCs w:val="22"/>
                <w:lang w:val="en-GB" w:eastAsia="en-US"/>
              </w:rPr>
            </w:pPr>
          </w:p>
        </w:tc>
      </w:tr>
      <w:tr w:rsidR="00C81B1E" w:rsidRPr="00C81B1E" w14:paraId="08BF1011" w14:textId="77777777" w:rsidTr="00C81B1E">
        <w:trPr>
          <w:trHeight w:val="255"/>
        </w:trPr>
        <w:tc>
          <w:tcPr>
            <w:tcW w:w="2142" w:type="dxa"/>
            <w:tcBorders>
              <w:top w:val="single" w:sz="4" w:space="0" w:color="7F7F7F"/>
              <w:bottom w:val="single" w:sz="4" w:space="0" w:color="7F7F7F"/>
            </w:tcBorders>
            <w:shd w:val="clear" w:color="auto" w:fill="auto"/>
            <w:noWrap/>
            <w:vAlign w:val="center"/>
            <w:hideMark/>
          </w:tcPr>
          <w:p w14:paraId="2069C193" w14:textId="77777777" w:rsidR="00C7764C" w:rsidRPr="00C81B1E" w:rsidRDefault="00C7764C" w:rsidP="00C7764C">
            <w:pPr>
              <w:pStyle w:val="MDPI42tablebody"/>
              <w:rPr>
                <w:rFonts w:eastAsia="Calibri"/>
                <w:b/>
                <w:bCs/>
                <w:szCs w:val="22"/>
                <w:lang w:val="en-GB" w:eastAsia="en-US"/>
              </w:rPr>
            </w:pPr>
            <w:r w:rsidRPr="00C81B1E">
              <w:rPr>
                <w:rFonts w:eastAsia="Calibri"/>
                <w:b/>
                <w:bCs/>
                <w:szCs w:val="22"/>
                <w:lang w:val="en-GB" w:eastAsia="en-US"/>
              </w:rPr>
              <w:t>Packaging</w:t>
            </w:r>
          </w:p>
        </w:tc>
        <w:tc>
          <w:tcPr>
            <w:tcW w:w="3118" w:type="dxa"/>
            <w:tcBorders>
              <w:top w:val="single" w:sz="4" w:space="0" w:color="7F7F7F"/>
              <w:bottom w:val="single" w:sz="4" w:space="0" w:color="7F7F7F"/>
            </w:tcBorders>
            <w:shd w:val="clear" w:color="auto" w:fill="auto"/>
            <w:noWrap/>
            <w:vAlign w:val="center"/>
            <w:hideMark/>
          </w:tcPr>
          <w:p w14:paraId="1433D9C1" w14:textId="77777777" w:rsidR="00C7764C" w:rsidRPr="00C81B1E" w:rsidRDefault="00C7764C" w:rsidP="00C7764C">
            <w:pPr>
              <w:pStyle w:val="MDPI42tablebody"/>
              <w:rPr>
                <w:rFonts w:eastAsia="Calibri"/>
                <w:szCs w:val="22"/>
                <w:lang w:val="en-GB" w:eastAsia="en-US"/>
              </w:rPr>
            </w:pPr>
            <w:r w:rsidRPr="00C81B1E">
              <w:rPr>
                <w:rFonts w:eastAsia="Calibri"/>
                <w:szCs w:val="22"/>
                <w:lang w:val="en-GB" w:eastAsia="en-US"/>
              </w:rPr>
              <w:t>Packaged / Unpackaged/separable from packaging</w:t>
            </w:r>
          </w:p>
        </w:tc>
        <w:tc>
          <w:tcPr>
            <w:tcW w:w="1275" w:type="dxa"/>
            <w:tcBorders>
              <w:top w:val="single" w:sz="4" w:space="0" w:color="7F7F7F"/>
              <w:bottom w:val="single" w:sz="4" w:space="0" w:color="7F7F7F"/>
            </w:tcBorders>
            <w:shd w:val="clear" w:color="auto" w:fill="auto"/>
            <w:noWrap/>
            <w:vAlign w:val="center"/>
            <w:hideMark/>
          </w:tcPr>
          <w:p w14:paraId="2435812E" w14:textId="77777777" w:rsidR="00C7764C" w:rsidRPr="00C81B1E" w:rsidRDefault="00C7764C" w:rsidP="00C7764C">
            <w:pPr>
              <w:pStyle w:val="MDPI42tablebody"/>
              <w:rPr>
                <w:rFonts w:eastAsia="Calibri"/>
                <w:szCs w:val="22"/>
                <w:lang w:val="en-GB" w:eastAsia="en-US"/>
              </w:rPr>
            </w:pPr>
            <w:r w:rsidRPr="00C81B1E">
              <w:rPr>
                <w:rFonts w:eastAsia="Calibri"/>
                <w:szCs w:val="22"/>
                <w:lang w:val="en-GB" w:eastAsia="en-US"/>
              </w:rPr>
              <w:t>AF, AD, C</w:t>
            </w:r>
          </w:p>
        </w:tc>
        <w:tc>
          <w:tcPr>
            <w:tcW w:w="2551" w:type="dxa"/>
            <w:vMerge/>
            <w:tcBorders>
              <w:top w:val="single" w:sz="4" w:space="0" w:color="7F7F7F"/>
              <w:bottom w:val="single" w:sz="4" w:space="0" w:color="7F7F7F"/>
            </w:tcBorders>
            <w:shd w:val="clear" w:color="auto" w:fill="auto"/>
            <w:noWrap/>
            <w:vAlign w:val="center"/>
          </w:tcPr>
          <w:p w14:paraId="33A980CD" w14:textId="77777777" w:rsidR="00C7764C" w:rsidRPr="00C81B1E" w:rsidRDefault="00C7764C" w:rsidP="00C7764C">
            <w:pPr>
              <w:pStyle w:val="MDPI42tablebody"/>
              <w:rPr>
                <w:rFonts w:eastAsia="Calibri"/>
                <w:szCs w:val="22"/>
                <w:lang w:val="en-GB" w:eastAsia="en-US"/>
              </w:rPr>
            </w:pPr>
          </w:p>
        </w:tc>
      </w:tr>
      <w:tr w:rsidR="00C81B1E" w:rsidRPr="00C81B1E" w14:paraId="0E16D1E1" w14:textId="77777777" w:rsidTr="00C81B1E">
        <w:trPr>
          <w:trHeight w:val="255"/>
        </w:trPr>
        <w:tc>
          <w:tcPr>
            <w:tcW w:w="2142" w:type="dxa"/>
            <w:shd w:val="clear" w:color="auto" w:fill="auto"/>
            <w:noWrap/>
            <w:vAlign w:val="center"/>
            <w:hideMark/>
          </w:tcPr>
          <w:p w14:paraId="24D81C9E" w14:textId="77777777" w:rsidR="00C7764C" w:rsidRPr="00C81B1E" w:rsidRDefault="00C7764C" w:rsidP="00C7764C">
            <w:pPr>
              <w:pStyle w:val="MDPI42tablebody"/>
              <w:rPr>
                <w:rFonts w:eastAsia="Calibri"/>
                <w:b/>
                <w:bCs/>
                <w:szCs w:val="22"/>
                <w:lang w:val="en-GB" w:eastAsia="en-US"/>
              </w:rPr>
            </w:pPr>
            <w:r w:rsidRPr="00C81B1E">
              <w:rPr>
                <w:rFonts w:eastAsia="Calibri"/>
                <w:b/>
                <w:bCs/>
                <w:szCs w:val="22"/>
                <w:lang w:val="en-GB" w:eastAsia="en-US"/>
              </w:rPr>
              <w:t>Packaging biodegradability</w:t>
            </w:r>
          </w:p>
        </w:tc>
        <w:tc>
          <w:tcPr>
            <w:tcW w:w="3118" w:type="dxa"/>
            <w:shd w:val="clear" w:color="auto" w:fill="auto"/>
            <w:noWrap/>
            <w:vAlign w:val="center"/>
            <w:hideMark/>
          </w:tcPr>
          <w:p w14:paraId="11CE94F8" w14:textId="77777777" w:rsidR="00C7764C" w:rsidRPr="00C81B1E" w:rsidRDefault="00C7764C" w:rsidP="00C7764C">
            <w:pPr>
              <w:pStyle w:val="MDPI42tablebody"/>
              <w:rPr>
                <w:rFonts w:eastAsia="Calibri"/>
                <w:szCs w:val="22"/>
                <w:lang w:val="en-GB" w:eastAsia="en-US"/>
              </w:rPr>
            </w:pPr>
            <w:r w:rsidRPr="00C81B1E">
              <w:rPr>
                <w:rFonts w:eastAsia="Calibri"/>
                <w:szCs w:val="22"/>
                <w:lang w:val="en-GB" w:eastAsia="en-US"/>
              </w:rPr>
              <w:t>Biodegradable package / Non-biodegradable package</w:t>
            </w:r>
          </w:p>
        </w:tc>
        <w:tc>
          <w:tcPr>
            <w:tcW w:w="1275" w:type="dxa"/>
            <w:shd w:val="clear" w:color="auto" w:fill="auto"/>
            <w:noWrap/>
            <w:vAlign w:val="center"/>
            <w:hideMark/>
          </w:tcPr>
          <w:p w14:paraId="3D35B115" w14:textId="77777777" w:rsidR="00C7764C" w:rsidRPr="00C81B1E" w:rsidRDefault="00C7764C" w:rsidP="00C7764C">
            <w:pPr>
              <w:pStyle w:val="MDPI42tablebody"/>
              <w:rPr>
                <w:rFonts w:eastAsia="Calibri"/>
                <w:szCs w:val="22"/>
                <w:lang w:val="en-GB" w:eastAsia="en-US"/>
              </w:rPr>
            </w:pPr>
            <w:r w:rsidRPr="00C81B1E">
              <w:rPr>
                <w:rFonts w:eastAsia="Calibri"/>
                <w:szCs w:val="22"/>
                <w:lang w:val="en-GB" w:eastAsia="en-US"/>
              </w:rPr>
              <w:t>AD, C</w:t>
            </w:r>
          </w:p>
        </w:tc>
        <w:tc>
          <w:tcPr>
            <w:tcW w:w="2551" w:type="dxa"/>
            <w:vMerge/>
            <w:shd w:val="clear" w:color="auto" w:fill="auto"/>
            <w:noWrap/>
            <w:vAlign w:val="center"/>
          </w:tcPr>
          <w:p w14:paraId="4FD734F1" w14:textId="77777777" w:rsidR="00C7764C" w:rsidRPr="00C81B1E" w:rsidRDefault="00C7764C" w:rsidP="00C7764C">
            <w:pPr>
              <w:pStyle w:val="MDPI42tablebody"/>
              <w:rPr>
                <w:rFonts w:eastAsia="Calibri"/>
                <w:szCs w:val="22"/>
                <w:lang w:val="en-GB" w:eastAsia="en-US"/>
              </w:rPr>
            </w:pPr>
          </w:p>
        </w:tc>
      </w:tr>
      <w:tr w:rsidR="00C81B1E" w:rsidRPr="00C81B1E" w14:paraId="48DF4F77" w14:textId="77777777" w:rsidTr="00C81B1E">
        <w:trPr>
          <w:trHeight w:val="255"/>
        </w:trPr>
        <w:tc>
          <w:tcPr>
            <w:tcW w:w="2142" w:type="dxa"/>
            <w:tcBorders>
              <w:top w:val="single" w:sz="4" w:space="0" w:color="7F7F7F"/>
              <w:bottom w:val="single" w:sz="4" w:space="0" w:color="7F7F7F"/>
            </w:tcBorders>
            <w:shd w:val="clear" w:color="auto" w:fill="auto"/>
            <w:noWrap/>
            <w:vAlign w:val="center"/>
            <w:hideMark/>
          </w:tcPr>
          <w:p w14:paraId="1C7E4D6D" w14:textId="77777777" w:rsidR="00C7764C" w:rsidRPr="00C81B1E" w:rsidRDefault="00C7764C" w:rsidP="00C7764C">
            <w:pPr>
              <w:pStyle w:val="MDPI42tablebody"/>
              <w:rPr>
                <w:rFonts w:eastAsia="Calibri"/>
                <w:b/>
                <w:bCs/>
                <w:szCs w:val="22"/>
                <w:lang w:val="en-GB" w:eastAsia="en-US"/>
              </w:rPr>
            </w:pPr>
            <w:r w:rsidRPr="00C81B1E">
              <w:rPr>
                <w:rFonts w:eastAsia="Calibri"/>
                <w:b/>
                <w:bCs/>
                <w:szCs w:val="22"/>
                <w:lang w:val="en-GB" w:eastAsia="en-US"/>
              </w:rPr>
              <w:t>Stage of the supply chain</w:t>
            </w:r>
          </w:p>
        </w:tc>
        <w:tc>
          <w:tcPr>
            <w:tcW w:w="3118" w:type="dxa"/>
            <w:tcBorders>
              <w:top w:val="single" w:sz="4" w:space="0" w:color="7F7F7F"/>
              <w:bottom w:val="single" w:sz="4" w:space="0" w:color="7F7F7F"/>
            </w:tcBorders>
            <w:shd w:val="clear" w:color="auto" w:fill="auto"/>
            <w:noWrap/>
            <w:vAlign w:val="center"/>
            <w:hideMark/>
          </w:tcPr>
          <w:p w14:paraId="346D1A47" w14:textId="77777777" w:rsidR="00C7764C" w:rsidRPr="00C81B1E" w:rsidRDefault="00C7764C" w:rsidP="00C7764C">
            <w:pPr>
              <w:pStyle w:val="MDPI42tablebody"/>
              <w:rPr>
                <w:rFonts w:eastAsia="Calibri"/>
                <w:szCs w:val="22"/>
                <w:lang w:val="en-GB" w:eastAsia="en-US"/>
              </w:rPr>
            </w:pPr>
            <w:r w:rsidRPr="00C81B1E">
              <w:rPr>
                <w:rFonts w:eastAsia="Calibri"/>
                <w:szCs w:val="22"/>
                <w:lang w:val="en-GB" w:eastAsia="en-US"/>
              </w:rPr>
              <w:t>Catering waste / Non-catering waste</w:t>
            </w:r>
          </w:p>
        </w:tc>
        <w:tc>
          <w:tcPr>
            <w:tcW w:w="1275" w:type="dxa"/>
            <w:tcBorders>
              <w:top w:val="single" w:sz="4" w:space="0" w:color="7F7F7F"/>
              <w:bottom w:val="single" w:sz="4" w:space="0" w:color="7F7F7F"/>
            </w:tcBorders>
            <w:shd w:val="clear" w:color="auto" w:fill="auto"/>
            <w:noWrap/>
            <w:vAlign w:val="center"/>
            <w:hideMark/>
          </w:tcPr>
          <w:p w14:paraId="5895DACD" w14:textId="77777777" w:rsidR="00C7764C" w:rsidRPr="00C81B1E" w:rsidRDefault="00C7764C" w:rsidP="00C7764C">
            <w:pPr>
              <w:pStyle w:val="MDPI42tablebody"/>
              <w:rPr>
                <w:rFonts w:eastAsia="Calibri"/>
                <w:szCs w:val="22"/>
                <w:lang w:val="en-GB" w:eastAsia="en-US"/>
              </w:rPr>
            </w:pPr>
            <w:r w:rsidRPr="00C81B1E">
              <w:rPr>
                <w:rFonts w:eastAsia="Calibri"/>
                <w:szCs w:val="22"/>
                <w:lang w:val="en-GB" w:eastAsia="en-US"/>
              </w:rPr>
              <w:t>AF</w:t>
            </w:r>
          </w:p>
        </w:tc>
        <w:tc>
          <w:tcPr>
            <w:tcW w:w="2551" w:type="dxa"/>
            <w:vMerge/>
            <w:tcBorders>
              <w:top w:val="single" w:sz="4" w:space="0" w:color="7F7F7F"/>
              <w:bottom w:val="single" w:sz="4" w:space="0" w:color="7F7F7F"/>
            </w:tcBorders>
            <w:shd w:val="clear" w:color="auto" w:fill="auto"/>
            <w:noWrap/>
            <w:vAlign w:val="center"/>
          </w:tcPr>
          <w:p w14:paraId="07F7CF7B" w14:textId="77777777" w:rsidR="00C7764C" w:rsidRPr="00C81B1E" w:rsidRDefault="00C7764C" w:rsidP="00C7764C">
            <w:pPr>
              <w:pStyle w:val="MDPI42tablebody"/>
              <w:rPr>
                <w:rFonts w:eastAsia="Calibri"/>
                <w:szCs w:val="22"/>
                <w:lang w:val="en-GB" w:eastAsia="en-US"/>
              </w:rPr>
            </w:pPr>
          </w:p>
        </w:tc>
      </w:tr>
    </w:tbl>
    <w:p w14:paraId="39F86165" w14:textId="77777777" w:rsidR="00C7764C" w:rsidRPr="00C7764C" w:rsidRDefault="00C7764C" w:rsidP="00C7764C">
      <w:pPr>
        <w:spacing w:after="160" w:line="259" w:lineRule="auto"/>
        <w:rPr>
          <w:rFonts w:eastAsia="Calibri"/>
          <w:color w:val="auto"/>
          <w:sz w:val="16"/>
          <w:szCs w:val="16"/>
          <w:lang w:val="en-GB" w:eastAsia="en-US"/>
        </w:rPr>
      </w:pPr>
    </w:p>
    <w:p w14:paraId="5F351DFD" w14:textId="77777777" w:rsidR="00C7764C" w:rsidRPr="00C7764C" w:rsidRDefault="00C7764C" w:rsidP="00BA2E09">
      <w:pPr>
        <w:pStyle w:val="MDPI41tablecaption"/>
        <w:rPr>
          <w:rFonts w:eastAsia="Calibri"/>
          <w:lang w:val="en-GB" w:eastAsia="en-US"/>
        </w:rPr>
      </w:pPr>
      <w:r w:rsidRPr="00C7764C">
        <w:rPr>
          <w:rFonts w:eastAsia="Calibri"/>
          <w:b/>
          <w:lang w:val="en-GB" w:eastAsia="en-US"/>
        </w:rPr>
        <w:t xml:space="preserve">Table </w:t>
      </w:r>
      <w:r w:rsidRPr="00C7764C">
        <w:rPr>
          <w:rFonts w:eastAsia="Calibri"/>
          <w:b/>
          <w:lang w:val="en-GB" w:eastAsia="en-US"/>
        </w:rPr>
        <w:fldChar w:fldCharType="begin"/>
      </w:r>
      <w:r w:rsidRPr="00C7764C">
        <w:rPr>
          <w:rFonts w:eastAsia="Calibri"/>
          <w:b/>
          <w:lang w:val="en-GB" w:eastAsia="en-US"/>
        </w:rPr>
        <w:instrText xml:space="preserve"> SEQ Table \* ARABIC </w:instrText>
      </w:r>
      <w:r w:rsidRPr="00C7764C">
        <w:rPr>
          <w:rFonts w:eastAsia="Calibri"/>
          <w:b/>
          <w:lang w:val="en-GB" w:eastAsia="en-US"/>
        </w:rPr>
        <w:fldChar w:fldCharType="separate"/>
      </w:r>
      <w:r w:rsidRPr="00C7764C">
        <w:rPr>
          <w:rFonts w:eastAsia="Calibri"/>
          <w:b/>
          <w:noProof/>
          <w:lang w:val="en-GB" w:eastAsia="en-US"/>
        </w:rPr>
        <w:t>2</w:t>
      </w:r>
      <w:r w:rsidRPr="00C7764C">
        <w:rPr>
          <w:rFonts w:eastAsia="Calibri"/>
          <w:b/>
          <w:lang w:val="en-GB" w:eastAsia="en-US"/>
        </w:rPr>
        <w:fldChar w:fldCharType="end"/>
      </w:r>
      <w:r w:rsidRPr="00C7764C">
        <w:rPr>
          <w:rFonts w:eastAsia="Calibri"/>
          <w:lang w:val="en-GB" w:eastAsia="en-US"/>
        </w:rPr>
        <w:t>. Quantitative primary FW parameters</w:t>
      </w:r>
    </w:p>
    <w:tbl>
      <w:tblPr>
        <w:tblW w:w="9112" w:type="dxa"/>
        <w:tblBorders>
          <w:top w:val="single" w:sz="4" w:space="0" w:color="7F7F7F"/>
          <w:bottom w:val="single" w:sz="4" w:space="0" w:color="7F7F7F"/>
        </w:tblBorders>
        <w:tblLook w:val="04A0" w:firstRow="1" w:lastRow="0" w:firstColumn="1" w:lastColumn="0" w:noHBand="0" w:noVBand="1"/>
      </w:tblPr>
      <w:tblGrid>
        <w:gridCol w:w="2235"/>
        <w:gridCol w:w="1066"/>
        <w:gridCol w:w="1134"/>
        <w:gridCol w:w="4677"/>
      </w:tblGrid>
      <w:tr w:rsidR="00C81B1E" w:rsidRPr="00C81B1E" w14:paraId="0906B294" w14:textId="77777777" w:rsidTr="00C81B1E">
        <w:trPr>
          <w:trHeight w:val="285"/>
        </w:trPr>
        <w:tc>
          <w:tcPr>
            <w:tcW w:w="2235" w:type="dxa"/>
            <w:tcBorders>
              <w:bottom w:val="single" w:sz="4" w:space="0" w:color="7F7F7F"/>
            </w:tcBorders>
            <w:shd w:val="clear" w:color="auto" w:fill="auto"/>
            <w:noWrap/>
            <w:vAlign w:val="center"/>
          </w:tcPr>
          <w:p w14:paraId="13CC6421"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Parameter</w:t>
            </w:r>
          </w:p>
        </w:tc>
        <w:tc>
          <w:tcPr>
            <w:tcW w:w="1066" w:type="dxa"/>
            <w:tcBorders>
              <w:bottom w:val="single" w:sz="4" w:space="0" w:color="7F7F7F"/>
            </w:tcBorders>
            <w:shd w:val="clear" w:color="auto" w:fill="auto"/>
            <w:noWrap/>
            <w:vAlign w:val="center"/>
          </w:tcPr>
          <w:p w14:paraId="232A0B13"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Example or unit</w:t>
            </w:r>
          </w:p>
        </w:tc>
        <w:tc>
          <w:tcPr>
            <w:tcW w:w="1134" w:type="dxa"/>
            <w:tcBorders>
              <w:bottom w:val="single" w:sz="4" w:space="0" w:color="7F7F7F"/>
            </w:tcBorders>
            <w:shd w:val="clear" w:color="auto" w:fill="auto"/>
            <w:noWrap/>
            <w:vAlign w:val="center"/>
          </w:tcPr>
          <w:p w14:paraId="1EF79D83"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FWMS</w:t>
            </w:r>
          </w:p>
        </w:tc>
        <w:tc>
          <w:tcPr>
            <w:tcW w:w="4677" w:type="dxa"/>
            <w:tcBorders>
              <w:bottom w:val="single" w:sz="4" w:space="0" w:color="7F7F7F"/>
            </w:tcBorders>
            <w:shd w:val="clear" w:color="auto" w:fill="auto"/>
            <w:noWrap/>
            <w:vAlign w:val="center"/>
          </w:tcPr>
          <w:p w14:paraId="1C627A9E"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Reference</w:t>
            </w:r>
          </w:p>
        </w:tc>
      </w:tr>
      <w:tr w:rsidR="00C81B1E" w:rsidRPr="00C81B1E" w14:paraId="769302C0" w14:textId="77777777" w:rsidTr="00C81B1E">
        <w:trPr>
          <w:trHeight w:val="285"/>
        </w:trPr>
        <w:tc>
          <w:tcPr>
            <w:tcW w:w="2235" w:type="dxa"/>
            <w:tcBorders>
              <w:top w:val="single" w:sz="4" w:space="0" w:color="7F7F7F"/>
              <w:bottom w:val="single" w:sz="4" w:space="0" w:color="7F7F7F"/>
            </w:tcBorders>
            <w:shd w:val="clear" w:color="auto" w:fill="auto"/>
            <w:noWrap/>
            <w:vAlign w:val="center"/>
            <w:hideMark/>
          </w:tcPr>
          <w:p w14:paraId="60FD8D90"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Production or flow rate</w:t>
            </w:r>
          </w:p>
        </w:tc>
        <w:tc>
          <w:tcPr>
            <w:tcW w:w="1066" w:type="dxa"/>
            <w:tcBorders>
              <w:top w:val="single" w:sz="4" w:space="0" w:color="7F7F7F"/>
              <w:bottom w:val="single" w:sz="4" w:space="0" w:color="7F7F7F"/>
            </w:tcBorders>
            <w:shd w:val="clear" w:color="auto" w:fill="auto"/>
            <w:noWrap/>
            <w:vAlign w:val="center"/>
            <w:hideMark/>
          </w:tcPr>
          <w:p w14:paraId="7A2CB72F" w14:textId="77777777" w:rsidR="00C7764C" w:rsidRPr="00C81B1E" w:rsidRDefault="00C7764C" w:rsidP="00C81B1E">
            <w:pPr>
              <w:pStyle w:val="MDPI42tablebody"/>
              <w:rPr>
                <w:rFonts w:eastAsia="Calibri"/>
                <w:lang w:val="en-GB" w:eastAsia="en-US"/>
              </w:rPr>
            </w:pPr>
            <w:r w:rsidRPr="00C81B1E">
              <w:rPr>
                <w:rFonts w:eastAsia="Calibri"/>
                <w:lang w:val="en-GB" w:eastAsia="en-US"/>
              </w:rPr>
              <w:t>kg or m</w:t>
            </w:r>
            <w:r w:rsidRPr="00C81B1E">
              <w:rPr>
                <w:rFonts w:eastAsia="Calibri"/>
                <w:vertAlign w:val="superscript"/>
                <w:lang w:val="en-GB" w:eastAsia="en-US"/>
              </w:rPr>
              <w:t>3</w:t>
            </w:r>
            <w:r w:rsidRPr="00C81B1E">
              <w:rPr>
                <w:rFonts w:eastAsia="Calibri"/>
                <w:lang w:val="en-GB" w:eastAsia="en-US"/>
              </w:rPr>
              <w:t xml:space="preserve"> / day</w:t>
            </w:r>
          </w:p>
        </w:tc>
        <w:tc>
          <w:tcPr>
            <w:tcW w:w="1134" w:type="dxa"/>
            <w:tcBorders>
              <w:top w:val="single" w:sz="4" w:space="0" w:color="7F7F7F"/>
              <w:bottom w:val="single" w:sz="4" w:space="0" w:color="7F7F7F"/>
            </w:tcBorders>
            <w:shd w:val="clear" w:color="auto" w:fill="auto"/>
            <w:noWrap/>
            <w:vAlign w:val="center"/>
            <w:hideMark/>
          </w:tcPr>
          <w:p w14:paraId="207C792B" w14:textId="77777777" w:rsidR="00C7764C" w:rsidRPr="00C81B1E" w:rsidRDefault="00C7764C" w:rsidP="00C81B1E">
            <w:pPr>
              <w:pStyle w:val="MDPI42tablebody"/>
              <w:rPr>
                <w:rFonts w:eastAsia="Calibri"/>
                <w:lang w:val="en-GB" w:eastAsia="en-US"/>
              </w:rPr>
            </w:pPr>
            <w:r w:rsidRPr="00C81B1E">
              <w:rPr>
                <w:rFonts w:eastAsia="Calibri"/>
                <w:lang w:val="en-GB" w:eastAsia="en-US"/>
              </w:rPr>
              <w:t>R, AF, AD, C, TT</w:t>
            </w:r>
          </w:p>
        </w:tc>
        <w:tc>
          <w:tcPr>
            <w:tcW w:w="4677" w:type="dxa"/>
            <w:tcBorders>
              <w:top w:val="single" w:sz="4" w:space="0" w:color="7F7F7F"/>
              <w:bottom w:val="single" w:sz="4" w:space="0" w:color="7F7F7F"/>
            </w:tcBorders>
            <w:shd w:val="clear" w:color="auto" w:fill="auto"/>
            <w:noWrap/>
            <w:vAlign w:val="center"/>
            <w:hideMark/>
          </w:tcPr>
          <w:p w14:paraId="62411A18"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R: </w:t>
            </w:r>
            <w:r w:rsidRPr="00C81B1E">
              <w:rPr>
                <w:rFonts w:eastAsia="Calibri"/>
                <w:lang w:val="en-GB" w:eastAsia="en-US"/>
              </w:rPr>
              <w:fldChar w:fldCharType="begin" w:fldLock="1"/>
            </w:r>
            <w:r w:rsidRPr="00C81B1E">
              <w:rPr>
                <w:rFonts w:eastAsia="Calibri"/>
                <w:lang w:val="en-GB" w:eastAsia="en-US"/>
              </w:rPr>
              <w:instrText>ADDIN CSL_CITATION {"citationItems":[{"id":"ITEM-1","itemData":{"author":[{"dropping-particle":"","family":"The Commission of the European Communities","given":"","non-dropping-particle":"","parse-names":false,"suffix":""}],"container-title":"Official Journal of the European Communities","id":"ITEM-1","issued":{"date-parts":[["2005"]]},"page":"1-26","title":"Commission Regulation (EC) No. 2073/2005 of 15 November 2005 on microbiological criteria for foodstuffs","type":"article-journal","volume":"L 338"},"uris":["http://www.mendeley.com/documents/?uuid=5cb0e148-0014-4bf5-b43b-68cacdbd211b"]}],"mendeley":{"formattedCitation":"(The Commission of the European Communities, 2005)","manualFormatting":"The Commission of the European Communities (2005)","plainTextFormattedCitation":"(The Commission of the European Communities, 2005)","previouslyFormattedCitation":"(The Commission of the European Communities, 2005)"},"properties":{"noteIndex":0},"schema":"https://github.com/citation-style-language/schema/raw/master/csl-citation.json"}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The Commission of the European Communities (2005)</w:t>
            </w:r>
            <w:r w:rsidRPr="00C81B1E">
              <w:rPr>
                <w:rFonts w:eastAsia="Calibri"/>
                <w:lang w:val="en-GB" w:eastAsia="en-US"/>
              </w:rPr>
              <w:fldChar w:fldCharType="end"/>
            </w:r>
            <w:r w:rsidRPr="00C81B1E">
              <w:rPr>
                <w:rFonts w:eastAsia="Calibri"/>
                <w:lang w:val="en-GB" w:eastAsia="en-US"/>
              </w:rPr>
              <w:t xml:space="preserve">, AF: </w:t>
            </w:r>
            <w:r w:rsidRPr="00C81B1E">
              <w:rPr>
                <w:rFonts w:eastAsia="Calibri"/>
                <w:lang w:val="en-GB" w:eastAsia="en-US"/>
              </w:rPr>
              <w:fldChar w:fldCharType="begin" w:fldLock="1"/>
            </w:r>
            <w:r w:rsidRPr="00C81B1E">
              <w:rPr>
                <w:rFonts w:eastAsia="Calibri"/>
                <w:lang w:val="en-GB" w:eastAsia="en-US"/>
              </w:rPr>
              <w:instrText>ADDIN CSL_CITATION {"citationItems":[{"id":"ITEM-1","itemData":{"author":[{"dropping-particle":"","family":"European Commission","given":"","non-dropping-particle":"","parse-names":false,"suffix":""}],"container-title":"Official Journal of the European Union","id":"ITEM-1","issue":"February","issued":{"date-parts":[["2005"]]},"page":"L 35/1-22","title":"Regulation (EC) No 183/2005 of the European Parliament and of the Council of 12 January 2005 laying down requirements for feed hygiene. (Text with EEA relevance)","type":"article-journal"},"uris":["http://www.mendeley.com/documents/?uuid=19fa3b35-86c2-4f70-8b87-8ef1413dcac7"]}],"mendeley":{"formattedCitation":"(European Commission, 2005)","manualFormatting":"European Commission 2005b)","plainTextFormattedCitation":"(European Commission, 2005)","previouslyFormattedCitation":"(European Commission, 2005)"},"properties":{"noteIndex":0},"schema":"https://github.com/citation-style-language/schema/raw/master/csl-citation.json"}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European Commission 2005b)</w:t>
            </w:r>
            <w:r w:rsidRPr="00C81B1E">
              <w:rPr>
                <w:rFonts w:eastAsia="Calibri"/>
                <w:lang w:val="en-GB" w:eastAsia="en-US"/>
              </w:rPr>
              <w:fldChar w:fldCharType="end"/>
            </w:r>
            <w:r w:rsidRPr="00C81B1E">
              <w:rPr>
                <w:rFonts w:eastAsia="Calibri"/>
                <w:lang w:val="en-GB" w:eastAsia="en-US"/>
              </w:rPr>
              <w:t xml:space="preserve">, AD: </w:t>
            </w:r>
            <w:r w:rsidRPr="00C81B1E">
              <w:rPr>
                <w:rFonts w:eastAsia="Calibri"/>
                <w:lang w:val="en-GB" w:eastAsia="en-US"/>
              </w:rPr>
              <w:fldChar w:fldCharType="begin" w:fldLock="1"/>
            </w:r>
            <w:r w:rsidRPr="00C81B1E">
              <w:rPr>
                <w:rFonts w:eastAsia="Calibri"/>
                <w:lang w:val="en-GB" w:eastAsia="en-US"/>
              </w:rPr>
              <w:instrText>ADDIN CSL_CITATION {"citationItems":[{"id":"ITEM-1","itemData":{"ISBN":"0580617300","abstract":"Food products, Anaerobic bacteria, Digestive system, Agricultural products, Microorganisms, Microbiology","author":[{"dropping-particle":"","family":"British Standards Institution","given":"","non-dropping-particle":"","parse-names":false,"suffix":""}],"id":"ITEM-1","issued":{"date-parts":[["2014"]]},"title":"PAS 110:2014. Specification for whole digestate, separated liquor and separated fibre derived from the anaerobic digestion of source-segregated biodegradable materials","type":"report"},"uris":["http://www.mendeley.com/documents/?uuid=a1334019-daa9-4ee5-bd60-cd891a066519"]}],"mendeley":{"formattedCitation":"(British Standards Institution, 2014)","manualFormatting":"British Standards Institution (2014)","plainTextFormattedCitation":"(British Standards Institution, 2014)","previouslyFormattedCitation":"(British Standards Institution, 2014)"},"properties":{"noteIndex":0},"schema":"https://github.com/citation-style-language/schema/raw/master/csl-citation.json"}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British Standards Institution (2014)</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{"citationItems":[{"id":"ITEM-1","itemData":{"DOI":"10.1128/AEM.71.9.4951","ISBN":"058045195X","author":[{"dropping-particle":"","family":"British Standards Institution","given":"","non-dropping-particle":"","parse-names":false,"suffix":""}],"id":"ITEM-1","issued":{"date-parts":[["2011"]]},"title":"PAS 100:2011 Specification for Composted Materials","type":"report","volume":"January"},"uris":["http://www.mendeley.com/documents/?uuid=f0f7c64c-b25d-4a88-8d84-9a437c7611e0"]}],"mendeley":{"formattedCitation":"(British Standards Institution, 2011)","manualFormatting":"British Standards Institution (2011)","plainTextFormattedCitation":"(British Standards Institution, 2011)","previouslyFormattedCitation":"(British Standards Institution, 2011)"},"properties":{"noteIndex":0},"schema":"https://github.com/citation-style-language/schema/raw/master/csl-citation.json"}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British Standards Institution (2011)</w:t>
            </w:r>
            <w:r w:rsidRPr="00C81B1E">
              <w:rPr>
                <w:rFonts w:eastAsia="Calibri"/>
                <w:lang w:val="en-GB" w:eastAsia="en-US"/>
              </w:rPr>
              <w:fldChar w:fldCharType="end"/>
            </w:r>
            <w:r w:rsidRPr="00C81B1E">
              <w:rPr>
                <w:rFonts w:eastAsia="Calibri"/>
                <w:lang w:val="en-GB" w:eastAsia="en-US"/>
              </w:rPr>
              <w:t xml:space="preserve">, TT: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{"citationItems":[{"id":"ITEM-1","itemData":{"DOI":"10.1016/j.wasman.2014.02.003","ISBN":"1879-2456 (Electronic)\\r0956-053X (Linking)","ISSN":"18792456","PMID":"24630214","abstract":"Human activities inevitably result in wastes. The higher the material turnover, and the more complex and divers the materials produced, the more challenging it is for waste management to reach the goals of \"protection of men and environment\" and \"resource conservation\". Waste incineration, introduced originally for volume reduction and hygienic reasons, went through a long and intense development. Together with prevention and recycling measures, waste to energy (WTE) facilities contribute significantly to reaching the goals of waste management. Sophisticated air pollution control (APC) devices ensure that emissions are environmentally safe. Incinerators are crucial and unique for the complete destruction of hazardous organic materials, to reduce risks due to pathogenic microorganisms and viruses, and for concentrating valuable as well as toxic metals in certain fractions. Bottom ash and APC residues have become new sources of secondary metals, hence incineration has become a materials recycling facility, too. WTE plants are supporting decisions about waste and environmental management: They can routinely and cost effectively supply information about chemical waste composition as well as about the ratio of biogenic to fossil carbon in MSW and off-gas.","author":[{"dropping-particle":"","family":"Brunner","given":"Paul H.","non-dropping-particle":"","parse-names":false,"suffix":""},{"dropping-particle":"","family":"Rechberger","given":"Helmut","non-dropping-particle":"","parse-names":false,"suffix":""}],"container-title":"Waste Management","id":"ITEM-1","issued":{"date-parts":[["2015"]]},"page":"3-12","publisher":"Elsevier Ltd","title":"Waste to energy - key element for sustainable waste management","type":"article-journal","volume":"37"},"uris":["http://www.mendeley.com/documents/?uuid=b7b2fc36-539b-442f-bf1a-805fffcd0d17"]}],"mendeley":{"formattedCitation":"(Brunner and Rechberger, 2015)","manualFormatting":"Brunner &amp; Rechberger (2014)","plainTextFormattedCitation":"(Brunner and Rechberger, 2015)","previouslyFormattedCitation":"(Brunner and Rechberger, 2015)"},"properties":{"noteIndex":0},"schema":"https://github.com/citation-style-language/schema/raw/master/csl-citation.json"}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Brunner &amp; Rechberger (2014)</w:t>
            </w:r>
            <w:r w:rsidRPr="00C81B1E">
              <w:rPr>
                <w:rFonts w:eastAsia="Calibri"/>
                <w:lang w:val="en-GB" w:eastAsia="en-US"/>
              </w:rPr>
              <w:fldChar w:fldCharType="end"/>
            </w:r>
          </w:p>
        </w:tc>
      </w:tr>
      <w:tr w:rsidR="00C81B1E" w:rsidRPr="00C81B1E" w14:paraId="2964011B" w14:textId="77777777" w:rsidTr="00C81B1E">
        <w:trPr>
          <w:trHeight w:val="255"/>
        </w:trPr>
        <w:tc>
          <w:tcPr>
            <w:tcW w:w="2235" w:type="dxa"/>
            <w:shd w:val="clear" w:color="auto" w:fill="auto"/>
            <w:noWrap/>
            <w:vAlign w:val="center"/>
            <w:hideMark/>
          </w:tcPr>
          <w:p w14:paraId="00DD7F82"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Carbohydrate content and composition</w:t>
            </w:r>
          </w:p>
        </w:tc>
        <w:tc>
          <w:tcPr>
            <w:tcW w:w="1066" w:type="dxa"/>
            <w:shd w:val="clear" w:color="auto" w:fill="auto"/>
            <w:noWrap/>
            <w:vAlign w:val="center"/>
            <w:hideMark/>
          </w:tcPr>
          <w:p w14:paraId="4C71462A" w14:textId="77777777" w:rsidR="00C7764C" w:rsidRPr="00C81B1E" w:rsidRDefault="00C7764C" w:rsidP="00C81B1E">
            <w:pPr>
              <w:pStyle w:val="MDPI42tablebody"/>
              <w:rPr>
                <w:rFonts w:eastAsia="Calibri"/>
                <w:lang w:val="en-GB" w:eastAsia="en-US"/>
              </w:rPr>
            </w:pPr>
            <w:r w:rsidRPr="00C81B1E">
              <w:rPr>
                <w:rFonts w:eastAsia="Calibri"/>
                <w:lang w:val="en-GB" w:eastAsia="en-US"/>
              </w:rPr>
              <w:t>% mass</w:t>
            </w:r>
          </w:p>
        </w:tc>
        <w:tc>
          <w:tcPr>
            <w:tcW w:w="1134" w:type="dxa"/>
            <w:shd w:val="clear" w:color="auto" w:fill="auto"/>
            <w:noWrap/>
            <w:vAlign w:val="center"/>
            <w:hideMark/>
          </w:tcPr>
          <w:p w14:paraId="309D8BFB" w14:textId="77777777" w:rsidR="00C7764C" w:rsidRPr="00C81B1E" w:rsidRDefault="00C7764C" w:rsidP="00C81B1E">
            <w:pPr>
              <w:pStyle w:val="MDPI42tablebody"/>
              <w:rPr>
                <w:rFonts w:eastAsia="Calibri"/>
                <w:lang w:val="en-GB" w:eastAsia="en-US"/>
              </w:rPr>
            </w:pPr>
            <w:r w:rsidRPr="00C81B1E">
              <w:rPr>
                <w:rFonts w:eastAsia="Calibri"/>
                <w:lang w:val="en-GB" w:eastAsia="en-US"/>
              </w:rPr>
              <w:t>AF, AD, C, TT</w:t>
            </w:r>
          </w:p>
        </w:tc>
        <w:tc>
          <w:tcPr>
            <w:tcW w:w="4677" w:type="dxa"/>
            <w:shd w:val="clear" w:color="auto" w:fill="auto"/>
            <w:noWrap/>
            <w:vAlign w:val="center"/>
            <w:hideMark/>
          </w:tcPr>
          <w:p w14:paraId="270FEF81" w14:textId="30480531" w:rsidR="00C7764C" w:rsidRPr="00C81B1E" w:rsidRDefault="00C7764C" w:rsidP="00C81B1E">
            <w:pPr>
              <w:pStyle w:val="MDPI42tablebody"/>
              <w:rPr>
                <w:rFonts w:eastAsia="Calibri"/>
                <w:lang w:val="en-GB" w:eastAsia="en-US"/>
              </w:rPr>
            </w:pPr>
            <w:r w:rsidRPr="00C81B1E">
              <w:rPr>
                <w:rFonts w:eastAsia="Calibri"/>
                <w:lang w:val="en-GB" w:eastAsia="en-US"/>
              </w:rPr>
              <w:t xml:space="preserve">AF: </w:t>
            </w:r>
            <w:r w:rsidRPr="00C81B1E">
              <w:rPr>
                <w:rFonts w:eastAsia="Calibri"/>
                <w:lang w:val="en-GB" w:eastAsia="en-US"/>
              </w:rPr>
              <w:fldChar w:fldCharType="begin" w:fldLock="1"/>
            </w:r>
            <w:r w:rsidRPr="00C81B1E">
              <w:rPr>
                <w:rFonts w:eastAsia="Calibri"/>
                <w:lang w:val="en-GB" w:eastAsia="en-US"/>
              </w:rPr>
              <w:instrText>ADDIN CSL_CITATION {"citationItems":[{"id":"ITEM-1","itemData":{"author":[{"dropping-particle":"","family":"Parfitt","given":"Julian","non-dropping-particle":"","parse-names":false,"suffix":""},{"dropping-particle":"","family":"Stanley","given":"Chris","non-dropping-particle":"","parse-names":false,"suffix":""},{"dropping-particle":"","family":"Thompson","given":"Laura","non-dropping-particle":"","parse-names":false,"suffix":""}],"id":"ITEM-1","issue":"May","issued":{"date-parts":[["2016"]]},"title":"Guidance for food and drink manufacturers and retailers on the use of food surplus as animal feed. Version 1.0","type":"report"},"uris":["http://www.mendeley.com/documents/?uuid=52a5d25a-b1e1-491e-ba4a-1b95106ef3dc"]}],"mendeley":{"formattedCitation":"(Parfitt et al., 2016)","manualFormatting":"Parfitt, Stanley, et al. (2016)","plainTextFormattedCitation":"(Parfitt et al., 2016)","previouslyFormattedCitation":"(Parfitt et al., 2016)"},"properties":{"noteIndex":0},"schema":"https://github.com/citation-style-language/schema/raw/master/csl-citation.json"}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Parfitt, et al. (2016)</w:t>
            </w:r>
            <w:r w:rsidRPr="00C81B1E">
              <w:rPr>
                <w:rFonts w:eastAsia="Calibri"/>
                <w:lang w:val="en-GB" w:eastAsia="en-US"/>
              </w:rPr>
              <w:fldChar w:fldCharType="end"/>
            </w:r>
            <w:r w:rsidRPr="00C81B1E">
              <w:rPr>
                <w:rFonts w:eastAsia="Calibri"/>
                <w:lang w:val="en-GB" w:eastAsia="en-US"/>
              </w:rPr>
              <w:t xml:space="preserve">, AD: </w:t>
            </w:r>
            <w:r w:rsidRPr="00C81B1E">
              <w:rPr>
                <w:rFonts w:eastAsia="Calibri"/>
                <w:lang w:val="en-GB" w:eastAsia="en-US"/>
              </w:rPr>
              <w:fldChar w:fldCharType="begin" w:fldLock="1"/>
            </w:r>
            <w:r w:rsidRPr="00C81B1E">
              <w:rPr>
                <w:rFonts w:eastAsia="Calibri"/>
                <w:lang w:val="en-GB" w:eastAsia="en-US"/>
              </w:rPr>
              <w:instrText>ADDIN CSL_CITATION {"citationItems":[{"id":"ITEM-1","itemData":{"DOI":"10.2166/wst.2008.678","ISBN":"1900222787","ISSN":"02731223","PMID":"12188579","abstract":"The IWA Anaerobic Digestion Modelling Task Group was established in 1997 at the 8th World Congress on Anaerobic Digestion (Sendai, Japan) with the goal of developing a generalised anaerobic digestion model. The structured model includes multiple steps describing biochemical as well as physicochemical processes. The biochemical steps include disintegration from homogeneous particulates to carbohydrates, proteins and lipids; extracellular hydrolysis of these particulate substrates to sugars, amino acids, and long chain fatty acids (LCFA), respectively; acidogenesis from sugars and amino acids to volatile fatty acids (VFAs) and hydrogen; acetogenesis of LCFA and VFAs to acetate; and separate methanogenesis steps from acetate and hydrogen/CO2. The physico-chemical equations describe ion association and dissociation, and gas-liquid transfer. Implemented as a differential and algebraic equation (DAE) set, there are 26 dynamic state concentration variables, and 8 implicit algebraic variables per reactor vessel or element. Implemented as differential equations (DE) only, there are 32 dynamic concentration state variables.","author":[{"dropping-particle":"","family":"Batstone","given":"D. J.","non-dropping-particle":"","parse-names":false,"suffix":""},{"dropping-particle":"","family":"Keller","given":"J.","non-dropping-particle":"","parse-names":false,"suffix":""},{"dropping-particle":"","family":"Angelidaki","given":"I.","non-dropping-particle":"","parse-names":false,"suffix":""},{"dropping-particle":"V.","family":"Kalyuzhnyi","given":"S.","non-dropping-particle":"","parse-names":false,"suffix":""},{"dropping-particle":"","family":"Pavlostathis","given":"S. G.","non-dropping-particle":"","parse-names":false,"suffix":""},{"dropping-particle":"","family":"Rozzi","given":"A.","non-dropping-particle":"","parse-names":false,"suffix":""},{"dropping-particle":"","family":"Sanders","given":"W. T.","non-dropping-particle":"","parse-names":false,"suffix":""},{"dropping-particle":"","family":"Siegrist","given":"H.","non-dropping-particle":"","parse-names":false,"suffix":""},{"dropping-particle":"","family":"Vavilin","given":"V. a.","non-dropping-particle":"","parse-names":false,"suffix":""}],"container-title":"Water Science and Technology","id":"ITEM-1","issue":"10","issued":{"date-parts":[["2002"]]},"page":"65-73","title":"The IWA Anaerobic Digestion Model No 1 (ADM1)","type":"article-journal","volume":"45"},"uris":["http://www.mendeley.com/documents/?uuid=5d8a2eda-0b63-410d-a2df-e6966d62ce04"]}],"mendeley":{"formattedCitation":"(Batstone et al., 2002)","manualFormatting":"Batstone et al. (2002)","plainTextFormattedCitation":"(Batstone et al., 2002)","previouslyFormattedCitation":"(Batstone et al., 2002)"},"properties":{"noteIndex":0},"schema":"https://github.com/citation-style-language/schema/raw/master/csl-citation.json"}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Batstone et al. (2002)</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{"citationItems":[{"id":"ITEM-1","itemData":{"DOI":"10.1016/j.biortech.2008.03.043","ISSN":"09608524","PMID":"18467092","abstract":"The objective of this work was to provide a method of predicting important parameters (composting time, highest temperature, final and lowest pH values, cumulative CO2 evolution, and percentages of material losses) that characterized the composting process of synthetic food waste in terms of weight fractions of protein and fat. Experimental results showed that final products of all 12 experimental runs passed multiple maturity tests. Quadratic equations obtained by the multi-regression analysis were also developed for quick estimation. The models were tested for real kitchen waste and the agreements between experimental and predicted results were fair. ?? 2008 Elsevier Ltd. All rights reserved.","author":[{"dropping-particle":"","family":"Chang","given":"James I.","non-dropping-particle":"","parse-names":false,"suffix":""},{"dropping-particle":"","family":"Hsu","given":"Tin En","non-dropping-particle":"","parse-names":false,"suffix":""}],"container-title":"Bioresource Technology","id":"ITEM-1","issue":"17","issued":{"date-parts":[["2008"]]},"page":"8068-8074","title":"Effects of compositions on food waste composting","type":"article-journal","volume":"99"},"uris":["http://www.mendeley.com/documents/?uuid=55378c77-4198-40c4-b078-6f1a2a034157"]}],"mendeley":{"formattedCitation":"(Chang and Hsu, 2008)","manualFormatting":"Chang &amp; Hsu (2008)","plainTextFormattedCitation":"(Chang and Hsu, 2008)","previouslyFormattedCitation":"(Chang and Hsu, 2008)"},"properties":{"noteIndex":0},"schema":"https://github.com/citation-style-language/schema/raw/master/csl-citation.json"}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Chang &amp; Hsu (2008)</w:t>
            </w:r>
            <w:r w:rsidRPr="00C81B1E">
              <w:rPr>
                <w:rFonts w:eastAsia="Calibri"/>
                <w:lang w:val="en-GB" w:eastAsia="en-US"/>
              </w:rPr>
              <w:fldChar w:fldCharType="end"/>
            </w:r>
            <w:r w:rsidRPr="00C81B1E">
              <w:rPr>
                <w:rFonts w:eastAsia="Calibri"/>
                <w:lang w:val="en-GB" w:eastAsia="en-US"/>
              </w:rPr>
              <w:t xml:space="preserve">, TT: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{"citationItems":[{"id":"ITEM-1","itemData":{"DOI":"10.1016/j.enconman.2009.12.025","ISBN":"0196-8904","ISSN":"01968904","abstract":"Energy recovery from food waste was studied using the food service at the US Naval Academy as a case study. Post-consumer food waste was captured over a period of ten days to estimate individual waste per meal and total waste per month. The food waste was analyzed for chemical composition and water content using ultimate and proximate analysis, and for energy content, and compared with the same analyses of wood (a more typical biomass fuel). Three different samples of food waste showed relative uniformity of properties despite being sampled on different days, with different menus. Food waste had lower oxygen content, higher nitrogen and ash content, and higher energy content than wood. The food waste in this study had approximately 70% water content. Temperatures and emissions from combustion of wood pellets, dried pelletized food waste, and dried non-pelletized food waste were measured and compared using a modified residential pellet stove. Temperatures were higher for food waste due to the higher energy content. Emissions of NO, HC, and soot were slightly higher for food waste. Despite the large water content, thermodynamic analysis showed that regenerative dehydration, in which waste energy from the combustion system is used to remove water from the incoming wet fuel, is possible. An excess enthalpy ratio is defined to formalize the comparison of waste sensible enthalpy with the energy required for dehydration. Analysis of fuel-lean combustion and fuel-rich gasification shows that little, if any, external energy would necessarily be required to remove the water from the incoming fuel. An equilibrium model was used to simulate waste food gasification by extending the simulation to high water content levels. Probable ranges for successful food waste gasification are identified. Energy recovery of waste food could result in cost savings by offsetting traditional fuel-use (e.g. natural gas for heating) and by reducing disposal costs.","author":[{"dropping-particle":"","family":"Caton","given":"P. a.","non-dropping-particle":"","parse-names":false,"suffix":""},{"dropping-particle":"","family":"Carr","given":"M. a.","non-dropping-particle":"","parse-names":false,"suffix":""},{"dropping-particle":"","family":"Kim","given":"S. S.","non-dropping-particle":"","parse-names":false,"suffix":""},{"dropping-particle":"","family":"Beautyman","given":"M. J.","non-dropping-particle":"","parse-names":false,"suffix":""}],"container-title":"Energy Conversion and Management","id":"ITEM-1","issue":"6","issued":{"date-parts":[["2010"]]},"page":"1157-1169","publisher":"Elsevier Ltd","title":"Energy recovery from waste food by combustion or gasification with the potential for regenerative dehydration: A case study","type":"article-journal","volume":"51"},"uris":["http://www.mendeley.com/documents/?uuid=4e1869b1-94de-4948-9bd3-b0a18b67b3b4"]}],"mendeley":{"formattedCitation":"(Caton et al., 2010)","manualFormatting":"Caton et al. (2010)","plainTextFormattedCitation":"(Caton et al., 2010)","previouslyFormattedCitation":"(Caton et al., 2010)"},"properties":{"noteIndex":0},"schema":"https://github.com/citation-style-language/schema/raw/master/csl-citation.json"}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Caton et al. (2010)</w:t>
            </w:r>
            <w:r w:rsidRPr="00C81B1E">
              <w:rPr>
                <w:rFonts w:eastAsia="Calibri"/>
                <w:lang w:val="en-GB" w:eastAsia="en-US"/>
              </w:rPr>
              <w:fldChar w:fldCharType="end"/>
            </w:r>
          </w:p>
        </w:tc>
      </w:tr>
      <w:tr w:rsidR="00C81B1E" w:rsidRPr="00C81B1E" w14:paraId="279E2248" w14:textId="77777777" w:rsidTr="00C81B1E">
        <w:trPr>
          <w:trHeight w:val="255"/>
        </w:trPr>
        <w:tc>
          <w:tcPr>
            <w:tcW w:w="2235" w:type="dxa"/>
            <w:tcBorders>
              <w:top w:val="single" w:sz="4" w:space="0" w:color="7F7F7F"/>
              <w:bottom w:val="single" w:sz="4" w:space="0" w:color="7F7F7F"/>
            </w:tcBorders>
            <w:shd w:val="clear" w:color="auto" w:fill="auto"/>
            <w:noWrap/>
            <w:vAlign w:val="center"/>
            <w:hideMark/>
          </w:tcPr>
          <w:p w14:paraId="7C8B2918"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Fat content and composition</w:t>
            </w:r>
          </w:p>
        </w:tc>
        <w:tc>
          <w:tcPr>
            <w:tcW w:w="1066" w:type="dxa"/>
            <w:tcBorders>
              <w:top w:val="single" w:sz="4" w:space="0" w:color="7F7F7F"/>
              <w:bottom w:val="single" w:sz="4" w:space="0" w:color="7F7F7F"/>
            </w:tcBorders>
            <w:shd w:val="clear" w:color="auto" w:fill="auto"/>
            <w:noWrap/>
            <w:vAlign w:val="center"/>
            <w:hideMark/>
          </w:tcPr>
          <w:p w14:paraId="01B47815" w14:textId="77777777" w:rsidR="00C7764C" w:rsidRPr="00C81B1E" w:rsidRDefault="00C7764C" w:rsidP="00C81B1E">
            <w:pPr>
              <w:pStyle w:val="MDPI42tablebody"/>
              <w:rPr>
                <w:rFonts w:eastAsia="Calibri"/>
                <w:lang w:val="en-GB" w:eastAsia="en-US"/>
              </w:rPr>
            </w:pPr>
            <w:r w:rsidRPr="00C81B1E">
              <w:rPr>
                <w:rFonts w:eastAsia="Calibri"/>
                <w:lang w:val="en-GB" w:eastAsia="en-US"/>
              </w:rPr>
              <w:t>% mass</w:t>
            </w:r>
          </w:p>
        </w:tc>
        <w:tc>
          <w:tcPr>
            <w:tcW w:w="1134" w:type="dxa"/>
            <w:tcBorders>
              <w:top w:val="single" w:sz="4" w:space="0" w:color="7F7F7F"/>
              <w:bottom w:val="single" w:sz="4" w:space="0" w:color="7F7F7F"/>
            </w:tcBorders>
            <w:shd w:val="clear" w:color="auto" w:fill="auto"/>
            <w:noWrap/>
            <w:vAlign w:val="center"/>
            <w:hideMark/>
          </w:tcPr>
          <w:p w14:paraId="036F6293" w14:textId="77777777" w:rsidR="00C7764C" w:rsidRPr="00C81B1E" w:rsidRDefault="00C7764C" w:rsidP="00C81B1E">
            <w:pPr>
              <w:pStyle w:val="MDPI42tablebody"/>
              <w:rPr>
                <w:rFonts w:eastAsia="Calibri"/>
                <w:lang w:val="en-GB" w:eastAsia="en-US"/>
              </w:rPr>
            </w:pPr>
            <w:r w:rsidRPr="00C81B1E">
              <w:rPr>
                <w:rFonts w:eastAsia="Calibri"/>
                <w:lang w:val="en-GB" w:eastAsia="en-US"/>
              </w:rPr>
              <w:t>AF, AD, C, TT</w:t>
            </w:r>
          </w:p>
        </w:tc>
        <w:tc>
          <w:tcPr>
            <w:tcW w:w="4677" w:type="dxa"/>
            <w:vMerge w:val="restart"/>
            <w:tcBorders>
              <w:top w:val="single" w:sz="4" w:space="0" w:color="7F7F7F"/>
              <w:bottom w:val="single" w:sz="4" w:space="0" w:color="7F7F7F"/>
            </w:tcBorders>
            <w:shd w:val="clear" w:color="auto" w:fill="auto"/>
            <w:noWrap/>
            <w:vAlign w:val="center"/>
            <w:hideMark/>
          </w:tcPr>
          <w:p w14:paraId="63254392"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AF: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{"citationItems":[{"id":"ITEM-1","itemData":{"DOI":"10.1016/j.foodchem.2015.11.035","ISSN":"03088146","abstract":"This study assesses the suitability of vegetable waste produced by food industry for use as a raw material for animal feed. It includes safety and nutritional viability, technical feasibility and environmental evaluation. Vegetable by-products were found to be nutritionally and sanitarily appropriate for use in animal feed. The drying technologies tested for making vegetable waste suitable for use in the animal feed market were pulse combustion drying, oven and microwave. The different meal prototypes obtained were found to comply with all the requirements of the animal feed market. An action plan that takes into account all the stages of the valorisation process was subsequently defined in agreement with local stakeholders. This plan was validated in a pilot-scale demonstration trial. Finally, the technical feasibility was studied and environmental improvement was performed. This project was funded by the European LIFE+ program (LIFE09 ENV/ES/000473).","author":[{"dropping-particle":"","family":"San Martin","given":"D.","non-dropping-particle":"","parse-names":false,"suffix":""},{"dropping-particle":"","family":"Ramos","given":"S.","non-dropping-particle":"","parse-names":false,"suffix":""},{"dropping-particle":"","family":"Zufía","given":"J.","non-dropping-particle":"","parse-names":false,"suffix":""}],"container-title":"Food Chemistry","id":"ITEM-1","issued":{"date-parts":[["2015"]]},"page":"68-74","publisher":"Elsevier Ltd","title":"Valorisation of food waste to produce new raw materials for animal feed","type":"article-journal","volume":"198"},"uris":["http://www.mendeley.com/documents/?uuid=50118d8b-27a2-4c13-824b-216d1b46c4fe"]}],"mendeley":{"formattedCitation":"(San Martin et al., 2015)","manualFormatting":"San Martin et al. (2015)","plainTextFormattedCitation":"(San Martin et al., 2015)","previouslyFormattedCitation":"(San Martin et al., 2015)"},"properties":{"noteIndex":0},"schema":"https://github.com/citation-style-language/schema/raw/master/csl-citation.json"}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San Martin et al. (2015)</w:t>
            </w:r>
            <w:r w:rsidRPr="00C81B1E">
              <w:rPr>
                <w:rFonts w:eastAsia="Calibri"/>
                <w:lang w:val="en-GB" w:eastAsia="en-US"/>
              </w:rPr>
              <w:fldChar w:fldCharType="end"/>
            </w:r>
            <w:r w:rsidRPr="00C81B1E">
              <w:rPr>
                <w:rFonts w:eastAsia="Calibri"/>
                <w:lang w:val="en-GB" w:eastAsia="en-US"/>
              </w:rPr>
              <w:t xml:space="preserve">, AD: </w:t>
            </w:r>
            <w:r w:rsidRPr="00C81B1E">
              <w:rPr>
                <w:rFonts w:eastAsia="Calibri"/>
                <w:lang w:val="en-GB" w:eastAsia="en-US"/>
              </w:rPr>
              <w:fldChar w:fldCharType="begin" w:fldLock="1"/>
            </w:r>
            <w:r w:rsidRPr="00C81B1E">
              <w:rPr>
                <w:rFonts w:eastAsia="Calibri"/>
                <w:lang w:val="en-GB" w:eastAsia="en-US"/>
              </w:rPr>
              <w:instrText>ADDIN CSL_CITATION {"citationItems":[{"id":"ITEM-1","itemData":{"DOI":"10.2166/wst.2008.678","ISBN":"1900222787","ISSN":"02731223","PMID":"12188579","abstract":"The IWA Anaerobic Digestion Modelling Task Group was established in 1997 at the 8th World Congress on Anaerobic Digestion (Sendai, Japan) with the goal of developing a generalised anaerobic digestion model. The structured model includes multiple steps describing biochemical as well as physicochemical processes. The biochemical steps include disintegration from homogeneous particulates to carbohydrates, proteins and lipids; extracellular hydrolysis of these particulate substrates to sugars, amino acids, and long chain fatty acids (LCFA), respectively; acidogenesis from sugars and amino acids to volatile fatty acids (VFAs) and hydrogen; acetogenesis of LCFA and VFAs to acetate; and separate methanogenesis steps from acetate and hydrogen/CO2. The physico-chemical equations describe ion association and dissociation, and gas-liquid transfer. Implemented as a differential and algebraic equation (DAE) set, there are 26 dynamic state concentration variables, and 8 implicit algebraic variables per reactor vessel or element. Implemented as differential equations (DE) only, there are 32 dynamic concentration state variables.","author":[{"dropping-particle":"","family":"Batstone","given":"D. J.","non-dropping-particle":"","parse-names":false,"suffix":""},{"dropping-particle":"","family":"Keller","given":"J.","non-dropping-particle":"","parse-names":false,"suffix":""},{"dropping-particle":"","family":"Angelidaki","given":"I.","non-dropping-particle":"","parse-names":false,"suffix":""},{"dropping-particle":"V.","family":"Kalyuzhnyi","given":"S.","non-dropping-particle":"","parse-names":false,"suffix":""},{"dropping-particle":"","family":"Pavlostathis","given":"S. G.","non-dropping-particle":"","parse-names":false,"suffix":""},{"dropping-particle":"","family":"Rozzi","given":"A.","non-dropping-particle":"","parse-names":false,"suffix":""},{"dropping-particle":"","family":"Sanders","given":"W. T.","non-dropping-particle":"","parse-names":false,"suffix":""},{"dropping-particle":"","family":"Siegrist","given":"H.","non-dropping-particle":"","parse-names":false,"suffix":""},{"dropping-particle":"","family":"Vavilin","given":"V. a.","non-dropping-particle":"","parse-names":false,"suffix":""}],"container-title":"Water Science and Technology","id":"ITEM-1","issue":"10","issued":{"date-parts":[["2002"]]},"page":"65-73","title":"The IWA Anaerobic Digestion Model No 1 (ADM1)","type":"article-journal","volume":"45"},"uris":["http://www.mendeley.com/documents/?uuid=5d8a2eda-0b63-410d-a2df-e6966d62ce04"]}],"mendeley":{"formattedCitation":"(Batstone et al., 2002)","manualFormatting":"Batstone et al. (2002)","plainTextFormattedCitation":"(Batstone et al., 2002)","previouslyFormattedCitation":"(Batstone et al., 2002)"},"properties":{"noteIndex":0},"schema":"https://github.com/citation-style-language/schema/raw/master/csl-citation.json"}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Batstone et al. (2002)</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{"citationItems":[{"id":"ITEM-1","itemData":{"DOI":"10.1016/j.biortech.2008.03.043","ISSN":"09608524","PMID":"18467092","abstract":"The objective of this work was to provide a method of predicting important parameters (composting time, highest temperature, final and lowest pH values, cumulative CO2 evolution, and percentages of material losses) that characterized the composting process of synthetic food waste in terms of weight fractions of protein and fat. Experimental results showed that final products of all 12 experimental runs passed multiple maturity tests. Quadratic equations obtained by the multi-regression analysis were also developed for quick estimation. The models were tested for real kitchen waste and the agreements between experimental and predicted results were fair. ?? 2008 Elsevier Ltd. All rights reserved.","author":[{"dropping-particle":"","family":"Chang","given":"James I.","non-dropping-particle":"","parse-names":false,"suffix":""},{"dropping-particle":"","family":"Hsu","given":"Tin En","non-dropping-particle":"","parse-names":false,"suffix":""}],"container-title":"Bioresource Technology","id":"ITEM-1","issue":"17","issued":{"date-parts":[["2008"]]},"page":"8068-8074","title":"Effects of compositions on food waste composting","type":"article-journal","volume":"99"},"uris":["http://www.mendeley.com/documents/?uuid=55378c77-4198-40c4-b078-6f1a2a034157"]}],"mendeley":{"formattedCitation":"(Chang and Hsu, 2008)","manualFormatting":"Chang &amp; Hsu (2008)","plainTextFormattedCitation":"(Chang and Hsu, 2008)","previouslyFormattedCitation":"(Chang and Hsu, 2008)"},"properties":{"noteIndex":0},"schema":"https://github.com/citation-style-language/schema/raw/master/csl-citation.json"}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Chang &amp; Hsu (2008)</w:t>
            </w:r>
            <w:r w:rsidRPr="00C81B1E">
              <w:rPr>
                <w:rFonts w:eastAsia="Calibri"/>
                <w:lang w:val="en-GB" w:eastAsia="en-US"/>
              </w:rPr>
              <w:fldChar w:fldCharType="end"/>
            </w:r>
            <w:r w:rsidRPr="00C81B1E">
              <w:rPr>
                <w:rFonts w:eastAsia="Calibri"/>
                <w:lang w:val="en-GB" w:eastAsia="en-US"/>
              </w:rPr>
              <w:t xml:space="preserve">, TT: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{"citationItems":[{"id":"ITEM-1","itemData":{"DOI":"10.1016/j.enconman.2009.12.025","ISBN":"0196-8904","ISSN":"01968904","abstract":"Energy recovery from food waste was studied using the food service at the US Naval Academy as a case study. Post-consumer food waste was captured over a period of ten days to estimate individual waste per meal and total waste per month. The food waste was analyzed for chemical composition and water content using ultimate and proximate analysis, and for energy content, and compared with the same analyses of wood (a more typical biomass fuel). Three different samples of food waste showed relative uniformity of properties despite being sampled on different days, with different menus. Food waste had lower oxygen content, higher nitrogen and ash content, and higher energy content than wood. The food waste in this study had approximately 70% water content. Temperatures and emissions from combustion of wood pellets, dried pelletized food waste, and dried non-pelletized food waste were measured and compared using a modified residential pellet stove. Temperatures were higher for food waste due to the higher energy content. Emissions of NO, HC, and soot were slightly higher for food waste. Despite the large water content, thermodynamic analysis showed that regenerative dehydration, in which waste energy from the combustion system is used to remove water from the incoming wet fuel, is possible. An excess enthalpy ratio is defined to formalize the comparison of waste sensible enthalpy with the energy required for dehydration. Analysis of fuel-lean combustion and fuel-rich gasification shows that little, if any, external energy would necessarily be required to remove the water from the incoming fuel. An equilibrium model was used to simulate waste food gasification by extending the simulation to high water content levels. Probable ranges for successful food waste gasification are identified. Energy recovery of waste food could result in cost savings by offsetting traditional fuel-use (e.g. natural gas for heating) and by reducing disposal costs.","author":[{"dropping-particle":"","family":"Caton","given":"P. a.","non-dropping-particle":"","parse-names":false,"suffix":""},{"dropping-particle":"","family":"Carr","given":"M. a.","non-dropping-particle":"","parse-names":false,"suffix":""},{"dropping-particle":"","family":"Kim","given":"S. S.","non-dropping-particle":"","parse-names":false,"suffix":""},{"dropping-particle":"","family":"Beautyman","given":"M. J.","non-dropping-particle":"","parse-names":false,"suffix":""}],"container-title":"Energy Conversion and Management","id":"ITEM-1","issue":"6","issued":{"date-parts":[["2010"]]},"page":"1157-1169","publisher":"Elsevier Ltd","title":"Energy recovery from waste food by combustion or gasification with the potential for regenerative dehydration: A case study","type":"article-journal","volume":"51"},"uris":["http://www.mendeley.com/documents/?uuid=4e1869b1-94de-4948-9bd3-b0a18b67b3b4"]}],"mendeley":{"formattedCitation":"(Caton et al., 2010)","manualFormatting":"Caton et al. (2010)","plainTextFormattedCitation":"(Caton et al., 2010)","previouslyFormattedCitation":"(Caton et al., 2010)"},"properties":{"noteIndex":0},"schema":"https://github.com/citation-style-language/schema/raw/master/csl-citation.json"}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Caton et al. (2010)</w:t>
            </w:r>
            <w:r w:rsidRPr="00C81B1E">
              <w:rPr>
                <w:rFonts w:eastAsia="Calibri"/>
                <w:lang w:val="en-GB" w:eastAsia="en-US"/>
              </w:rPr>
              <w:fldChar w:fldCharType="end"/>
            </w:r>
          </w:p>
        </w:tc>
      </w:tr>
      <w:tr w:rsidR="00C81B1E" w:rsidRPr="00C81B1E" w14:paraId="0BB3E1B1" w14:textId="77777777" w:rsidTr="00C81B1E">
        <w:trPr>
          <w:trHeight w:val="255"/>
        </w:trPr>
        <w:tc>
          <w:tcPr>
            <w:tcW w:w="2235" w:type="dxa"/>
            <w:shd w:val="clear" w:color="auto" w:fill="auto"/>
            <w:noWrap/>
            <w:vAlign w:val="center"/>
            <w:hideMark/>
          </w:tcPr>
          <w:p w14:paraId="7895DE13"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Protein content and composition</w:t>
            </w:r>
          </w:p>
        </w:tc>
        <w:tc>
          <w:tcPr>
            <w:tcW w:w="1066" w:type="dxa"/>
            <w:shd w:val="clear" w:color="auto" w:fill="auto"/>
            <w:noWrap/>
            <w:vAlign w:val="center"/>
            <w:hideMark/>
          </w:tcPr>
          <w:p w14:paraId="28756867" w14:textId="77777777" w:rsidR="00C7764C" w:rsidRPr="00C81B1E" w:rsidRDefault="00C7764C" w:rsidP="00C81B1E">
            <w:pPr>
              <w:pStyle w:val="MDPI42tablebody"/>
              <w:rPr>
                <w:rFonts w:eastAsia="Calibri"/>
                <w:lang w:val="en-GB" w:eastAsia="en-US"/>
              </w:rPr>
            </w:pPr>
            <w:r w:rsidRPr="00C81B1E">
              <w:rPr>
                <w:rFonts w:eastAsia="Calibri"/>
                <w:lang w:val="en-GB" w:eastAsia="en-US"/>
              </w:rPr>
              <w:t>% mass</w:t>
            </w:r>
          </w:p>
        </w:tc>
        <w:tc>
          <w:tcPr>
            <w:tcW w:w="1134" w:type="dxa"/>
            <w:shd w:val="clear" w:color="auto" w:fill="auto"/>
            <w:noWrap/>
            <w:vAlign w:val="center"/>
            <w:hideMark/>
          </w:tcPr>
          <w:p w14:paraId="3B3307AB" w14:textId="77777777" w:rsidR="00C7764C" w:rsidRPr="00C81B1E" w:rsidRDefault="00C7764C" w:rsidP="00C81B1E">
            <w:pPr>
              <w:pStyle w:val="MDPI42tablebody"/>
              <w:rPr>
                <w:rFonts w:eastAsia="Calibri"/>
                <w:lang w:val="en-GB" w:eastAsia="en-US"/>
              </w:rPr>
            </w:pPr>
            <w:r w:rsidRPr="00C81B1E">
              <w:rPr>
                <w:rFonts w:eastAsia="Calibri"/>
                <w:lang w:val="en-GB" w:eastAsia="en-US"/>
              </w:rPr>
              <w:t>AF, AD, C, TT</w:t>
            </w:r>
          </w:p>
        </w:tc>
        <w:tc>
          <w:tcPr>
            <w:tcW w:w="4677" w:type="dxa"/>
            <w:vMerge/>
            <w:shd w:val="clear" w:color="auto" w:fill="auto"/>
            <w:noWrap/>
            <w:vAlign w:val="center"/>
          </w:tcPr>
          <w:p w14:paraId="2FB9F334" w14:textId="77777777" w:rsidR="00C7764C" w:rsidRPr="00C81B1E" w:rsidRDefault="00C7764C" w:rsidP="00C81B1E">
            <w:pPr>
              <w:pStyle w:val="MDPI42tablebody"/>
              <w:rPr>
                <w:rFonts w:eastAsia="Calibri"/>
                <w:lang w:val="en-GB" w:eastAsia="en-US"/>
              </w:rPr>
            </w:pPr>
          </w:p>
        </w:tc>
      </w:tr>
      <w:tr w:rsidR="00C81B1E" w:rsidRPr="00C81B1E" w14:paraId="229D7FBD" w14:textId="77777777" w:rsidTr="00C81B1E">
        <w:trPr>
          <w:trHeight w:val="255"/>
        </w:trPr>
        <w:tc>
          <w:tcPr>
            <w:tcW w:w="2235" w:type="dxa"/>
            <w:tcBorders>
              <w:top w:val="single" w:sz="4" w:space="0" w:color="7F7F7F"/>
              <w:bottom w:val="single" w:sz="4" w:space="0" w:color="7F7F7F"/>
            </w:tcBorders>
            <w:shd w:val="clear" w:color="auto" w:fill="auto"/>
            <w:noWrap/>
            <w:vAlign w:val="center"/>
            <w:hideMark/>
          </w:tcPr>
          <w:p w14:paraId="0EE607F0"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Vitamin content and composition</w:t>
            </w:r>
          </w:p>
        </w:tc>
        <w:tc>
          <w:tcPr>
            <w:tcW w:w="1066" w:type="dxa"/>
            <w:tcBorders>
              <w:top w:val="single" w:sz="4" w:space="0" w:color="7F7F7F"/>
              <w:bottom w:val="single" w:sz="4" w:space="0" w:color="7F7F7F"/>
            </w:tcBorders>
            <w:shd w:val="clear" w:color="auto" w:fill="auto"/>
            <w:noWrap/>
            <w:vAlign w:val="center"/>
            <w:hideMark/>
          </w:tcPr>
          <w:p w14:paraId="29CB445A" w14:textId="77777777" w:rsidR="00C7764C" w:rsidRPr="00C81B1E" w:rsidRDefault="00C7764C" w:rsidP="00C81B1E">
            <w:pPr>
              <w:pStyle w:val="MDPI42tablebody"/>
              <w:rPr>
                <w:rFonts w:eastAsia="Calibri"/>
                <w:lang w:val="en-GB" w:eastAsia="en-US"/>
              </w:rPr>
            </w:pPr>
            <w:r w:rsidRPr="00C81B1E">
              <w:rPr>
                <w:rFonts w:eastAsia="Calibri"/>
                <w:lang w:val="en-GB" w:eastAsia="en-US"/>
              </w:rPr>
              <w:t>% mass</w:t>
            </w:r>
          </w:p>
        </w:tc>
        <w:tc>
          <w:tcPr>
            <w:tcW w:w="1134" w:type="dxa"/>
            <w:tcBorders>
              <w:top w:val="single" w:sz="4" w:space="0" w:color="7F7F7F"/>
              <w:bottom w:val="single" w:sz="4" w:space="0" w:color="7F7F7F"/>
            </w:tcBorders>
            <w:shd w:val="clear" w:color="auto" w:fill="auto"/>
            <w:noWrap/>
            <w:vAlign w:val="center"/>
            <w:hideMark/>
          </w:tcPr>
          <w:p w14:paraId="7609F314"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 TT</w:t>
            </w:r>
          </w:p>
        </w:tc>
        <w:tc>
          <w:tcPr>
            <w:tcW w:w="4677" w:type="dxa"/>
            <w:tcBorders>
              <w:top w:val="single" w:sz="4" w:space="0" w:color="7F7F7F"/>
              <w:bottom w:val="single" w:sz="4" w:space="0" w:color="7F7F7F"/>
            </w:tcBorders>
            <w:shd w:val="clear" w:color="auto" w:fill="auto"/>
            <w:noWrap/>
            <w:vAlign w:val="center"/>
            <w:hideMark/>
          </w:tcPr>
          <w:p w14:paraId="76BF43EB"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AD: </w:t>
            </w:r>
            <w:r w:rsidRPr="00C81B1E">
              <w:rPr>
                <w:rFonts w:eastAsia="Calibri"/>
                <w:lang w:val="en-GB" w:eastAsia="en-US"/>
              </w:rPr>
              <w:fldChar w:fldCharType="begin" w:fldLock="1"/>
            </w:r>
            <w:r w:rsidRPr="00C81B1E">
              <w:rPr>
                <w:rFonts w:eastAsia="Calibri"/>
                <w:lang w:val="en-GB" w:eastAsia="en-US"/>
              </w:rPr>
              <w:instrText>ADDIN CSL_CITATION {"citationItems":[{"id":"ITEM-1","itemData":{"abstract":"This research addresses gaps in current knowledge regarding process issues associated with long term semi-continuous digestion of food waste as a sole substrate, and the role of trace elements and biomass retention in digestion of food wastes. Source segregated food wastes were collected from a university catering facility and found, in characterisation studies, to have a total solids (TS) content of 28.1±0.25 %, a volatile solids (VS) content of 95.5±0.06% of TS and a chemical oxygen demand (COD) of 422±16 g kgwet weight -1. The total Kjeldahl nitrogen (TKN) and total lipid content were 22±1% and 3.8±0.24% of TS, respectively. The substrate was then processed during a number of digestion trials using mesophilic continuously-stirred tank reactors (CSTRs), to establish the suitability of this substrate for CSTR digestion. It was found that although good specific methane production of 0.36 l gVSadded -1 was obtained from the substrate, the process was unstable at a hydraulic retention time (HRT) of 25 days, with methanogenic failure occurring after 80 days or when the organic loading rate (OLR) was increased. Further digestion trials were initiated, therefore, to investigate the effects of trace element supplementation and extending HRT on process stability, areas for which there is little information in existing literature. Reactors with hydraulic retention times of 25, 30, 50, 100, and 180 days supplemented with a trace element solution showed stable digestion for longer periods than duplicate control digesters without supplementation. The time points of failure in the control digesters were shown to be related to washout time, as calculated using the HRT. Trace element supplementation allowed stable operation at an OLR up to 3.5 gVS l-1d-1, with specific methane production ranging from 0.41-0.47 l gVSadded -1 and VS destruction of 63-77%. Supplementation with trace elements did not, however, guarantee indefinite stable operation, as digesters at the shortest (25 days) and longest (180 days) retention time eventually showed methanogenic failure. A slow methanogenic biomass growth rate and accumulation of inhibitory substances, respectively, were hypothesised as possible reasons for these failures. Analysis of metal concentrations in the digestate showed that cobalt was the metal most likely to be responsible for the observed benefits of the mixed trace metal supplementation as the concentration of this increased in the supplemented digester whilst decre…","author":[{"dropping-particle":"","family":"Climenhaga","given":"Martha Anne","non-dropping-particle":"","parse-names":false,"suffix":""}],"id":"ITEM-1","issue":"October","issued":{"date-parts":[["2008"]]},"publisher":"University of Southampton","title":"Anaerobic digestion of catering wastes","type":"thesis"},"uris":["http://www.mendeley.com/documents/?uuid=2e0f97c3-2cc9-40ee-9390-2126e4387f39"]}],"mendeley":{"formattedCitation":"(Climenhaga, 2008)","manualFormatting":"Climenhaga (2008)","plainTextFormattedCitation":"(Climenhaga, 2008)","previouslyFormattedCitation":"(Climenhaga, 2008)"},"properties":{"noteIndex":0},"schema":"https://github.com/citation-style-language/schema/raw/master/csl-citation.json"}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Climenhaga (2008)</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{"citationItems":[{"id":"ITEM-1","itemData":{"DOI":"10.1016/j.procbio.2004.01.050","ISBN":"9042421819","ISSN":"00329592","abstract":"The vitamin levels of organic manure such as compost applied to soil are important for plants and soil ecology. For this reason, a knowledge of the variations at the vitamin levels of the material during the recycling of the wastes is necessary to protect or to increase the vitamin content of the materials after biological processing. Vitamin losses during the recycling process and how much vitamin the final products contain are not usually determined. For this purpose, various wastes were composted and vitamin variations during composting determined. Vitamins A and E concentrations of the final product decrease and Vitamin C concentration increases according to the raw vitamin concentrations of the materials. The final product contained Vitamins A, E and C at concentrations of 0.91, 0.31 and 13.15 ??g/g, respectively. The degradation of Vitamins A and E during composting could be expressed as first-order kinetics. The reaction rate constants of the degradation of Vitamins A and E were determined as k=0.0466 and 0.068 per day, respectively. ?? 2004 Elsevier Ltd. All rights reserved.","author":[{"dropping-particle":"","family":"Ipek","given":"U.","non-dropping-particle":"","parse-names":false,"suffix":""},{"dropping-particle":"","family":"Arslan","given":"E. I.","non-dropping-particle":"","parse-names":false,"suffix":""},{"dropping-particle":"","family":"Öbek","given":"E.","non-dropping-particle":"","parse-names":false,"suffix":""},{"dropping-particle":"","family":"Karataş","given":"F.","non-dropping-particle":"","parse-names":false,"suffix":""},{"dropping-particle":"","family":"Erulaş","given":"F. A.","non-dropping-particle":"","parse-names":false,"suffix":""}],"container-title":"Process Biochemistry","id":"ITEM-1","issue":"2","issued":{"date-parts":[["2005"]]},"page":"621-624","title":"Determination of vitamin losses and degradation kinetics during composting","type":"article-journal","volume":"40"},"uris":["http://www.mendeley.com/documents/?uuid=5cf1312b-24a3-42bd-8087-aa2970f3de1b"]}],"mendeley":{"formattedCitation":"(Ipek et al., 2005)","manualFormatting":"Ipek et al. (2005)","plainTextFormattedCitation":"(Ipek et al., 2005)","previouslyFormattedCitation":"(Ipek et al., 2005)"},"properties":{"noteIndex":0},"schema":"https://github.com/citation-style-language/schema/raw/master/csl-citation.json"}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Ipek et al. (2005)</w:t>
            </w:r>
            <w:r w:rsidRPr="00C81B1E">
              <w:rPr>
                <w:rFonts w:eastAsia="Calibri"/>
                <w:lang w:val="en-GB" w:eastAsia="en-US"/>
              </w:rPr>
              <w:fldChar w:fldCharType="end"/>
            </w:r>
            <w:r w:rsidRPr="00C81B1E">
              <w:rPr>
                <w:rFonts w:eastAsia="Calibri"/>
                <w:lang w:val="en-GB" w:eastAsia="en-US"/>
              </w:rPr>
              <w:t xml:space="preserve">, TT: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{"citationItems":[{"id":"ITEM-1","itemData":{"DOI":"10.1016/j.enconman.2009.12.025","ISBN":"0196-8904","ISSN":"01968904","abstract":"Energy recovery from food waste was studied using the food service at the US Naval Academy as a case study. Post-consumer food waste was captured over a period of ten days to estimate individual waste per meal and total waste per month. The food waste was analyzed for chemical composition and water content using ultimate and proximate analysis, and for energy content, and compared with the same analyses of wood (a more typical biomass fuel). Three different samples of food waste showed relative uniformity of properties despite being sampled on different days, with different menus. Food waste had lower oxygen content, higher nitrogen and ash content, and higher energy content than wood. The food waste in this study had approximately 70% water content. Temperatures and emissions from combustion of wood pellets, dried pelletized food waste, and dried non-pelletized food waste were measured and compared using a modified residential pellet stove. Temperatures were higher for food waste due to the higher energy content. Emissions of NO, HC, and soot were slightly higher for food waste. Despite the large water content, thermodynamic analysis showed that regenerative dehydration, in which waste energy from the combustion system is used to remove water from the incoming wet fuel, is possible. An excess enthalpy ratio is defined to formalize the comparison of waste sensible enthalpy with the energy required for dehydration. Analysis of fuel-lean combustion and fuel-rich gasification shows that little, if any, external energy would necessarily be required to remove the water from the incoming fuel. An equilibrium model was used to simulate waste food gasification by extending the simulation to high water content levels. Probable ranges for successful food waste gasification are identified. Energy recovery of waste food could result in cost savings by offsetting traditional fuel-use (e.g. natural gas for heating) and by reducing disposal costs.","author":[{"dropping-particle":"","family":"Caton","given":"P. a.","non-dropping-particle":"","parse-names":false,"suffix":""},{"dropping-particle":"","family":"Carr","given":"M. a.","non-dropping-particle":"","parse-names":false,"suffix":""},{"dropping-particle":"","family":"Kim","given":"S. S.","non-dropping-particle":"","parse-names":false,"suffix":""},{"dropping-particle":"","family":"Beautyman","given":"M. J.","non-dropping-particle":"","parse-names":false,"suffix":""}],"container-title":"Energy Conversion and Management","id":"ITEM-1","issue":"6","issued":{"date-parts":[["2010"]]},"page":"1157-1169","publisher":"Elsevier Ltd","title":"Energy recovery from waste food by combustion or gasification with the potential for regenerative dehydration: A case study","type":"article-journal","volume":"51"},"uris":["http://www.mendeley.com/documents/?uuid=4e1869b1-94de-4948-9bd3-b0a18b67b3b4"]}],"mendeley":{"formattedCitation":"(Caton et al., 2010)","manualFormatting":"Caton et al. (2010)","plainTextFormattedCitation":"(Caton et al., 2010)","previouslyFormattedCitation":"(Caton et al., 2010)"},"properties":{"noteIndex":0},"schema":"https://github.com/citation-style-language/schema/raw/master/csl-citation.json"}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Caton et al. (2010)</w:t>
            </w:r>
            <w:r w:rsidRPr="00C81B1E">
              <w:rPr>
                <w:rFonts w:eastAsia="Calibri"/>
                <w:lang w:val="en-GB" w:eastAsia="en-US"/>
              </w:rPr>
              <w:fldChar w:fldCharType="end"/>
            </w:r>
          </w:p>
        </w:tc>
      </w:tr>
      <w:tr w:rsidR="00C81B1E" w:rsidRPr="00C81B1E" w14:paraId="605FFEFD" w14:textId="77777777" w:rsidTr="00C81B1E">
        <w:trPr>
          <w:trHeight w:val="255"/>
        </w:trPr>
        <w:tc>
          <w:tcPr>
            <w:tcW w:w="2235" w:type="dxa"/>
            <w:shd w:val="clear" w:color="auto" w:fill="auto"/>
            <w:noWrap/>
            <w:vAlign w:val="center"/>
            <w:hideMark/>
          </w:tcPr>
          <w:p w14:paraId="0F3A48C2"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Other organic compounds</w:t>
            </w:r>
          </w:p>
        </w:tc>
        <w:tc>
          <w:tcPr>
            <w:tcW w:w="1066" w:type="dxa"/>
            <w:shd w:val="clear" w:color="auto" w:fill="auto"/>
            <w:noWrap/>
            <w:vAlign w:val="center"/>
            <w:hideMark/>
          </w:tcPr>
          <w:p w14:paraId="4A05FED0" w14:textId="77777777" w:rsidR="00C7764C" w:rsidRPr="00C81B1E" w:rsidRDefault="00C7764C" w:rsidP="00C81B1E">
            <w:pPr>
              <w:pStyle w:val="MDPI42tablebody"/>
              <w:rPr>
                <w:rFonts w:eastAsia="Calibri"/>
                <w:lang w:val="en-GB" w:eastAsia="en-US"/>
              </w:rPr>
            </w:pPr>
            <w:r w:rsidRPr="00C81B1E">
              <w:rPr>
                <w:rFonts w:eastAsia="Calibri"/>
                <w:lang w:val="en-GB" w:eastAsia="en-US"/>
              </w:rPr>
              <w:t>% mass</w:t>
            </w:r>
          </w:p>
        </w:tc>
        <w:tc>
          <w:tcPr>
            <w:tcW w:w="1134" w:type="dxa"/>
            <w:shd w:val="clear" w:color="auto" w:fill="auto"/>
            <w:noWrap/>
            <w:vAlign w:val="center"/>
            <w:hideMark/>
          </w:tcPr>
          <w:p w14:paraId="630D3E36" w14:textId="77777777" w:rsidR="00C7764C" w:rsidRPr="00C81B1E" w:rsidRDefault="00C7764C" w:rsidP="00C81B1E">
            <w:pPr>
              <w:pStyle w:val="MDPI42tablebody"/>
              <w:rPr>
                <w:rFonts w:eastAsia="Calibri"/>
                <w:lang w:val="en-GB" w:eastAsia="en-US"/>
              </w:rPr>
            </w:pPr>
            <w:r w:rsidRPr="00C81B1E">
              <w:rPr>
                <w:rFonts w:eastAsia="Calibri"/>
                <w:lang w:val="en-GB" w:eastAsia="en-US"/>
              </w:rPr>
              <w:t>R, AF, AD, C, TT</w:t>
            </w:r>
          </w:p>
        </w:tc>
        <w:tc>
          <w:tcPr>
            <w:tcW w:w="4677" w:type="dxa"/>
            <w:shd w:val="clear" w:color="auto" w:fill="auto"/>
            <w:noWrap/>
            <w:vAlign w:val="center"/>
            <w:hideMark/>
          </w:tcPr>
          <w:p w14:paraId="0E1896DB"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R: </w:t>
            </w:r>
            <w:r w:rsidRPr="00C81B1E">
              <w:rPr>
                <w:rFonts w:eastAsia="Calibri"/>
                <w:lang w:val="en-GB" w:eastAsia="en-US"/>
              </w:rPr>
              <w:fldChar w:fldCharType="begin" w:fldLock="1"/>
            </w:r>
            <w:r w:rsidRPr="00C81B1E">
              <w:rPr>
                <w:rFonts w:eastAsia="Calibri"/>
                <w:lang w:val="en-GB" w:eastAsia="en-US"/>
              </w:rPr>
              <w:instrText>ADDIN CSL_CITATION {"citationItems":[{"id":"ITEM-1","itemData":{"author":[{"dropping-particle":"","family":"The Commission of the European Communities","given":"","non-dropping-particle":"","parse-names":false,"suffix":""}],"container-title":"Official Journal of the European Communities","id":"ITEM-1","issued":{"date-parts":[["2006"]]},"page":"5-24","title":"Commission Regulation (EC) No 1881/2006 of 19 December 2006 setting maximum levels for certain contaminants in foodstuffs","type":"article-journal","volume":"L 364"},"uris":["http://www.mendeley.com/documents/?uuid=edd9b676-f1d9-47d9-8e87-d2a88aa13752"]}],"mendeley":{"formattedCitation":"(The Commission of the European Communities, 2006)","manualFormatting":"The Commission of the European Communities (2006)","plainTextFormattedCitation":"(The Commission of the European Communities, 2006)","previouslyFormattedCitation":"(The Commission of the European Communities, 2006)"},"properties":{"noteIndex":0},"schema":"https://github.com/citation-style-language/schema/raw/master/csl-citation.json"}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The Commission of the European Communities (2006)</w:t>
            </w:r>
            <w:r w:rsidRPr="00C81B1E">
              <w:rPr>
                <w:rFonts w:eastAsia="Calibri"/>
                <w:lang w:val="en-GB" w:eastAsia="en-US"/>
              </w:rPr>
              <w:fldChar w:fldCharType="end"/>
            </w:r>
            <w:r w:rsidRPr="00C81B1E">
              <w:rPr>
                <w:rFonts w:eastAsia="Calibri"/>
                <w:lang w:val="en-GB" w:eastAsia="en-US"/>
              </w:rPr>
              <w:t xml:space="preserve">, AF: </w:t>
            </w:r>
            <w:r w:rsidRPr="00C81B1E">
              <w:rPr>
                <w:rFonts w:eastAsia="Calibri"/>
                <w:lang w:val="en-GB" w:eastAsia="en-US"/>
              </w:rPr>
              <w:fldChar w:fldCharType="begin" w:fldLock="1"/>
            </w:r>
            <w:r w:rsidRPr="00C81B1E">
              <w:rPr>
                <w:rFonts w:eastAsia="Calibri"/>
                <w:lang w:val="en-GB" w:eastAsia="en-US"/>
              </w:rPr>
              <w:instrText>ADDIN CSL_CITATION {"citationItems":[{"id":"ITEM-1","itemData":{"ISBN":"9789279122552","abstract":"Livestock production occupies a very important place in\\nfarming in the Community and satisfactory results in\\nterms of public and animal health, animal welfare, the\\nenvironment and the livestock producers' finances\\ndepend to a large extent on the use of appropriate good\\nquality feedingstuffs.","author":[{"dropping-particle":"","family":"European Commission (EC)","given":"","non-dropping-particle":"","parse-names":false,"suffix":""}],"container-title":"Official Journal of the European Union","id":"ITEM-1","issued":{"date-parts":[["2002"]]},"page":"10-21","title":"Directive 2002/32/EC of the European Parliament and of the Council of 7 May 2002 on undesirable substances in animal feed","type":"article-journal","volume":"L140"},"uris":["http://www.mendeley.com/documents/?uuid=07265358-703f-4657-abdd-9570bc0fc9da"]}],"mendeley":{"formattedCitation":"(European Commission (EC), 2002)","manualFormatting":"European Commission (2002)","plainTextFormattedCitation":"(European Commission (EC), 2002)","previouslyFormattedCitation":"(European Commission (EC), 2002)"},"properties":{"noteIndex":0},"schema":"https://github.com/citation-style-language/schema/raw/master/csl-citation.json"}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European Commission (2002)</w:t>
            </w:r>
            <w:r w:rsidRPr="00C81B1E">
              <w:rPr>
                <w:rFonts w:eastAsia="Calibri"/>
                <w:lang w:val="en-GB" w:eastAsia="en-US"/>
              </w:rPr>
              <w:fldChar w:fldCharType="end"/>
            </w:r>
            <w:r w:rsidRPr="00C81B1E">
              <w:rPr>
                <w:rFonts w:eastAsia="Calibri"/>
                <w:lang w:val="en-GB" w:eastAsia="en-US"/>
              </w:rPr>
              <w:t xml:space="preserve">, AD: </w:t>
            </w:r>
            <w:r w:rsidRPr="00C81B1E">
              <w:rPr>
                <w:rFonts w:eastAsia="Calibri"/>
                <w:lang w:val="en-GB" w:eastAsia="en-US"/>
              </w:rPr>
              <w:fldChar w:fldCharType="begin" w:fldLock="1"/>
            </w:r>
            <w:r w:rsidRPr="00C81B1E">
              <w:rPr>
                <w:rFonts w:eastAsia="Calibri"/>
                <w:lang w:val="en-GB" w:eastAsia="en-US"/>
              </w:rPr>
              <w:instrText>ADDIN CSL_CITATION {"citationItems":[{"id":"ITEM-1","itemData":{"ISBN":"0580617300","abstract":"Food products, Anaerobic bacteria, Digestive system, Agricultural products, Microorganisms, Microbiology","author":[{"dropping-particle":"","family":"British Standards Institution","given":"","non-dropping-particle":"","parse-names":false,"suffix":""}],"id":"ITEM-1","issued":{"date-parts":[["2014"]]},"title":"PAS 110:2014. Specification for whole digestate, separated liquor and separated fibre derived from the anaerobic digestion of source-segregated biodegradable materials","type":"report"},"uris":["http://www.mendeley.com/documents/?uuid=a1334019-daa9-4ee5-bd60-cd891a066519"]}],"mendeley":{"formattedCitation":"(British Standards Institution, 2014)","manualFormatting":"British Standards Institution (2014)","plainTextFormattedCitation":"(British Standards Institution, 2014)","previouslyFormattedCitation":"(British Standards Institution, 2014)"},"properties":{"noteIndex":0},"schema":"https://github.com/citation-style-language/schema/raw/master/csl-citation.json"}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British Standards Institution (2014)</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{"citationItems":[{"id":"ITEM-1","itemData":{"DOI":"10.1128/AEM.71.9.4951","ISBN":"058045195X","author":[{"dropping-particle":"","family":"British Standards Institution","given":"","non-dropping-particle":"","parse-names":false,"suffix":""}],"id":"ITEM-1","issued":{"date-parts":[["2011"]]},"title":"PAS 100:2011 Specification for Composted Materials","type":"report","volume":"January"},"uris":["http://www.mendeley.com/documents/?uuid=f0f7c64c-b25d-4a88-8d84-9a437c7611e0"]}],"mendeley":{"formattedCitation":"(British Standards Institution, 2011)","manualFormatting":"British Standards Institution (2011)","plainTextFormattedCitation":"(British Standards Institution, 2011)","previouslyFormattedCitation":"(British Standards Institution, 2011)"},"properties":{"noteIndex":0},"schema":"https://github.com/citation-style-language/schema/raw/master/csl-citation.json"}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British Standards Institution (2011)</w:t>
            </w:r>
            <w:r w:rsidRPr="00C81B1E">
              <w:rPr>
                <w:rFonts w:eastAsia="Calibri"/>
                <w:lang w:val="en-GB" w:eastAsia="en-US"/>
              </w:rPr>
              <w:fldChar w:fldCharType="end"/>
            </w:r>
            <w:r w:rsidRPr="00C81B1E">
              <w:rPr>
                <w:rFonts w:eastAsia="Calibri"/>
                <w:lang w:val="en-GB" w:eastAsia="en-US"/>
              </w:rPr>
              <w:t xml:space="preserve">, TT: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{"citationItems":[{"id":"ITEM-1","itemData":{"DOI":"10.1016/j.enconman.2009.12.025","ISBN":"0196-8904","ISSN":"01968904","abstract":"Energy recovery from food waste was studied using the food service at the US Naval Academy as a case study. Post-consumer food waste was captured over a period of ten days to estimate individual waste per meal and total waste per month. The food waste was analyzed for chemical composition and water content using ultimate and proximate analysis, and for energy content, and compared with the same analyses of wood (a more typical biomass fuel). Three different samples of food waste showed relative uniformity of properties despite being sampled on different days, with different menus. Food waste had lower oxygen content, higher nitrogen and ash content, and higher energy content than wood. The food waste in this study had approximately 70% water content. Temperatures and emissions from combustion of wood pellets, dried pelletized food waste, and dried non-pelletized food waste were measured and compared using a modified residential pellet stove. Temperatures were higher for food waste due to the higher energy content. Emissions of NO, HC, and soot were slightly higher for food waste. Despite the large water content, thermodynamic analysis showed that regenerative dehydration, in which waste energy from the combustion system is used to remove water from the incoming wet fuel, is possible. An excess enthalpy ratio is defined to formalize the comparison of waste sensible enthalpy with the energy required for dehydration. Analysis of fuel-lean combustion and fuel-rich gasification shows that little, if any, external energy would necessarily be required to remove the water from the incoming fuel. An equilibrium model was used to simulate waste food gasification by extending the simulation to high water content levels. Probable ranges for successful food waste gasification are identified. Energy recovery of waste food could result in cost savings by offsetting traditional fuel-use (e.g. natural gas for heating) and by reducing disposal costs.","author":[{"dropping-particle":"","family":"Caton","given":"P. a.","non-dropping-particle":"","parse-names":false,"suffix":""},{"dropping-particle":"","family":"Carr","given":"M. a.","non-dropping-particle":"","parse-names":false,"suffix":""},{"dropping-particle":"","family":"Kim","given":"S. S.","non-dropping-particle":"","parse-names":false,"suffix":""},{"dropping-particle":"","family":"Beautyman","given":"M. J.","non-dropping-particle":"","parse-names":false,"suffix":""}],"container-title":"Energy Conversion and Management","id":"ITEM-1","issue":"6","issued":{"date-parts":[["2010"]]},"page":"1157-1169","publisher":"Elsevier Ltd","title":"Energy recovery from waste food by combustion or gasification with the potential for regenerative dehydration: A case study","type":"article-journal","volume":"51"},"uris":["http://www.mendeley.com/documents/?uuid=4e1869b1-94de-4948-9bd3-b0a18b67b3b4"]}],"mendeley":{"formattedCitation":"(Caton et al., 2010)","manualFormatting":"Caton et al. (2010)","plainTextFormattedCitation":"(Caton et al., 2010)","previouslyFormattedCitation":"(Caton et al., 2010)"},"properties":{"noteIndex":0},"schema":"https://github.com/citation-style-language/schema/raw/master/csl-citation.json"}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Caton et al. (2010)</w:t>
            </w:r>
            <w:r w:rsidRPr="00C81B1E">
              <w:rPr>
                <w:rFonts w:eastAsia="Calibri"/>
                <w:lang w:val="en-GB" w:eastAsia="en-US"/>
              </w:rPr>
              <w:fldChar w:fldCharType="end"/>
            </w:r>
          </w:p>
        </w:tc>
      </w:tr>
      <w:tr w:rsidR="00C81B1E" w:rsidRPr="00C81B1E" w14:paraId="2C054377" w14:textId="77777777" w:rsidTr="00C81B1E">
        <w:trPr>
          <w:trHeight w:val="255"/>
        </w:trPr>
        <w:tc>
          <w:tcPr>
            <w:tcW w:w="2235" w:type="dxa"/>
            <w:tcBorders>
              <w:top w:val="single" w:sz="4" w:space="0" w:color="7F7F7F"/>
              <w:bottom w:val="single" w:sz="4" w:space="0" w:color="7F7F7F"/>
            </w:tcBorders>
            <w:shd w:val="clear" w:color="auto" w:fill="auto"/>
            <w:noWrap/>
            <w:vAlign w:val="center"/>
            <w:hideMark/>
          </w:tcPr>
          <w:p w14:paraId="5DC608EC"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Inorganic content and composition</w:t>
            </w:r>
          </w:p>
        </w:tc>
        <w:tc>
          <w:tcPr>
            <w:tcW w:w="1066" w:type="dxa"/>
            <w:tcBorders>
              <w:top w:val="single" w:sz="4" w:space="0" w:color="7F7F7F"/>
              <w:bottom w:val="single" w:sz="4" w:space="0" w:color="7F7F7F"/>
            </w:tcBorders>
            <w:shd w:val="clear" w:color="auto" w:fill="auto"/>
            <w:noWrap/>
            <w:vAlign w:val="center"/>
            <w:hideMark/>
          </w:tcPr>
          <w:p w14:paraId="11513DD9" w14:textId="77777777" w:rsidR="00C7764C" w:rsidRPr="00C81B1E" w:rsidRDefault="00C7764C" w:rsidP="00C81B1E">
            <w:pPr>
              <w:pStyle w:val="MDPI42tablebody"/>
              <w:rPr>
                <w:rFonts w:eastAsia="Calibri"/>
                <w:lang w:val="en-GB" w:eastAsia="en-US"/>
              </w:rPr>
            </w:pPr>
            <w:r w:rsidRPr="00C81B1E">
              <w:rPr>
                <w:rFonts w:eastAsia="Calibri"/>
                <w:lang w:val="en-GB" w:eastAsia="en-US"/>
              </w:rPr>
              <w:t>% mass</w:t>
            </w:r>
          </w:p>
        </w:tc>
        <w:tc>
          <w:tcPr>
            <w:tcW w:w="1134" w:type="dxa"/>
            <w:tcBorders>
              <w:top w:val="single" w:sz="4" w:space="0" w:color="7F7F7F"/>
              <w:bottom w:val="single" w:sz="4" w:space="0" w:color="7F7F7F"/>
            </w:tcBorders>
            <w:shd w:val="clear" w:color="auto" w:fill="auto"/>
            <w:noWrap/>
            <w:vAlign w:val="center"/>
            <w:hideMark/>
          </w:tcPr>
          <w:p w14:paraId="74BE67D3" w14:textId="77777777" w:rsidR="00C7764C" w:rsidRPr="00C81B1E" w:rsidRDefault="00C7764C" w:rsidP="00C81B1E">
            <w:pPr>
              <w:pStyle w:val="MDPI42tablebody"/>
              <w:rPr>
                <w:rFonts w:eastAsia="Calibri"/>
                <w:lang w:val="en-GB" w:eastAsia="en-US"/>
              </w:rPr>
            </w:pPr>
            <w:r w:rsidRPr="00C81B1E">
              <w:rPr>
                <w:rFonts w:eastAsia="Calibri"/>
                <w:lang w:val="en-GB" w:eastAsia="en-US"/>
              </w:rPr>
              <w:t>R, AF, AD, C, TT</w:t>
            </w:r>
          </w:p>
        </w:tc>
        <w:tc>
          <w:tcPr>
            <w:tcW w:w="4677" w:type="dxa"/>
            <w:tcBorders>
              <w:top w:val="single" w:sz="4" w:space="0" w:color="7F7F7F"/>
              <w:bottom w:val="single" w:sz="4" w:space="0" w:color="7F7F7F"/>
            </w:tcBorders>
            <w:shd w:val="clear" w:color="auto" w:fill="auto"/>
            <w:noWrap/>
            <w:vAlign w:val="center"/>
            <w:hideMark/>
          </w:tcPr>
          <w:p w14:paraId="47A1FA1F"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R: </w:t>
            </w:r>
            <w:r w:rsidRPr="00C81B1E">
              <w:rPr>
                <w:rFonts w:eastAsia="Calibri"/>
                <w:lang w:val="en-GB" w:eastAsia="en-US"/>
              </w:rPr>
              <w:fldChar w:fldCharType="begin" w:fldLock="1"/>
            </w:r>
            <w:r w:rsidRPr="00C81B1E">
              <w:rPr>
                <w:rFonts w:eastAsia="Calibri"/>
                <w:lang w:val="en-GB" w:eastAsia="en-US"/>
              </w:rPr>
              <w:instrText>ADDIN CSL_CITATION {"citationItems":[{"id":"ITEM-1","itemData":{"DOI":"10.1007/s13398-014-0173-7.2","ISBN":"9780874216561","ISSN":"0717-6163","PMID":"15003161","abstract":"This Standard contains the main principles which are recommended by the Codex Alimentarius in dealing with contaminants and toxins in food and feed, and lists the maximum levels and associated sampling plans of contaminants and natural toxicants in food and feed which are recommended by the CAC to be applied to commodities moving in international trade. This Standard includes only maximum levels of contaminants and natural toxicants in feed in cases where the contaminant in feed can be transferred to food of animal origin and can be relevant for public health.","author":[{"dropping-particle":"","family":"WHO","given":"","non-dropping-particle":"","parse-names":false,"suffix":""},{"dropping-particle":"","family":"FAO","given":"","non-dropping-particle":"","parse-names":false,"suffix":""}],"container-title":"Codex Standard","id":"ITEM-1","issued":{"date-parts":[["1995"]]},"title":"Codex general standard for contaminants and toxins in food and feed","type":"report","volume":"193"},"uris":["http://www.mendeley.com/documents/?uuid=2ddc058e-0e14-4323-97ae-8a0b83e5704f"]}],"mendeley":{"formattedCitation":"(WHO and FAO, 1995)","manualFormatting":"WHO/FAO (1995)","plainTextFormattedCitation":"(WHO and FAO, 1995)","previouslyFormattedCitation":"(WHO and FAO, 1995)"},"properties":{"noteIndex":0},"schema":"https://github.com/citation-style-language/schema/raw/master/csl-citation.json"}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WHO/FAO (1995)</w:t>
            </w:r>
            <w:r w:rsidRPr="00C81B1E">
              <w:rPr>
                <w:rFonts w:eastAsia="Calibri"/>
                <w:lang w:val="en-GB" w:eastAsia="en-US"/>
              </w:rPr>
              <w:fldChar w:fldCharType="end"/>
            </w:r>
            <w:r w:rsidRPr="00C81B1E">
              <w:rPr>
                <w:rFonts w:eastAsia="Calibri"/>
                <w:lang w:val="en-GB" w:eastAsia="en-US"/>
              </w:rPr>
              <w:t xml:space="preserve">, AF: </w:t>
            </w:r>
            <w:r w:rsidRPr="00C81B1E">
              <w:rPr>
                <w:rFonts w:eastAsia="Calibri"/>
                <w:lang w:val="en-GB" w:eastAsia="en-US"/>
              </w:rPr>
              <w:fldChar w:fldCharType="begin" w:fldLock="1"/>
            </w:r>
            <w:r w:rsidRPr="00C81B1E">
              <w:rPr>
                <w:rFonts w:eastAsia="Calibri"/>
                <w:lang w:val="en-GB" w:eastAsia="en-US"/>
              </w:rPr>
              <w:instrText>ADDIN CSL_CITATION {"citationItems":[{"id":"ITEM-1","itemData":{"ISBN":"9789279122552","abstract":"Livestock production occupies a very important place in\\nfarming in the Community and satisfactory results in\\nterms of public and animal health, animal welfare, the\\nenvironment and the livestock producers' finances\\ndepend to a large extent on the use of appropriate good\\nquality feedingstuffs.","author":[{"dropping-particle":"","family":"European Commission (EC)","given":"","non-dropping-particle":"","parse-names":false,"suffix":""}],"container-title":"Official Journal of the European Union","id":"ITEM-1","issued":{"date-parts":[["2002"]]},"page":"10-21","title":"Directive 2002/32/EC of the European Parliament and of the Council of 7 May 2002 on undesirable substances in animal feed","type":"article-journal","volume":"L140"},"uris":["http://www.mendeley.com/documents/?uuid=07265358-703f-4657-abdd-9570bc0fc9da"]}],"mendeley":{"formattedCitation":"(European Commission (EC), 2002)","manualFormatting":"European Commission (2002)","plainTextFormattedCitation":"(European Commission (EC), 2002)","previouslyFormattedCitation":"(European Commission (EC), 2002)"},"properties":{"noteIndex":0},"schema":"https://github.com/citation-style-language/schema/raw/master/csl-citation.json"}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European Commission (2002)</w:t>
            </w:r>
            <w:r w:rsidRPr="00C81B1E">
              <w:rPr>
                <w:rFonts w:eastAsia="Calibri"/>
                <w:lang w:val="en-GB" w:eastAsia="en-US"/>
              </w:rPr>
              <w:fldChar w:fldCharType="end"/>
            </w:r>
            <w:r w:rsidRPr="00C81B1E">
              <w:rPr>
                <w:rFonts w:eastAsia="Calibri"/>
                <w:lang w:val="en-GB" w:eastAsia="en-US"/>
              </w:rPr>
              <w:t xml:space="preserve">, AD: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{"citationItems":[{"id":"ITEM-1","itemData":{"DOI":"10.1016/j.wasman.2016.01.041","ISBN":"0956-053X","ISSN":"18792456","PMID":"26868845","abstract":"In order to determine the variability of food waste (FW) characteristics and the influence of these variable values on the anaerobic digestion (AD) process, FW characteristics from 70 papers were compiled and analysed statistically. Results indicated that FW characteristics values are effectively very variable and that 24% of these variations may be explained by the geographical origin, the type of collection source and the season of the collection. Considering the whole range of values for physicochemical characteristics (especially volatile solids (VS), chemical oxygen demand (COD) and biomethane potential (BMP)), FW show good potential for AD treatment. However, the high carbohydrates contents (36.4%VS) and the low pH (5.1) might cause inhibitions by the rapid acidification of the digesters. As regards the variation of FW characteristics, FW categories were proposed. Moreover, the adequacy of FW characteristics with AD treatment was discussed. Four FW categories were identified with critical characteristics values for AD performance: (1) the high dry matter (DM) and total ammonia nitrogen (TAN) content of FW collected with green waste, (2) the high cellulose (CEL) content of FW from the organic fraction of municipal solid waste, (3) the low carbon-to-nitrogen (C/N) ratio of FW collected during summer, (4) the high value of TAN and Na of FW from Asia. For these cases, an aerobic pre-treatment or a corrective treatment seems to be advised to avoid instabilities along the digestion. Finally, the results of this review-paper provide a data basis of values for FW characteristics that could be used for AD process design and environmental assessment.","author":[{"dropping-particle":"","family":"Fisgativa","given":"Henry","non-dropping-particle":"","parse-names":false,"suffix":""},{"dropping-particle":"","family":"Tremier","given":"Anne","non-dropping-particle":"","parse-names":false,"suffix":""},{"dropping-particle":"","family":"Dabert","given":"Patrick","non-dropping-particle":"","parse-names":false,"suffix":""}],"container-title":"Waste Management","id":"ITEM-1","issued":{"date-parts":[["2016"]]},"page":"264-274","publisher":"Elsevier Ltd","title":"Characterizing the variability of food waste quality: A need for efficient valorisation through anaerobic digestion","type":"article-journal","volume":"50"},"uris":["http://www.mendeley.com/documents/?uuid=eddf645d-7bb2-494e-9a3b-d738938181e5"]}],"mendeley":{"formattedCitation":"(Fisgativa et al., 2016)","manualFormatting":"Fisgativa et al. (2015)","plainTextFormattedCitation":"(Fisgativa et al., 2016)","previouslyFormattedCitation":"(Fisgativa et al., 2016)"},"properties":{"noteIndex":0},"schema":"https://github.com/citation-style-language/schema/raw/master/csl-citation.json"}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Fisgativa et al. (2015)</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{"citationItems":[{"id":"ITEM-1","itemData":{"DOI":"10.1016/j.wasman.2009.03.016","ISSN":"0956053X","PMID":"19380220","abstract":"The effectiveness of two commercial additives meant to improve the composting process was studied in a laboratory-scale experiment. Improver A (sulphates and oxides of iron, magnesium, manganese, and zinc mixed with clay) and B (mixture of calcium hydroxide, peroxide, and oxide) were added to source-separated biowaste:peat mixture (1:1, v/v) in proportions recommended by the producers. The composting process (T, emissions of CO2, NH3, and CH4) and the quality of the compost (pH, conductivity, C/N ratio, water-soluble NH4-N and NO3-N, water- and NaOH-soluble low-weight carboxylic acids, nutrients, heavy metals and phytotoxicity to Lepidium sarivum) were monitored during one year. Compared with the control, the addition of improver B increased pH by two units, led to an earlier elimination of water-soluble ammonia, an increase in nitrates, a 10-fold increase in concentrations of acetic acid, and shortened phytotoxicity period by half; as negative aspect it led to volatilization of ammonia. The addition of improver A led to a longer thermophilic stage by one week and lower concentrations of low-weight carboxylic acids (both water- and NaOH-extractable) with formic and acetic of similar amounts, however, most of the aspects claimed by the improver's producer were not confirmed in this trial. ?? 2009 Elsevier Ltd. All rights reserved.","author":[{"dropping-particle":"","family":"Himanen","given":"M.","non-dropping-particle":"","parse-names":false,"suffix":""},{"dropping-particle":"","family":"Hänninen","given":"K.","non-dropping-particle":"","parse-names":false,"suffix":""}],"container-title":"Waste Management","id":"ITEM-1","issue":"8","issued":{"date-parts":[["2009"]]},"page":"2265-2273","publisher":"Elsevier Ltd","title":"Effect of commercial mineral-based additives on composting and compost quality","type":"article-journal","volume":"29"},"uris":["http://www.mendeley.com/documents/?uuid=f403f8e4-dde5-4fdb-8b69-35325f731f0d"]}],"mendeley":{"formattedCitation":"(Himanen and Hänninen, 2009)","manualFormatting":"Himanen &amp; Hänninen (2009)","plainTextFormattedCitation":"(Himanen and Hänninen, 2009)","previouslyFormattedCitation":"(Himanen and Hänninen, 2009)"},"properties":{"noteIndex":0},"schema":"https://github.com/citation-style-language/schema/raw/master/csl-citation.json"}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Himanen &amp; Hänninen (2009)</w:t>
            </w:r>
            <w:r w:rsidRPr="00C81B1E">
              <w:rPr>
                <w:rFonts w:eastAsia="Calibri"/>
                <w:lang w:val="en-GB" w:eastAsia="en-US"/>
              </w:rPr>
              <w:fldChar w:fldCharType="end"/>
            </w:r>
            <w:r w:rsidRPr="00C81B1E">
              <w:rPr>
                <w:rFonts w:eastAsia="Calibri"/>
                <w:lang w:val="en-GB" w:eastAsia="en-US"/>
              </w:rPr>
              <w:t xml:space="preserve">, TT: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{"citationItems":[{"id":"ITEM-1","itemData":{"DOI":"10.1016/j.enconman.2009.12.025","ISBN":"0196-8904","ISSN":"01968904","abstract":"Energy recovery from food waste was studied using the food service at the US Naval Academy as a case study. Post-consumer food waste was captured over a period of ten days to estimate individual waste per meal and total waste per month. The food waste was analyzed for chemical composition and water content using ultimate and proximate analysis, and for energy content, and compared with the same analyses of wood (a more typical biomass fuel). Three different samples of food waste showed relative uniformity of properties despite being sampled on different days, with different menus. Food waste had lower oxygen content, higher nitrogen and ash content, and higher energy content than wood. The food waste in this study had approximately 70% water content. Temperatures and emissions from combustion of wood pellets, dried pelletized food waste, and dried non-pelletized food waste were measured and compared using a modified residential pellet stove. Temperatures were higher for food waste due to the higher energy content. Emissions of NO, HC, and soot were slightly higher for food waste. Despite the large water content, thermodynamic analysis showed that regenerative dehydration, in which waste energy from the combustion system is used to remove water from the incoming wet fuel, is possible. An excess enthalpy ratio is defined to formalize the comparison of waste sensible enthalpy with the energy required for dehydration. Analysis of fuel-lean combustion and fuel-rich gasification shows that little, if any, external energy would necessarily be required to remove the water from the incoming fuel. An equilibrium model was used to simulate waste food gasification by extending the simulation to high water content levels. Probable ranges for successful food waste gasification are identified. Energy recovery of waste food could result in cost savings by offsetting traditional fuel-use (e.g. natural gas for heating) and by reducing disposal costs.","author":[{"dropping-particle":"","family":"Caton","given":"P. a.","non-dropping-particle":"","parse-names":false,"suffix":""},{"dropping-particle":"","family":"Carr","given":"M. a.","non-dropping-particle":"","parse-names":false,"suffix":""},{"dropping-particle":"","family":"Kim","given":"S. S.","non-dropping-particle":"","parse-names":false,"suffix":""},{"dropping-particle":"","family":"Beautyman","given":"M. J.","non-dropping-particle":"","parse-names":false,"suffix":""}],"container-title":"Energy Conversion and Management","id":"ITEM-1","issue":"6","issued":{"date-parts":[["2010"]]},"page":"1157-1169","publisher":"Elsevier Ltd","title":"Energy recovery from waste food by combustion or gasification with the potential for regenerative dehydration: A case study","type":"article-journal","volume":"51"},"uris":["http://www.mendeley.com/documents/?uuid=4e1869b1-94de-4948-9bd3-b0a18b67b3b4"]}],"mendeley":{"formattedCitation":"(Caton et al., 2010)","manualFormatting":"Caton et al. (2010)","plainTextFormattedCitation":"(Caton et al., 2010)","previouslyFormattedCitation":"(Caton et al., 2010)"},"properties":{"noteIndex":0},"schema":"https://github.com/citation-style-language/schema/raw/master/csl-citation.json"}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Caton et al. (2010)</w:t>
            </w:r>
            <w:r w:rsidRPr="00C81B1E">
              <w:rPr>
                <w:rFonts w:eastAsia="Calibri"/>
                <w:lang w:val="en-GB" w:eastAsia="en-US"/>
              </w:rPr>
              <w:fldChar w:fldCharType="end"/>
            </w:r>
          </w:p>
        </w:tc>
      </w:tr>
      <w:tr w:rsidR="00C81B1E" w:rsidRPr="00C81B1E" w14:paraId="46D550D8" w14:textId="77777777" w:rsidTr="00C81B1E">
        <w:trPr>
          <w:trHeight w:val="255"/>
        </w:trPr>
        <w:tc>
          <w:tcPr>
            <w:tcW w:w="2235" w:type="dxa"/>
            <w:shd w:val="clear" w:color="auto" w:fill="auto"/>
            <w:noWrap/>
            <w:vAlign w:val="center"/>
            <w:hideMark/>
          </w:tcPr>
          <w:p w14:paraId="60F9FBA7"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Moisture content</w:t>
            </w:r>
          </w:p>
        </w:tc>
        <w:tc>
          <w:tcPr>
            <w:tcW w:w="1066" w:type="dxa"/>
            <w:shd w:val="clear" w:color="auto" w:fill="auto"/>
            <w:noWrap/>
            <w:vAlign w:val="center"/>
            <w:hideMark/>
          </w:tcPr>
          <w:p w14:paraId="7138242F" w14:textId="77777777" w:rsidR="00C7764C" w:rsidRPr="00C81B1E" w:rsidRDefault="00C7764C" w:rsidP="00C81B1E">
            <w:pPr>
              <w:pStyle w:val="MDPI42tablebody"/>
              <w:rPr>
                <w:rFonts w:eastAsia="Calibri"/>
                <w:lang w:val="en-GB" w:eastAsia="en-US"/>
              </w:rPr>
            </w:pPr>
            <w:r w:rsidRPr="00C81B1E">
              <w:rPr>
                <w:rFonts w:eastAsia="Calibri"/>
                <w:lang w:val="en-GB" w:eastAsia="en-US"/>
              </w:rPr>
              <w:t>% mass</w:t>
            </w:r>
          </w:p>
        </w:tc>
        <w:tc>
          <w:tcPr>
            <w:tcW w:w="1134" w:type="dxa"/>
            <w:shd w:val="clear" w:color="auto" w:fill="auto"/>
            <w:noWrap/>
            <w:vAlign w:val="center"/>
            <w:hideMark/>
          </w:tcPr>
          <w:p w14:paraId="11D11C35"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 TT</w:t>
            </w:r>
          </w:p>
        </w:tc>
        <w:tc>
          <w:tcPr>
            <w:tcW w:w="4677" w:type="dxa"/>
            <w:shd w:val="clear" w:color="auto" w:fill="auto"/>
            <w:noWrap/>
            <w:vAlign w:val="center"/>
            <w:hideMark/>
          </w:tcPr>
          <w:p w14:paraId="1E33DDEB"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AD: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{"citationItems":[{"id":"ITEM-1","itemData":{"DOI":"10.1016/j.biortech.2006.02.039","ISBN":"0960-8524","ISSN":"09608524","PMID":"16635571","abstract":"Food waste collected in the City of San Francisco, California, was characterized for its potential for use as a feedstock for anaerobic digestion processes. The daily and weekly variations of food waste composition over a two-month period were measured. The anaerobic digestibility and biogas and methane yields of the food waste were evaluated using batch anaerobic digestion tests performed at 50 ??C. The daily average moisture content (MC) and the ratio of volatile solids to total solids (VS/TS) determined from a week-long sampling were 70% and 83%, respectively, while the weekly average MC and VS/TS were 74% and 87%, respectively. The nutrient content analysis showed that the food waste contained well balanced nutrients for anaerobic microorganisms. The methane yield was determined to be 348 and 435 mL/g VS, respectively, after 10 and 28 days of digestion. The average methane content of biogas was 73%. The average VS destruction was 81% at the end of the 28-day digestion test. The results of this study indicate that the food waste is a highly desirable substrate for anaerobic digesters with regards to its high biodegradability and methane yield. ?? 2006 Elsevier Ltd. All rights reserved.","author":[{"dropping-particle":"","family":"Zhang","given":"Ruihong","non-dropping-particle":"","parse-names":false,"suffix":""},{"dropping-particle":"","family":"El-Mashad","given":"Hamed M.","non-dropping-particle":"","parse-names":false,"suffix":""},{"dropping-particle":"","family":"Hartman","given":"Karl","non-dropping-particle":"","parse-names":false,"suffix":""},{"dropping-particle":"","family":"Wang","given":"Fengyu","non-dropping-particle":"","parse-names":false,"suffix":""},{"dropping-particle":"","family":"Liu","given":"Guangqing","non-dropping-particle":"","parse-names":false,"suffix":""},{"dropping-particle":"","family":"Choate","given":"Chris","non-dropping-particle":"","parse-names":false,"suffix":""},{"dropping-particle":"","family":"Gamble","given":"Paul","non-dropping-particle":"","parse-names":false,"suffix":""}],"container-title":"Bioresource Technology","id":"ITEM-1","issue":"4","issued":{"date-parts":[["2007"]]},"page":"929-935","title":"Characterization of food waste as feedstock for anaerobic digestion","type":"article-journal","volume":"98"},"uris":["http://www.mendeley.com/documents/?uuid=b05e0489-42be-426e-a402-a0aa8f9e8ebf"]}],"mendeley":{"formattedCitation":"(Zhang et al., 2007)","manualFormatting":"Zhang et al. (2007)","plainTextFormattedCitation":"(Zhang et al., 2007)","previouslyFormattedCitation":"(Zhang et al., 2007)"},"properties":{"noteIndex":0},"schema":"https://github.com/citation-style-language/schema/raw/master/csl-citation.json"}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Zhang et al. (2007)</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{"citationItems":[{"id":"ITEM-1","itemData":{"DOI":"10.1016/j.biortech.2008.03.043","ISSN":"09608524","PMID":"18467092","abstract":"The objective of this work was to provide a method of predicting important parameters (composting time, highest temperature, final and lowest pH values, cumulative CO2 evolution, and percentages of material losses) that characterized the composting process of synthetic food waste in terms of weight fractions of protein and fat. Experimental results showed that final products of all 12 experimental runs passed multiple maturity tests. Quadratic equations obtained by the multi-regression analysis were also developed for quick estimation. The models were tested for real kitchen waste and the agreements between experimental and predicted results were fair. ?? 2008 Elsevier Ltd. All rights reserved.","author":[{"dropping-particle":"","family":"Chang","given":"James I.","non-dropping-particle":"","parse-names":false,"suffix":""},{"dropping-particle":"","family":"Hsu","given":"Tin En","non-dropping-particle":"","parse-names":false,"suffix":""}],"container-title":"Bioresource Technology","id":"ITEM-1","issue":"17","issued":{"date-parts":[["2008"]]},"page":"8068-8074","title":"Effects of compositions on food waste composting","type":"article-journal","volume":"99"},"uris":["http://www.mendeley.com/documents/?uuid=55378c77-4198-40c4-b078-6f1a2a034157"]}],"mendeley":{"formattedCitation":"(Chang and Hsu, 2008)","manualFormatting":"Chang &amp; Hsu (2008)","plainTextFormattedCitation":"(Chang and Hsu, 2008)","previouslyFormattedCitation":"(Chang and Hsu, 2008)"},"properties":{"noteIndex":0},"schema":"https://github.com/citation-style-language/schema/raw/master/csl-citation.json"}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Chang &amp; Hsu (2008)</w:t>
            </w:r>
            <w:r w:rsidRPr="00C81B1E">
              <w:rPr>
                <w:rFonts w:eastAsia="Calibri"/>
                <w:lang w:val="en-GB" w:eastAsia="en-US"/>
              </w:rPr>
              <w:fldChar w:fldCharType="end"/>
            </w:r>
            <w:r w:rsidRPr="00C81B1E">
              <w:rPr>
                <w:rFonts w:eastAsia="Calibri"/>
                <w:lang w:val="en-GB" w:eastAsia="en-US"/>
              </w:rPr>
              <w:t xml:space="preserve">, TT: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{"citationItems":[{"id":"ITEM-1","itemData":{"DOI":"10.1016/j.enconman.2009.12.025","ISBN":"0196-8904","ISSN":"01968904","abstract":"Energy recovery from food waste was studied using the food service at the US Naval Academy as a case study. Post-consumer food waste was captured over a period of ten days to estimate individual waste per meal and total waste per month. The food waste was analyzed for chemical composition and water content using ultimate and proximate analysis, and for energy content, and compared with the same analyses of wood (a more typical biomass fuel). Three different samples of food waste showed relative uniformity of properties despite being sampled on different days, with different menus. Food waste had lower oxygen content, higher nitrogen and ash content, and higher energy content than wood. The food waste in this study had approximately 70% water content. Temperatures and emissions from combustion of wood pellets, dried pelletized food waste, and dried non-pelletized food waste were measured and compared using a modified residential pellet stove. Temperatures were higher for food waste due to the higher energy content. Emissions of NO, HC, and soot were slightly higher for food waste. Despite the large water content, thermodynamic analysis showed that regenerative dehydration, in which waste energy from the combustion system is used to remove water from the incoming wet fuel, is possible. An excess enthalpy ratio is defined to formalize the comparison of waste sensible enthalpy with the energy required for dehydration. Analysis of fuel-lean combustion and fuel-rich gasification shows that little, if any, external energy would necessarily be required to remove the water from the incoming fuel. An equilibrium model was used to simulate waste food gasification by extending the simulation to high water content levels. Probable ranges for successful food waste gasification are identified. Energy recovery of waste food could result in cost savings by offsetting traditional fuel-use (e.g. natural gas for heating) and by reducing disposal costs.","author":[{"dropping-particle":"","family":"Caton","given":"P. a.","non-dropping-particle":"","parse-names":false,"suffix":""},{"dropping-particle":"","family":"Carr","given":"M. a.","non-dropping-particle":"","parse-names":false,"suffix":""},{"dropping-particle":"","family":"Kim","given":"S. S.","non-dropping-particle":"","parse-names":false,"suffix":""},{"dropping-particle":"","family":"Beautyman","given":"M. J.","non-dropping-particle":"","parse-names":false,"suffix":""}],"container-title":"Energy Conversion and Management","id":"ITEM-1","issue":"6","issued":{"date-parts":[["2010"]]},"page":"1157-1169","publisher":"Elsevier Ltd","title":"Energy recovery from waste food by combustion or gasification with the potential for regenerative dehydration: A case study","type":"article-journal","volume":"51"},"uris":["http://www.mendeley.com/documents/?uuid=4e1869b1-94de-4948-9bd3-b0a18b67b3b4"]}],"mendeley":{"formattedCitation":"(Caton et al., 2010)","manualFormatting":"Caton et al. (2010)","plainTextFormattedCitation":"(Caton et al., 2010)","previouslyFormattedCitation":"(Caton et al., 2010)"},"properties":{"noteIndex":0},"schema":"https://github.com/citation-style-language/schema/raw/master/csl-citation.json"}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Caton et al. (2010)</w:t>
            </w:r>
            <w:r w:rsidRPr="00C81B1E">
              <w:rPr>
                <w:rFonts w:eastAsia="Calibri"/>
                <w:lang w:val="en-GB" w:eastAsia="en-US"/>
              </w:rPr>
              <w:fldChar w:fldCharType="end"/>
            </w:r>
          </w:p>
        </w:tc>
      </w:tr>
      <w:tr w:rsidR="00C81B1E" w:rsidRPr="00C81B1E" w14:paraId="4DA301A5" w14:textId="77777777" w:rsidTr="00C81B1E">
        <w:trPr>
          <w:trHeight w:val="255"/>
        </w:trPr>
        <w:tc>
          <w:tcPr>
            <w:tcW w:w="2235" w:type="dxa"/>
            <w:tcBorders>
              <w:top w:val="single" w:sz="4" w:space="0" w:color="7F7F7F"/>
              <w:bottom w:val="single" w:sz="4" w:space="0" w:color="7F7F7F"/>
            </w:tcBorders>
            <w:shd w:val="clear" w:color="auto" w:fill="auto"/>
            <w:noWrap/>
            <w:vAlign w:val="center"/>
            <w:hideMark/>
          </w:tcPr>
          <w:p w14:paraId="008B4B75"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Biological hazard</w:t>
            </w:r>
          </w:p>
        </w:tc>
        <w:tc>
          <w:tcPr>
            <w:tcW w:w="1066" w:type="dxa"/>
            <w:tcBorders>
              <w:top w:val="single" w:sz="4" w:space="0" w:color="7F7F7F"/>
              <w:bottom w:val="single" w:sz="4" w:space="0" w:color="7F7F7F"/>
            </w:tcBorders>
            <w:shd w:val="clear" w:color="auto" w:fill="auto"/>
            <w:noWrap/>
            <w:vAlign w:val="center"/>
            <w:hideMark/>
          </w:tcPr>
          <w:p w14:paraId="7ADA8AF0" w14:textId="22021AD4" w:rsidR="00C7764C" w:rsidRPr="00C81B1E" w:rsidRDefault="00C7764C" w:rsidP="00C81B1E">
            <w:pPr>
              <w:pStyle w:val="MDPI42tablebody"/>
              <w:rPr>
                <w:rFonts w:eastAsia="Calibri"/>
                <w:lang w:val="en-GB" w:eastAsia="en-US"/>
              </w:rPr>
            </w:pPr>
            <w:r w:rsidRPr="00C81B1E">
              <w:rPr>
                <w:rFonts w:eastAsia="Calibri"/>
                <w:lang w:val="en-GB" w:eastAsia="en-US"/>
              </w:rPr>
              <w:t>CFU</w:t>
            </w:r>
            <w:r w:rsidR="00AB5AA1">
              <w:rPr>
                <w:rFonts w:eastAsia="Calibri"/>
                <w:lang w:val="en-GB" w:eastAsia="en-US"/>
              </w:rPr>
              <w:t>s</w:t>
            </w:r>
            <w:r w:rsidRPr="00C81B1E">
              <w:rPr>
                <w:rFonts w:eastAsia="Calibri"/>
                <w:lang w:val="en-GB" w:eastAsia="en-US"/>
              </w:rPr>
              <w:t>/g fresh matter</w:t>
            </w:r>
          </w:p>
        </w:tc>
        <w:tc>
          <w:tcPr>
            <w:tcW w:w="1134" w:type="dxa"/>
            <w:tcBorders>
              <w:top w:val="single" w:sz="4" w:space="0" w:color="7F7F7F"/>
              <w:bottom w:val="single" w:sz="4" w:space="0" w:color="7F7F7F"/>
            </w:tcBorders>
            <w:shd w:val="clear" w:color="auto" w:fill="auto"/>
            <w:noWrap/>
            <w:vAlign w:val="center"/>
            <w:hideMark/>
          </w:tcPr>
          <w:p w14:paraId="2D110550" w14:textId="77777777" w:rsidR="00C7764C" w:rsidRPr="00C81B1E" w:rsidRDefault="00C7764C" w:rsidP="00C81B1E">
            <w:pPr>
              <w:pStyle w:val="MDPI42tablebody"/>
              <w:rPr>
                <w:rFonts w:eastAsia="Calibri"/>
                <w:lang w:val="en-GB" w:eastAsia="en-US"/>
              </w:rPr>
            </w:pPr>
            <w:r w:rsidRPr="00C81B1E">
              <w:rPr>
                <w:rFonts w:eastAsia="Calibri"/>
                <w:lang w:val="en-GB" w:eastAsia="en-US"/>
              </w:rPr>
              <w:t>R, AF, AD, C, TT</w:t>
            </w:r>
          </w:p>
        </w:tc>
        <w:tc>
          <w:tcPr>
            <w:tcW w:w="4677" w:type="dxa"/>
            <w:tcBorders>
              <w:top w:val="single" w:sz="4" w:space="0" w:color="7F7F7F"/>
              <w:bottom w:val="single" w:sz="4" w:space="0" w:color="7F7F7F"/>
            </w:tcBorders>
            <w:shd w:val="clear" w:color="auto" w:fill="auto"/>
            <w:noWrap/>
            <w:vAlign w:val="center"/>
            <w:hideMark/>
          </w:tcPr>
          <w:p w14:paraId="01059147"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R: </w:t>
            </w:r>
            <w:r w:rsidRPr="00C81B1E">
              <w:rPr>
                <w:rFonts w:eastAsia="Calibri"/>
                <w:lang w:val="en-GB" w:eastAsia="en-US"/>
              </w:rPr>
              <w:fldChar w:fldCharType="begin" w:fldLock="1"/>
            </w:r>
            <w:r w:rsidRPr="00C81B1E">
              <w:rPr>
                <w:rFonts w:eastAsia="Calibri"/>
                <w:lang w:val="en-GB" w:eastAsia="en-US"/>
              </w:rPr>
              <w:instrText>ADDIN CSL_CITATION {"citationItems":[{"id":"ITEM-1","itemData":{"author":[{"dropping-particle":"","family":"The Commission of the European Communities","given":"","non-dropping-particle":"","parse-names":false,"suffix":""}],"container-title":"Official Journal of the European Communities","id":"ITEM-1","issued":{"date-parts":[["2005"]]},"page":"1-26","title":"Commission Regulation (EC) No. 2073/2005 of 15 November 2005 on microbiological criteria for foodstuffs","type":"article-journal","volume":"L 338"},"uris":["http://www.mendeley.com/documents/?uuid=5cb0e148-0014-4bf5-b43b-68cacdbd211b"]}],"mendeley":{"formattedCitation":"(The Commission of the European Communities, 2005)","manualFormatting":"The Commission of the European Communities (2005)","plainTextFormattedCitation":"(The Commission of the European Communities, 2005)","previouslyFormattedCitation":"(The Commission of the European Communities, 2005)"},"properties":{"noteIndex":0},"schema":"https://github.com/citation-style-language/schema/raw/master/csl-citation.json"}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The Commission of the European Communities (2005)</w:t>
            </w:r>
            <w:r w:rsidRPr="00C81B1E">
              <w:rPr>
                <w:rFonts w:eastAsia="Calibri"/>
                <w:lang w:val="en-GB" w:eastAsia="en-US"/>
              </w:rPr>
              <w:fldChar w:fldCharType="end"/>
            </w:r>
            <w:r w:rsidRPr="00C81B1E">
              <w:rPr>
                <w:rFonts w:eastAsia="Calibri"/>
                <w:lang w:val="en-GB" w:eastAsia="en-US"/>
              </w:rPr>
              <w:t xml:space="preserve">, AF: </w:t>
            </w:r>
            <w:r w:rsidRPr="00C81B1E">
              <w:rPr>
                <w:rFonts w:eastAsia="Calibri"/>
                <w:lang w:val="en-GB" w:eastAsia="en-US"/>
              </w:rPr>
              <w:fldChar w:fldCharType="begin" w:fldLock="1"/>
            </w:r>
            <w:r w:rsidRPr="00C81B1E">
              <w:rPr>
                <w:rFonts w:eastAsia="Calibri"/>
                <w:lang w:val="en-GB" w:eastAsia="en-US"/>
              </w:rPr>
              <w:instrText>ADDIN CSL_CITATION {"citationItems":[{"id":"ITEM-1","itemData":{"author":[{"dropping-particle":"","family":"European Commission","given":"","non-dropping-particle":"","parse-names":false,"suffix":""}],"container-title":"Official Journal of the European Union","id":"ITEM-1","issue":"February","issued":{"date-parts":[["2005"]]},"page":"L 35/1-22","title":"Regulation (EC) No 183/2005 of the European Parliament and of the Council of 12 January 2005 laying down requirements for feed hygiene. (Text with EEA relevance)","type":"article-journal"},"uris":["http://www.mendeley.com/documents/?uuid=19fa3b35-86c2-4f70-8b87-8ef1413dcac7"]}],"mendeley":{"formattedCitation":"(European Commission, 2005)","manualFormatting":"European Commission (2005b)","plainTextFormattedCitation":"(European Commission, 2005)","previouslyFormattedCitation":"(European Commission, 2005)"},"properties":{"noteIndex":0},"schema":"https://github.com/citation-style-language/schema/raw/master/csl-citation.json"}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European Commission (2005b)</w:t>
            </w:r>
            <w:r w:rsidRPr="00C81B1E">
              <w:rPr>
                <w:rFonts w:eastAsia="Calibri"/>
                <w:lang w:val="en-GB" w:eastAsia="en-US"/>
              </w:rPr>
              <w:fldChar w:fldCharType="end"/>
            </w:r>
            <w:r w:rsidRPr="00C81B1E">
              <w:rPr>
                <w:rFonts w:eastAsia="Calibri"/>
                <w:lang w:val="en-GB" w:eastAsia="en-US"/>
              </w:rPr>
              <w:t xml:space="preserve">, AD: </w:t>
            </w:r>
            <w:r w:rsidRPr="00C81B1E">
              <w:rPr>
                <w:rFonts w:eastAsia="Calibri"/>
                <w:lang w:val="en-GB" w:eastAsia="en-US"/>
              </w:rPr>
              <w:fldChar w:fldCharType="begin" w:fldLock="1"/>
            </w:r>
            <w:r w:rsidRPr="00C81B1E">
              <w:rPr>
                <w:rFonts w:eastAsia="Calibri"/>
                <w:lang w:val="en-GB" w:eastAsia="en-US"/>
              </w:rPr>
              <w:instrText>ADDIN CSL_CITATION {"citationItems":[{"id":"ITEM-1","itemData":{"ISBN":"0580617300","abstract":"Food products, Anaerobic bacteria, Digestive system, Agricultural products, Microorganisms, Microbiology","author":[{"dropping-particle":"","family":"British Standards Institution","given":"","non-dropping-particle":"","parse-names":false,"suffix":""}],"id":"ITEM-1","issued":{"date-parts":[["2014"]]},"title":"PAS 110:2014. Specification for whole digestate, separated liquor and separated fibre derived from the anaerobic digestion of source-segregated biodegradable materials","type":"report"},"uris":["http://www.mendeley.com/documents/?uuid=a1334019-daa9-4ee5-bd60-cd891a066519"]}],"mendeley":{"formattedCitation":"(British Standards Institution, 2014)","manualFormatting":"British Standards Institution (2014)","plainTextFormattedCitation":"(British Standards Institution, 2014)","previouslyFormattedCitation":"(British Standards Institution, 2014)"},"properties":{"noteIndex":0},"schema":"https://github.com/citation-style-language/schema/raw/master/csl-citation.json"}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British Standards Institution (2014)</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{"citationItems":[{"id":"ITEM-1","itemData":{"DOI":"10.1128/AEM.71.9.4951","ISBN":"058045195X","author":[{"dropping-particle":"","family":"British Standards Institution","given":"","non-dropping-particle":"","parse-names":false,"suffix":""}],"id":"ITEM-1","issued":{"date-parts":[["2011"]]},"title":"PAS 100:2011 Specification for Composted Materials","type":"report","volume":"January"},"uris":["http://www.mendeley.com/documents/?uuid=f0f7c64c-b25d-4a88-8d84-9a437c7611e0"]}],"mendeley":{"formattedCitation":"(British Standards Institution, 2011)","manualFormatting":"British Standards Institution (2011)","plainTextFormattedCitation":"(British Standards Institution, 2011)","previouslyFormattedCitation":"(British Standards Institution, 2011)"},"properties":{"noteIndex":0},"schema":"https://github.com/citation-style-language/schema/raw/master/csl-citation.json"}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British Standards Institution (2011)</w:t>
            </w:r>
            <w:r w:rsidRPr="00C81B1E">
              <w:rPr>
                <w:rFonts w:eastAsia="Calibri"/>
                <w:lang w:val="en-GB" w:eastAsia="en-US"/>
              </w:rPr>
              <w:fldChar w:fldCharType="end"/>
            </w:r>
            <w:r w:rsidRPr="00C81B1E">
              <w:rPr>
                <w:rFonts w:eastAsia="Calibri"/>
                <w:lang w:val="en-GB" w:eastAsia="en-US"/>
              </w:rPr>
              <w:t xml:space="preserve">, TT: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{"citationItems":[{"id":"ITEM-1","itemData":{"DOI":"10.1016/j.wasman.2014.02.003","ISBN":"1879-2456 (Electronic)\\r0956-053X (Linking)","ISSN":"18792456","PMID":"24630214","abstract":"Human activities inevitably result in wastes. The higher the material turnover, and the more complex and divers the materials produced, the more challenging it is for waste management to reach the goals of \"protection of men and environment\" and \"resource conservation\". Waste incineration, introduced originally for volume reduction and hygienic reasons, went through a long and intense development. Together with prevention and recycling measures, waste to energy (WTE) facilities contribute significantly to reaching the goals of waste management. Sophisticated air pollution control (APC) devices ensure that emissions are environmentally safe. Incinerators are crucial and unique for the complete destruction of hazardous organic materials, to reduce risks due to pathogenic microorganisms and viruses, and for concentrating valuable as well as toxic metals in certain fractions. Bottom ash and APC residues have become new sources of secondary metals, hence incineration has become a materials recycling facility, too. WTE plants are supporting decisions about waste and environmental management: They can routinely and cost effectively supply information about chemical waste composition as well as about the ratio of biogenic to fossil carbon in MSW and off-gas.","author":[{"dropping-particle":"","family":"Brunner","given":"Paul H.","non-dropping-particle":"","parse-names":false,"suffix":""},{"dropping-particle":"","family":"Rechberger","given":"Helmut","non-dropping-particle":"","parse-names":false,"suffix":""}],"container-title":"Waste Management","id":"ITEM-1","issued":{"date-parts":[["2015"]]},"page":"3-12","publisher":"Elsevier Ltd","title":"Waste to energy - key element for sustainable waste management","type":"article-journal","volume":"37"},"uris":["http://www.mendeley.com/documents/?uuid=b7b2fc36-539b-442f-bf1a-805fffcd0d17"]}],"mendeley":{"formattedCitation":"(Brunner and Rechberger, 2015)","manualFormatting":"Brunner &amp; Rechberger (2014)","plainTextFormattedCitation":"(Brunner and Rechberger, 2015)","previouslyFormattedCitation":"(Brunner and Rechberger, 2015)"},"properties":{"noteIndex":0},"schema":"https://github.com/citation-style-language/schema/raw/master/csl-citation.json"}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Brunner &amp; Rechberger (2014)</w:t>
            </w:r>
            <w:r w:rsidRPr="00C81B1E">
              <w:rPr>
                <w:rFonts w:eastAsia="Calibri"/>
                <w:lang w:val="en-GB" w:eastAsia="en-US"/>
              </w:rPr>
              <w:fldChar w:fldCharType="end"/>
            </w:r>
          </w:p>
        </w:tc>
      </w:tr>
      <w:tr w:rsidR="00C81B1E" w:rsidRPr="00C81B1E" w14:paraId="74A99A54" w14:textId="77777777" w:rsidTr="00C81B1E">
        <w:trPr>
          <w:trHeight w:val="255"/>
        </w:trPr>
        <w:tc>
          <w:tcPr>
            <w:tcW w:w="2235" w:type="dxa"/>
            <w:shd w:val="clear" w:color="auto" w:fill="auto"/>
            <w:noWrap/>
            <w:vAlign w:val="center"/>
            <w:hideMark/>
          </w:tcPr>
          <w:p w14:paraId="01830145"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pH</w:t>
            </w:r>
          </w:p>
        </w:tc>
        <w:tc>
          <w:tcPr>
            <w:tcW w:w="1066" w:type="dxa"/>
            <w:shd w:val="clear" w:color="auto" w:fill="auto"/>
            <w:noWrap/>
            <w:vAlign w:val="center"/>
            <w:hideMark/>
          </w:tcPr>
          <w:p w14:paraId="19D46958" w14:textId="77777777" w:rsidR="00C7764C" w:rsidRPr="00C81B1E" w:rsidRDefault="00C7764C" w:rsidP="00C81B1E">
            <w:pPr>
              <w:pStyle w:val="MDPI42tablebody"/>
              <w:rPr>
                <w:rFonts w:eastAsia="Calibri"/>
                <w:lang w:val="en-GB" w:eastAsia="en-US"/>
              </w:rPr>
            </w:pPr>
            <w:r w:rsidRPr="00C81B1E">
              <w:rPr>
                <w:rFonts w:eastAsia="Calibri"/>
                <w:lang w:val="en-GB" w:eastAsia="en-US"/>
              </w:rPr>
              <w:t>0-14</w:t>
            </w:r>
          </w:p>
        </w:tc>
        <w:tc>
          <w:tcPr>
            <w:tcW w:w="1134" w:type="dxa"/>
            <w:shd w:val="clear" w:color="auto" w:fill="auto"/>
            <w:noWrap/>
            <w:vAlign w:val="center"/>
            <w:hideMark/>
          </w:tcPr>
          <w:p w14:paraId="04DA0E12"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w:t>
            </w:r>
          </w:p>
        </w:tc>
        <w:tc>
          <w:tcPr>
            <w:tcW w:w="4677" w:type="dxa"/>
            <w:shd w:val="clear" w:color="auto" w:fill="auto"/>
            <w:noWrap/>
            <w:vAlign w:val="center"/>
            <w:hideMark/>
          </w:tcPr>
          <w:p w14:paraId="3C5A70E3"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AD: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{"citationItems":[{"id":"ITEM-1","itemData":{"DOI":"10.1016/j.wasman.2016.01.041","ISBN":"0956-053X","ISSN":"18792456","PMID":"26868845","abstract":"In order to determine the variability of food waste (FW) characteristics and the influence of these variable values on the anaerobic digestion (AD) process, FW characteristics from 70 papers were compiled and analysed statistically. Results indicated that FW characteristics values are effectively very variable and that 24% of these variations may be explained by the geographical origin, the type of collection source and the season of the collection. Considering the whole range of values for physicochemical characteristics (especially volatile solids (VS), chemical oxygen demand (COD) and biomethane potential (BMP)), FW show good potential for AD treatment. However, the high carbohydrates contents (36.4%VS) and the low pH (5.1) might cause inhibitions by the rapid acidification of the digesters. As regards the variation of FW characteristics, FW categories were proposed. Moreover, the adequacy of FW characteristics with AD treatment was discussed. Four FW categories were identified with critical characteristics values for AD performance: (1) the high dry matter (DM) and total ammonia nitrogen (TAN) content of FW collected with green waste, (2) the high cellulose (CEL) content of FW from the organic fraction of municipal solid waste, (3) the low carbon-to-nitrogen (C/N) ratio of FW collected during summer, (4) the high value of TAN and Na of FW from Asia. For these cases, an aerobic pre-treatment or a corrective treatment seems to be advised to avoid instabilities along the digestion. Finally, the results of this review-paper provide a data basis of values for FW characteristics that could be used for AD process design and environmental assessment.","author":[{"dropping-particle":"","family":"Fisgativa","given":"Henry","non-dropping-particle":"","parse-names":false,"suffix":""},{"dropping-particle":"","family":"Tremier","given":"Anne","non-dropping-particle":"","parse-names":false,"suffix":""},{"dropping-particle":"","family":"Dabert","given":"Patrick","non-dropping-particle":"","parse-names":false,"suffix":""}],"container-title":"Waste Management","id":"ITEM-1","issued":{"date-parts":[["2016"]]},"page":"264-274","publisher":"Elsevier Ltd","title":"Characterizing the variability of food waste quality: A need for efficient valorisation through anaerobic digestion","type":"article-journal","volume":"50"},"uris":["http://www.mendeley.com/documents/?uuid=eddf645d-7bb2-494e-9a3b-d738938181e5"]}],"mendeley":{"formattedCitation":"(Fisgativa et al., 2016)","manualFormatting":"Fisgativa et al. (2015)","plainTextFormattedCitation":"(Fisgativa et al., 2016)","previouslyFormattedCitation":"(Fisgativa et al., 2016)"},"properties":{"noteIndex":0},"schema":"https://github.com/citation-style-language/schema/raw/master/csl-citation.json"}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Fisgativa et al. (2015)</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{"citationItems":[{"id":"ITEM-1","itemData":{"DOI":"10.1016/j.biortech.2010.02.042","ISBN":"0960-8524","ISSN":"09608524","PMID":"20385493","abstract":"The effects of rice husk, sawdust and rice bran on the composting process of food waste were studied in a 180-L laboratory composter based on a mixture experimental design. Linear and quadratic models of seven important process characteristics (composting and acidification times, lowest and final pH values, highest temperature, the water-soluble organic carbon to water-soluble organic nitrogen (COW/NOW ratio), and the water-soluble organic carbon to total organic nitrogen (COW/NOT) ratio) in terms of fractional compositions of bulking agents as well as the water absorption capacity and the free air space of the composting matrix were developed. ?? 2010.","author":[{"dropping-particle":"","family":"Chang","given":"James I.","non-dropping-particle":"","parse-names":false,"suffix":""},{"dropping-particle":"","family":"Chen","given":"Y. J.","non-dropping-particle":"","parse-names":false,"suffix":""}],"container-title":"Bioresource Technology","id":"ITEM-1","issue":"15","issued":{"date-parts":[["2010"]]},"page":"5917-5924","publisher":"Elsevier Ltd","title":"Effects of bulking agents on food waste composting","type":"article-journal","volume":"101"},"uris":["http://www.mendeley.com/documents/?uuid=6bf36be4-46ee-47b8-b16f-1835d5618acf"]}],"mendeley":{"formattedCitation":"(Chang and Chen, 2010)","manualFormatting":"Chang &amp; Chen (2010)","plainTextFormattedCitation":"(Chang and Chen, 2010)","previouslyFormattedCitation":"(Chang and Chen, 2010)"},"properties":{"noteIndex":0},"schema":"https://github.com/citation-style-language/schema/raw/master/csl-citation.json"}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Chang &amp; Chen (2010)</w:t>
            </w:r>
            <w:r w:rsidRPr="00C81B1E">
              <w:rPr>
                <w:rFonts w:eastAsia="Calibri"/>
                <w:lang w:val="en-GB" w:eastAsia="en-US"/>
              </w:rPr>
              <w:fldChar w:fldCharType="end"/>
            </w:r>
          </w:p>
        </w:tc>
      </w:tr>
      <w:tr w:rsidR="00C81B1E" w:rsidRPr="00C81B1E" w14:paraId="4AAC41C1" w14:textId="77777777" w:rsidTr="00C81B1E">
        <w:trPr>
          <w:trHeight w:val="255"/>
        </w:trPr>
        <w:tc>
          <w:tcPr>
            <w:tcW w:w="2235" w:type="dxa"/>
            <w:tcBorders>
              <w:top w:val="single" w:sz="4" w:space="0" w:color="7F7F7F"/>
              <w:bottom w:val="single" w:sz="4" w:space="0" w:color="7F7F7F"/>
            </w:tcBorders>
            <w:shd w:val="clear" w:color="auto" w:fill="auto"/>
            <w:noWrap/>
            <w:vAlign w:val="center"/>
            <w:hideMark/>
          </w:tcPr>
          <w:p w14:paraId="29927337"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Particle size</w:t>
            </w:r>
          </w:p>
        </w:tc>
        <w:tc>
          <w:tcPr>
            <w:tcW w:w="1066" w:type="dxa"/>
            <w:tcBorders>
              <w:top w:val="single" w:sz="4" w:space="0" w:color="7F7F7F"/>
              <w:bottom w:val="single" w:sz="4" w:space="0" w:color="7F7F7F"/>
            </w:tcBorders>
            <w:shd w:val="clear" w:color="auto" w:fill="auto"/>
            <w:noWrap/>
            <w:vAlign w:val="center"/>
            <w:hideMark/>
          </w:tcPr>
          <w:p w14:paraId="725AD1A1" w14:textId="77777777" w:rsidR="00C7764C" w:rsidRPr="00C81B1E" w:rsidRDefault="00C7764C" w:rsidP="00C81B1E">
            <w:pPr>
              <w:pStyle w:val="MDPI42tablebody"/>
              <w:rPr>
                <w:rFonts w:eastAsia="Calibri"/>
                <w:lang w:val="en-GB" w:eastAsia="en-US"/>
              </w:rPr>
            </w:pPr>
            <w:r w:rsidRPr="00C81B1E">
              <w:rPr>
                <w:rFonts w:eastAsia="Calibri"/>
                <w:lang w:val="en-GB" w:eastAsia="en-US"/>
              </w:rPr>
              <w:t>mm</w:t>
            </w:r>
          </w:p>
        </w:tc>
        <w:tc>
          <w:tcPr>
            <w:tcW w:w="1134" w:type="dxa"/>
            <w:tcBorders>
              <w:top w:val="single" w:sz="4" w:space="0" w:color="7F7F7F"/>
              <w:bottom w:val="single" w:sz="4" w:space="0" w:color="7F7F7F"/>
            </w:tcBorders>
            <w:shd w:val="clear" w:color="auto" w:fill="auto"/>
            <w:noWrap/>
            <w:vAlign w:val="center"/>
            <w:hideMark/>
          </w:tcPr>
          <w:p w14:paraId="212906B9"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w:t>
            </w:r>
          </w:p>
        </w:tc>
        <w:tc>
          <w:tcPr>
            <w:tcW w:w="4677" w:type="dxa"/>
            <w:tcBorders>
              <w:top w:val="single" w:sz="4" w:space="0" w:color="7F7F7F"/>
              <w:bottom w:val="single" w:sz="4" w:space="0" w:color="7F7F7F"/>
            </w:tcBorders>
            <w:shd w:val="clear" w:color="auto" w:fill="auto"/>
            <w:noWrap/>
            <w:vAlign w:val="center"/>
            <w:hideMark/>
          </w:tcPr>
          <w:p w14:paraId="3DF3BD26"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AD: </w:t>
            </w:r>
            <w:r w:rsidRPr="00C81B1E">
              <w:rPr>
                <w:rFonts w:eastAsia="Calibri"/>
                <w:lang w:val="en-GB" w:eastAsia="en-US"/>
              </w:rPr>
              <w:fldChar w:fldCharType="begin" w:fldLock="1"/>
            </w:r>
            <w:r w:rsidRPr="00C81B1E">
              <w:rPr>
                <w:rFonts w:eastAsia="Calibri"/>
                <w:lang w:val="en-GB" w:eastAsia="en-US"/>
              </w:rPr>
              <w:instrText>ADDIN CSL_CITATION {"citationItems":[{"id":"ITEM-1","itemData":{"DOI":"10.1007/s12010-015-1559-5","ISSN":"0273-2289","author":[{"dropping-particle":"","family":"Zhang","given":"Cunsheng","non-dropping-particle":"","parse-names":false,"suffix":""},{"dropping-particle":"","family":"Su","given":"Haijia","non-dropping-particle":"","parse-names":false,"suffix":""},{"dropping-particle":"","family":"Wang","given":"Zhenbin","non-dropping-particle":"","parse-names":false,"suffix":""},{"dropping-particle":"","family":"Tan","given":"Tianwei","non-dropping-particle":"","parse-names":false,"suffix":""},{"dropping-particle":"","family":"Qin","given":"Peiyong","non-dropping-particle":"","parse-names":false,"suffix":""}],"container-title":"Applied Biochemistry and Biotechnology","id":"ITEM-1","issue":"8","issued":{"date-parts":[["2015"]]},"page":"3901-3914","title":"Biogas by Semi-Continuous Anaerobic Digestion of Food Waste","type":"article-journal","volume":"175"},"uris":["http://www.mendeley.com/documents/?uuid=83a256a5-fba7-4b65-9c5e-df8e2615b442"]}],"mendeley":{"formattedCitation":"(Zhang et al., 2015)","manualFormatting":"Zhang et al. (2015)","plainTextFormattedCitation":"(Zhang et al., 2015)","previouslyFormattedCitation":"(Zhang et al., 2015)"},"properties":{"noteIndex":0},"schema":"https://github.com/citation-style-language/schema/raw/master/csl-citation.json"}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Zhang et al. (2015)</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biortech.2014.12.094","ISSN":"09608524","author":[{"dropping-particle":"","family":"Nakasaki","given":"Kiyohiko","non-dropping-particle":"","parse-names":false,"suffix":""},{"dropping-particle":"","family":"Mimoto","given":"Hiroshi","non-dropping-particle":"","parse-names":false,"suffix":""},{"dropping-particle":"","family":"Tran","given":"Quyen Ngoc Minh","non-dropping-particle":"","parse-names":false,"suffix":""},{"dropping-particle":"","family":"Oinuma","given":"Akiko","non-dropping-particle":"","parse-names":false,"suffix":""}],"container-title":"Bioresource Technology","id":"ITEM-1","issued":{"date-parts":[["2015"]]},"page":"40-46","publisher":"Elsevier Ltd","title":"Composting of food waste subjected to hydrothermal pretreatment and inoculated with Paecilomyces sp. FA13","type":"article-journal","volume":"180"},"uris":["http://www.mendeley.com/documents/?uuid=161a4a33-6093-4168-b1a2-0a782621a01b"]}],"mendeley":{"formattedCitation":"(Nakasaki et al., 2015)","manualFormatting":"Nakasaki et al. (2015)","plainTextFormattedCitation":"(Nakasaki et al., 2015)","previouslyFormattedCitation":"(Nakasaki et al., 2015)"},"properties":{"noteIndex":0},"schema":"https://github.com/citation-style-language/schema/raw/master/csl-citation.json"}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Nakasaki et al. (2015)</w:t>
            </w:r>
            <w:r w:rsidRPr="00C81B1E">
              <w:rPr>
                <w:rFonts w:eastAsia="Calibri"/>
                <w:lang w:val="en-GB" w:eastAsia="en-US"/>
              </w:rPr>
              <w:fldChar w:fldCharType="end"/>
            </w:r>
          </w:p>
        </w:tc>
      </w:tr>
    </w:tbl>
    <w:p w14:paraId="4D6378FB" w14:textId="77777777" w:rsidR="00C7764C" w:rsidRPr="00C7764C" w:rsidRDefault="00C7764C" w:rsidP="00C7764C">
      <w:pPr>
        <w:spacing w:after="160" w:line="259" w:lineRule="auto"/>
        <w:rPr>
          <w:rFonts w:eastAsia="Calibri"/>
          <w:color w:val="auto"/>
          <w:sz w:val="16"/>
          <w:szCs w:val="16"/>
          <w:lang w:val="en-GB" w:eastAsia="en-US"/>
        </w:rPr>
      </w:pPr>
    </w:p>
    <w:p w14:paraId="35D4FE4F" w14:textId="77777777" w:rsidR="00C7764C" w:rsidRPr="00C7764C" w:rsidRDefault="00C7764C" w:rsidP="00BA2E09">
      <w:pPr>
        <w:pStyle w:val="MDPI41tablecaption"/>
        <w:rPr>
          <w:rFonts w:eastAsia="Calibri"/>
          <w:lang w:val="en-GB" w:eastAsia="en-US"/>
        </w:rPr>
      </w:pPr>
      <w:r w:rsidRPr="00C7764C">
        <w:rPr>
          <w:rFonts w:eastAsia="Calibri"/>
          <w:b/>
          <w:lang w:val="en-GB" w:eastAsia="en-US"/>
        </w:rPr>
        <w:lastRenderedPageBreak/>
        <w:t xml:space="preserve">Table </w:t>
      </w:r>
      <w:r w:rsidRPr="00C7764C">
        <w:rPr>
          <w:rFonts w:eastAsia="Calibri"/>
          <w:b/>
          <w:lang w:val="en-GB" w:eastAsia="en-US"/>
        </w:rPr>
        <w:fldChar w:fldCharType="begin"/>
      </w:r>
      <w:r w:rsidRPr="00C7764C">
        <w:rPr>
          <w:rFonts w:eastAsia="Calibri"/>
          <w:b/>
          <w:lang w:val="en-GB" w:eastAsia="en-US"/>
        </w:rPr>
        <w:instrText xml:space="preserve"> SEQ Table \* ARABIC </w:instrText>
      </w:r>
      <w:r w:rsidRPr="00C7764C">
        <w:rPr>
          <w:rFonts w:eastAsia="Calibri"/>
          <w:b/>
          <w:lang w:val="en-GB" w:eastAsia="en-US"/>
        </w:rPr>
        <w:fldChar w:fldCharType="separate"/>
      </w:r>
      <w:r w:rsidRPr="00C7764C">
        <w:rPr>
          <w:rFonts w:eastAsia="Calibri"/>
          <w:b/>
          <w:noProof/>
          <w:lang w:val="en-GB" w:eastAsia="en-US"/>
        </w:rPr>
        <w:t>3</w:t>
      </w:r>
      <w:r w:rsidRPr="00C7764C">
        <w:rPr>
          <w:rFonts w:eastAsia="Calibri"/>
          <w:b/>
          <w:lang w:val="en-GB" w:eastAsia="en-US"/>
        </w:rPr>
        <w:fldChar w:fldCharType="end"/>
      </w:r>
      <w:r w:rsidRPr="00C7764C">
        <w:rPr>
          <w:rFonts w:eastAsia="Calibri"/>
          <w:lang w:val="en-GB" w:eastAsia="en-US"/>
        </w:rPr>
        <w:t>. Quantitative secondary FW parameters</w:t>
      </w:r>
    </w:p>
    <w:tbl>
      <w:tblPr>
        <w:tblW w:w="9072" w:type="dxa"/>
        <w:tblBorders>
          <w:top w:val="single" w:sz="4" w:space="0" w:color="7F7F7F"/>
          <w:bottom w:val="single" w:sz="4" w:space="0" w:color="7F7F7F"/>
        </w:tblBorders>
        <w:tblLook w:val="04A0" w:firstRow="1" w:lastRow="0" w:firstColumn="1" w:lastColumn="0" w:noHBand="0" w:noVBand="1"/>
      </w:tblPr>
      <w:tblGrid>
        <w:gridCol w:w="1809"/>
        <w:gridCol w:w="1422"/>
        <w:gridCol w:w="926"/>
        <w:gridCol w:w="4915"/>
      </w:tblGrid>
      <w:tr w:rsidR="00C81B1E" w:rsidRPr="00C81B1E" w14:paraId="2742062F" w14:textId="77777777" w:rsidTr="00C81B1E">
        <w:trPr>
          <w:trHeight w:val="285"/>
        </w:trPr>
        <w:tc>
          <w:tcPr>
            <w:tcW w:w="1809" w:type="dxa"/>
            <w:tcBorders>
              <w:bottom w:val="single" w:sz="4" w:space="0" w:color="7F7F7F"/>
            </w:tcBorders>
            <w:shd w:val="clear" w:color="auto" w:fill="auto"/>
            <w:noWrap/>
            <w:vAlign w:val="center"/>
          </w:tcPr>
          <w:p w14:paraId="472CE60E" w14:textId="77777777" w:rsidR="00C7764C" w:rsidRPr="00C81B1E" w:rsidRDefault="00C7764C" w:rsidP="00C81B1E">
            <w:pPr>
              <w:pStyle w:val="MDPI42tablebody"/>
              <w:rPr>
                <w:rFonts w:eastAsia="SimSun"/>
                <w:b/>
                <w:bCs/>
                <w:lang w:val="en-GB" w:eastAsia="zh-CN"/>
              </w:rPr>
            </w:pPr>
            <w:r w:rsidRPr="00C81B1E">
              <w:rPr>
                <w:rFonts w:eastAsia="SimSun"/>
                <w:b/>
                <w:bCs/>
                <w:lang w:val="en-GB" w:eastAsia="zh-CN"/>
              </w:rPr>
              <w:t>Parameter</w:t>
            </w:r>
          </w:p>
        </w:tc>
        <w:tc>
          <w:tcPr>
            <w:tcW w:w="1422" w:type="dxa"/>
            <w:tcBorders>
              <w:bottom w:val="single" w:sz="4" w:space="0" w:color="7F7F7F"/>
            </w:tcBorders>
            <w:shd w:val="clear" w:color="auto" w:fill="auto"/>
            <w:noWrap/>
            <w:vAlign w:val="center"/>
          </w:tcPr>
          <w:p w14:paraId="20827A42" w14:textId="77777777" w:rsidR="00C7764C" w:rsidRPr="00C81B1E" w:rsidRDefault="00C7764C" w:rsidP="00C81B1E">
            <w:pPr>
              <w:pStyle w:val="MDPI42tablebody"/>
              <w:rPr>
                <w:rFonts w:eastAsia="SimSun"/>
                <w:b/>
                <w:bCs/>
                <w:lang w:val="en-GB" w:eastAsia="zh-CN"/>
              </w:rPr>
            </w:pPr>
            <w:r w:rsidRPr="00C81B1E">
              <w:rPr>
                <w:rFonts w:eastAsia="SimSun"/>
                <w:b/>
                <w:bCs/>
                <w:lang w:val="en-GB" w:eastAsia="zh-CN"/>
              </w:rPr>
              <w:t>Example or unit</w:t>
            </w:r>
          </w:p>
        </w:tc>
        <w:tc>
          <w:tcPr>
            <w:tcW w:w="926" w:type="dxa"/>
            <w:tcBorders>
              <w:bottom w:val="single" w:sz="4" w:space="0" w:color="7F7F7F"/>
            </w:tcBorders>
            <w:shd w:val="clear" w:color="auto" w:fill="auto"/>
            <w:noWrap/>
            <w:vAlign w:val="center"/>
          </w:tcPr>
          <w:p w14:paraId="48990148" w14:textId="77777777" w:rsidR="00C7764C" w:rsidRPr="00C81B1E" w:rsidRDefault="00C7764C" w:rsidP="00C81B1E">
            <w:pPr>
              <w:pStyle w:val="MDPI42tablebody"/>
              <w:rPr>
                <w:rFonts w:eastAsia="SimSun"/>
                <w:b/>
                <w:bCs/>
                <w:lang w:val="en-GB" w:eastAsia="zh-CN"/>
              </w:rPr>
            </w:pPr>
            <w:r w:rsidRPr="00C81B1E">
              <w:rPr>
                <w:rFonts w:eastAsia="SimSun"/>
                <w:b/>
                <w:bCs/>
                <w:lang w:val="en-GB" w:eastAsia="zh-CN"/>
              </w:rPr>
              <w:t>FWMS</w:t>
            </w:r>
          </w:p>
        </w:tc>
        <w:tc>
          <w:tcPr>
            <w:tcW w:w="4915" w:type="dxa"/>
            <w:tcBorders>
              <w:bottom w:val="single" w:sz="4" w:space="0" w:color="7F7F7F"/>
            </w:tcBorders>
            <w:shd w:val="clear" w:color="auto" w:fill="auto"/>
            <w:noWrap/>
            <w:vAlign w:val="center"/>
          </w:tcPr>
          <w:p w14:paraId="30D2EFB0" w14:textId="77777777" w:rsidR="00C7764C" w:rsidRPr="00C81B1E" w:rsidRDefault="00C7764C" w:rsidP="00C81B1E">
            <w:pPr>
              <w:pStyle w:val="MDPI42tablebody"/>
              <w:rPr>
                <w:rFonts w:eastAsia="SimSun"/>
                <w:b/>
                <w:bCs/>
                <w:lang w:val="en-GB" w:eastAsia="zh-CN"/>
              </w:rPr>
            </w:pPr>
            <w:r w:rsidRPr="00C81B1E">
              <w:rPr>
                <w:rFonts w:eastAsia="SimSun"/>
                <w:b/>
                <w:bCs/>
                <w:lang w:val="en-GB" w:eastAsia="zh-CN"/>
              </w:rPr>
              <w:t>Reference</w:t>
            </w:r>
          </w:p>
        </w:tc>
      </w:tr>
      <w:tr w:rsidR="00C81B1E" w:rsidRPr="00C81B1E" w14:paraId="09FEED8C" w14:textId="77777777" w:rsidTr="00C81B1E">
        <w:trPr>
          <w:trHeight w:val="285"/>
        </w:trPr>
        <w:tc>
          <w:tcPr>
            <w:tcW w:w="1809" w:type="dxa"/>
            <w:tcBorders>
              <w:top w:val="single" w:sz="4" w:space="0" w:color="7F7F7F"/>
              <w:bottom w:val="single" w:sz="4" w:space="0" w:color="7F7F7F"/>
            </w:tcBorders>
            <w:shd w:val="clear" w:color="auto" w:fill="auto"/>
            <w:noWrap/>
            <w:vAlign w:val="center"/>
            <w:hideMark/>
          </w:tcPr>
          <w:p w14:paraId="2AF40B59" w14:textId="77777777" w:rsidR="00C7764C" w:rsidRPr="00C81B1E" w:rsidRDefault="00C7764C" w:rsidP="00C81B1E">
            <w:pPr>
              <w:pStyle w:val="MDPI42tablebody"/>
              <w:rPr>
                <w:rFonts w:eastAsia="SimSun"/>
                <w:b/>
                <w:bCs/>
                <w:lang w:val="en-GB" w:eastAsia="zh-CN"/>
              </w:rPr>
            </w:pPr>
            <w:r w:rsidRPr="00C81B1E">
              <w:rPr>
                <w:rFonts w:eastAsia="SimSun"/>
                <w:b/>
                <w:bCs/>
                <w:lang w:val="en-GB" w:eastAsia="zh-CN"/>
              </w:rPr>
              <w:t>Density</w:t>
            </w:r>
          </w:p>
        </w:tc>
        <w:tc>
          <w:tcPr>
            <w:tcW w:w="1422" w:type="dxa"/>
            <w:tcBorders>
              <w:top w:val="single" w:sz="4" w:space="0" w:color="7F7F7F"/>
              <w:bottom w:val="single" w:sz="4" w:space="0" w:color="7F7F7F"/>
            </w:tcBorders>
            <w:shd w:val="clear" w:color="auto" w:fill="auto"/>
            <w:noWrap/>
            <w:vAlign w:val="center"/>
            <w:hideMark/>
          </w:tcPr>
          <w:p w14:paraId="6F6419BD" w14:textId="77777777" w:rsidR="00C7764C" w:rsidRPr="00C81B1E" w:rsidRDefault="00C7764C" w:rsidP="00C81B1E">
            <w:pPr>
              <w:pStyle w:val="MDPI42tablebody"/>
              <w:rPr>
                <w:rFonts w:eastAsia="SimSun"/>
                <w:lang w:val="en-GB" w:eastAsia="zh-CN"/>
              </w:rPr>
            </w:pPr>
            <w:r w:rsidRPr="00C81B1E">
              <w:rPr>
                <w:rFonts w:eastAsia="SimSun"/>
                <w:lang w:val="en-GB" w:eastAsia="zh-CN"/>
              </w:rPr>
              <w:t>kg/m</w:t>
            </w:r>
            <w:r w:rsidRPr="00C81B1E">
              <w:rPr>
                <w:rFonts w:eastAsia="SimSun"/>
                <w:vertAlign w:val="superscript"/>
                <w:lang w:val="en-GB" w:eastAsia="zh-CN"/>
              </w:rPr>
              <w:t>3</w:t>
            </w:r>
          </w:p>
        </w:tc>
        <w:tc>
          <w:tcPr>
            <w:tcW w:w="926" w:type="dxa"/>
            <w:tcBorders>
              <w:top w:val="single" w:sz="4" w:space="0" w:color="7F7F7F"/>
              <w:bottom w:val="single" w:sz="4" w:space="0" w:color="7F7F7F"/>
            </w:tcBorders>
            <w:shd w:val="clear" w:color="auto" w:fill="auto"/>
            <w:noWrap/>
            <w:vAlign w:val="center"/>
            <w:hideMark/>
          </w:tcPr>
          <w:p w14:paraId="6E3C61A4" w14:textId="77777777" w:rsidR="00C7764C" w:rsidRPr="00C81B1E" w:rsidRDefault="00C7764C" w:rsidP="00C81B1E">
            <w:pPr>
              <w:pStyle w:val="MDPI42tablebody"/>
              <w:rPr>
                <w:rFonts w:eastAsia="SimSun"/>
                <w:lang w:val="en-GB" w:eastAsia="zh-CN"/>
              </w:rPr>
            </w:pPr>
            <w:r w:rsidRPr="00C81B1E">
              <w:rPr>
                <w:rFonts w:eastAsia="SimSun"/>
                <w:lang w:val="en-GB" w:eastAsia="zh-CN"/>
              </w:rPr>
              <w:t>R, AF, AD, C, TT</w:t>
            </w:r>
          </w:p>
        </w:tc>
        <w:tc>
          <w:tcPr>
            <w:tcW w:w="4915" w:type="dxa"/>
            <w:vMerge w:val="restart"/>
            <w:tcBorders>
              <w:top w:val="single" w:sz="4" w:space="0" w:color="7F7F7F"/>
              <w:bottom w:val="single" w:sz="4" w:space="0" w:color="7F7F7F"/>
            </w:tcBorders>
            <w:shd w:val="clear" w:color="auto" w:fill="auto"/>
            <w:noWrap/>
            <w:vAlign w:val="center"/>
            <w:hideMark/>
          </w:tcPr>
          <w:p w14:paraId="1D7AC5B2" w14:textId="77777777" w:rsidR="00C7764C" w:rsidRPr="00C81B1E" w:rsidRDefault="00C7764C" w:rsidP="00C81B1E">
            <w:pPr>
              <w:pStyle w:val="MDPI42tablebody"/>
              <w:rPr>
                <w:rFonts w:eastAsia="SimSun"/>
                <w:lang w:val="en-GB" w:eastAsia="zh-CN"/>
              </w:rPr>
            </w:pPr>
            <w:r w:rsidRPr="00C81B1E">
              <w:rPr>
                <w:rFonts w:eastAsia="SimSun"/>
                <w:lang w:val="en-GB" w:eastAsia="zh-CN"/>
              </w:rPr>
              <w:t xml:space="preserve">R: </w:t>
            </w:r>
            <w:r w:rsidRPr="00C81B1E">
              <w:rPr>
                <w:rFonts w:eastAsia="SimSun"/>
                <w:lang w:val="en-GB" w:eastAsia="zh-CN"/>
              </w:rPr>
              <w:fldChar w:fldCharType="begin" w:fldLock="1"/>
            </w:r>
            <w:r w:rsidRPr="00C81B1E">
              <w:rPr>
                <w:rFonts w:eastAsia="SimSun"/>
                <w:lang w:val="en-GB" w:eastAsia="zh-CN"/>
              </w:rPr>
              <w:instrText>ADDIN CSL_CITATION {"citationItems":[{"id":"ITEM-1","itemData":{"DOI":"10.1016/j.wasman.2016.03.035","ISSN":"0956053X","PMID":"27026493","author":[{"dropping-particle":"","family":"Bilska","given":"Beata","non-dropping-particle":"","parse-names":false,"suffix":""},{"dropping-particle":"","family":"Wrzosek","given":"Małgorzata","non-dropping-particle":"","parse-names":false,"suffix":""},{"dropping-particle":"","family":"Kołożyn-Krajewska","given":"Danuta","non-dropping-particle":"","parse-names":false,"suffix":""},{"dropping-particle":"","family":"Krajewski","given":"Karol","non-dropping-particle":"","parse-names":false,"suffix":""}],"container-title":"Waste Management","id":"ITEM-1","issued":{"date-parts":[["2016"]]},"page":"269-277","title":"Risk of food losses and potential of food recovery for social purposes","type":"article-journal","volume":"52"},"uris":["http://www.mendeley.com/documents/?uuid=64d39440-d986-4dc3-8b6e-c0536a5a5d46"]}],"mendeley":{"formattedCitation":"(Bilska et al., 2016)","manualFormatting":"Bilska et al. (2016)","plainTextFormattedCitation":"(Bilska et al., 2016)","previouslyFormattedCitation":"(Bilska et al., 2016)"},"properties":{"noteIndex":0},"schema":"https://github.com/citation-style-language/schema/raw/master/csl-citation.json"}</w:instrText>
            </w:r>
            <w:r w:rsidRPr="00C81B1E">
              <w:rPr>
                <w:rFonts w:eastAsia="SimSun"/>
                <w:lang w:val="en-GB" w:eastAsia="zh-CN"/>
              </w:rPr>
              <w:fldChar w:fldCharType="separate"/>
            </w:r>
            <w:r w:rsidRPr="00C81B1E">
              <w:rPr>
                <w:rFonts w:eastAsia="SimSun"/>
                <w:noProof/>
                <w:lang w:val="en-GB" w:eastAsia="zh-CN"/>
              </w:rPr>
              <w:t>Bilska et al. (2016)</w:t>
            </w:r>
            <w:r w:rsidRPr="00C81B1E">
              <w:rPr>
                <w:rFonts w:eastAsia="SimSun"/>
                <w:lang w:val="en-GB" w:eastAsia="zh-CN"/>
              </w:rPr>
              <w:fldChar w:fldCharType="end"/>
            </w:r>
            <w:r w:rsidRPr="00C81B1E">
              <w:rPr>
                <w:rFonts w:eastAsia="SimSun"/>
                <w:lang w:val="en-GB" w:eastAsia="zh-CN"/>
              </w:rPr>
              <w:t xml:space="preserve">, AF: </w:t>
            </w:r>
            <w:r w:rsidRPr="00C81B1E">
              <w:rPr>
                <w:rFonts w:eastAsia="SimSun"/>
                <w:lang w:val="en-GB" w:eastAsia="zh-CN"/>
              </w:rPr>
              <w:fldChar w:fldCharType="begin" w:fldLock="1"/>
            </w:r>
            <w:r w:rsidRPr="00C81B1E">
              <w:rPr>
                <w:rFonts w:eastAsia="SimSun"/>
                <w:lang w:val="en-GB" w:eastAsia="zh-CN"/>
              </w:rPr>
              <w:instrText>ADDIN CSL_CITATION {"citationItems":[{"id":"ITEM-1","itemData":{"ISBN":"9789279122552","abstract":"Livestock production occupies a very important place in\\nfarming in the Community and satisfactory results in\\nterms of public and animal health, animal welfare, the\\nenvironment and the livestock producers' finances\\ndepend to a large extent on the use of appropriate good\\nquality feedingstuffs.","author":[{"dropping-particle":"","family":"European Commission (EC)","given":"","non-dropping-particle":"","parse-names":false,"suffix":""}],"container-title":"Official Journal of the European Union","id":"ITEM-1","issued":{"date-parts":[["2002"]]},"page":"10-21","title":"Directive 2002/32/EC of the European Parliament and of the Council of 7 May 2002 on undesirable substances in animal feed","type":"article-journal","volume":"L140"},"uris":["http://www.mendeley.com/documents/?uuid=07265358-703f-4657-abdd-9570bc0fc9da"]}],"mendeley":{"formattedCitation":"(European Commission (EC), 2002)","manualFormatting":"European Commission (2002)","plainTextFormattedCitation":"(European Commission (EC), 2002)","previouslyFormattedCitation":"(European Commission (EC), 2002)"},"properties":{"noteIndex":0},"schema":"https://github.com/citation-style-language/schema/raw/master/csl-citation.json"}</w:instrText>
            </w:r>
            <w:r w:rsidRPr="00C81B1E">
              <w:rPr>
                <w:rFonts w:eastAsia="SimSun"/>
                <w:lang w:val="en-GB" w:eastAsia="zh-CN"/>
              </w:rPr>
              <w:fldChar w:fldCharType="separate"/>
            </w:r>
            <w:r w:rsidRPr="00C81B1E">
              <w:rPr>
                <w:rFonts w:eastAsia="SimSun"/>
                <w:noProof/>
                <w:lang w:val="en-GB" w:eastAsia="zh-CN"/>
              </w:rPr>
              <w:t>European Commission (2002)</w:t>
            </w:r>
            <w:r w:rsidRPr="00C81B1E">
              <w:rPr>
                <w:rFonts w:eastAsia="SimSun"/>
                <w:lang w:val="en-GB" w:eastAsia="zh-CN"/>
              </w:rPr>
              <w:fldChar w:fldCharType="end"/>
            </w:r>
            <w:r w:rsidRPr="00C81B1E">
              <w:rPr>
                <w:rFonts w:eastAsia="SimSun"/>
                <w:lang w:val="en-GB" w:eastAsia="zh-CN"/>
              </w:rPr>
              <w:t xml:space="preserve">, AD: </w:t>
            </w:r>
            <w:r w:rsidRPr="00C81B1E">
              <w:rPr>
                <w:rFonts w:eastAsia="SimSun"/>
                <w:lang w:val="en-GB" w:eastAsia="zh-CN"/>
              </w:rPr>
              <w:fldChar w:fldCharType="begin" w:fldLock="1"/>
            </w:r>
            <w:r w:rsidRPr="00C81B1E">
              <w:rPr>
                <w:rFonts w:eastAsia="SimSun"/>
                <w:lang w:val="en-GB" w:eastAsia="zh-CN"/>
              </w:rPr>
              <w:instrText>ADDIN CSL_CITATION {"citationItems":[{"id":"ITEM-1","itemData":{"DOI":"10.1016/j.wasman.2016.01.041","ISBN":"0956-053X","ISSN":"18792456","PMID":"26868845","abstract":"In order to determine the variability of food waste (FW) characteristics and the influence of these variable values on the anaerobic digestion (AD) process, FW characteristics from 70 papers were compiled and analysed statistically. Results indicated that FW characteristics values are effectively very variable and that 24% of these variations may be explained by the geographical origin, the type of collection source and the season of the collection. Considering the whole range of values for physicochemical characteristics (especially volatile solids (VS), chemical oxygen demand (COD) and biomethane potential (BMP)), FW show good potential for AD treatment. However, the high carbohydrates contents (36.4%VS) and the low pH (5.1) might cause inhibitions by the rapid acidification of the digesters. As regards the variation of FW characteristics, FW categories were proposed. Moreover, the adequacy of FW characteristics with AD treatment was discussed. Four FW categories were identified with critical characteristics values for AD performance: (1) the high dry matter (DM) and total ammonia nitrogen (TAN) content of FW collected with green waste, (2) the high cellulose (CEL) content of FW from the organic fraction of municipal solid waste, (3) the low carbon</w:instrText>
            </w:r>
            <w:r w:rsidRPr="00C81B1E">
              <w:rPr>
                <w:rFonts w:eastAsia="SimSun"/>
                <w:lang w:val="es-ES" w:eastAsia="zh-CN"/>
              </w:rPr>
              <w:instrText>-to-nitrogen (C/N) ratio of FW collected during summer, (4) the high value of TAN and Na of FW from Asia. For these cases, an aerobic pre-treatment or a corrective treatment seems to be advised to avoid instabilities along the digestion. Finally, the results of this review-paper provide a data basis of values for FW characteristics that could be used for AD process design and environmental assessment.","author":[{"dropping-particle":"","family":"Fisgativa","given":"Henry","non-dropping-particle":"","parse-names":false,"suffix":""},{"dropping-particle":"","family":"Tremier","given":"Anne","non-dropping-particle":"","parse-names":false,"suffix":""},{"dropping-particle":"","family":"Dabert","given":"Patrick","non-dropping-particle":"","parse-names":false,"suffix":""}],"container-title":"Waste Management","id":"ITEM-1","issued":{"date-parts":[["2016"]]},"page":"264-274","publisher":"Elsevier Ltd","title":"Characterizing the variability of food waste quality: A need for efficient valorisation through anaerobic digestion","type":"article-journal","volume":"50"},"uris":["http://www.mendeley.com/documents/?uuid=eddf645d-7bb2-494e-9a3b-d738938181e5"]}],"mendeley":{"formattedCitation":"(Fisgativa et al., 2016)","manualFormatting":"Fisgativa et al. (2015)","plainTextFormattedCitation":"(Fisgativa et al., 2016)","previouslyFormattedCitation":"(Fisgativa et al., 2016)"},"properties":{"noteIndex":0},"schema":"https://github.com/citation-style-language/schema/raw/master/csl-citation.json"}</w:instrText>
            </w:r>
            <w:r w:rsidRPr="00C81B1E">
              <w:rPr>
                <w:rFonts w:eastAsia="SimSun"/>
                <w:lang w:val="en-GB" w:eastAsia="zh-CN"/>
              </w:rPr>
              <w:fldChar w:fldCharType="separate"/>
            </w:r>
            <w:r w:rsidRPr="00C81B1E">
              <w:rPr>
                <w:rFonts w:eastAsia="SimSun"/>
                <w:noProof/>
                <w:lang w:val="es-ES" w:eastAsia="zh-CN"/>
              </w:rPr>
              <w:t>Fisgativa et al. (2015)</w:t>
            </w:r>
            <w:r w:rsidRPr="00C81B1E">
              <w:rPr>
                <w:rFonts w:eastAsia="SimSun"/>
                <w:lang w:val="en-GB" w:eastAsia="zh-CN"/>
              </w:rPr>
              <w:fldChar w:fldCharType="end"/>
            </w:r>
            <w:r w:rsidRPr="00C81B1E">
              <w:rPr>
                <w:rFonts w:eastAsia="SimSun"/>
                <w:lang w:val="es-ES" w:eastAsia="zh-CN"/>
              </w:rPr>
              <w:t xml:space="preserve">, C: </w:t>
            </w:r>
            <w:r w:rsidRPr="00C81B1E">
              <w:rPr>
                <w:rFonts w:eastAsia="SimSun"/>
                <w:lang w:val="en-GB" w:eastAsia="zh-CN"/>
              </w:rPr>
              <w:fldChar w:fldCharType="begin" w:fldLock="1"/>
            </w:r>
            <w:r w:rsidRPr="00C81B1E">
              <w:rPr>
                <w:rFonts w:eastAsia="SimSun"/>
                <w:lang w:val="es-ES" w:eastAsia="zh-CN"/>
              </w:rPr>
              <w:instrText>ADDIN CSL_CITATION {"citationItems":[{"id":"ITEM-1","itemData":{"author":[{"dropping-particle":"","family":"WRAP","given":"","non-dropping-particle":"","parse-names":false,"suffix":""}],"id":"ITEM-1","issued":{"date-parts":[["0"]]},"title":"Quality Protocol. Compost. End of waste criteria for the production and use of quality compost from source-segregated biodegradable waste","type":"report"},"uris":["http://www.mendeley.com/documents/?uuid=0a469ce6-0e00-4afc-9994-72e51bb448c3"]}],"mendeley":{"formattedCitation":"(WRAP, n.d.)","manualFormatting":"WRAP (n.d.)","plainTextFormattedCitation":"(WRAP, n.d.)","previouslyFormattedCitation":"(WRAP, n.d.)"},"properties":{"noteIndex":0},"schema":"https://github.com/citation-style-language/schema/raw/master/csl-citation.json"}</w:instrText>
            </w:r>
            <w:r w:rsidRPr="00C81B1E">
              <w:rPr>
                <w:rFonts w:eastAsia="SimSun"/>
                <w:lang w:val="en-GB" w:eastAsia="zh-CN"/>
              </w:rPr>
              <w:fldChar w:fldCharType="separate"/>
            </w:r>
            <w:r w:rsidRPr="00C81B1E">
              <w:rPr>
                <w:rFonts w:eastAsia="SimSun"/>
                <w:noProof/>
                <w:lang w:val="es-ES" w:eastAsia="zh-CN"/>
              </w:rPr>
              <w:t>WRAP (n.d.)</w:t>
            </w:r>
            <w:r w:rsidRPr="00C81B1E">
              <w:rPr>
                <w:rFonts w:eastAsia="SimSun"/>
                <w:lang w:val="en-GB" w:eastAsia="zh-CN"/>
              </w:rPr>
              <w:fldChar w:fldCharType="end"/>
            </w:r>
            <w:r w:rsidRPr="00C81B1E">
              <w:rPr>
                <w:rFonts w:eastAsia="SimSun"/>
                <w:lang w:val="es-ES" w:eastAsia="zh-CN"/>
              </w:rPr>
              <w:t xml:space="preserve">, TT: </w:t>
            </w:r>
            <w:r w:rsidRPr="00C81B1E">
              <w:rPr>
                <w:rFonts w:eastAsia="SimSun"/>
                <w:lang w:val="en-GB" w:eastAsia="zh-CN"/>
              </w:rPr>
              <w:fldChar w:fldCharType="begin" w:fldLock="1"/>
            </w:r>
            <w:r w:rsidRPr="00C81B1E">
              <w:rPr>
                <w:rFonts w:eastAsia="SimSun"/>
                <w:lang w:val="es-ES" w:eastAsia="zh-CN"/>
              </w:rPr>
              <w:instrText>ADDIN CSL_CITATION {"citationItems":[{"id":"ITEM-1","itemData":{"DOI":"10.1016/j.scitotenv.2007.06.037","ISBN":"0048-9697","ISSN":"0048-9697","PMID":"17761214","abstract":"During the last decade, there have been remarkable changes in food waste management in Korea following a ban on direct landfilling. To evaluate the environmental impacts of food waste management systems, we examined individual treatment systems with the LCA approach -- landfill, incineration, composting, and feed manufacturing -- and estimated the change from 1997 to 2005. The efficient system was different in each impact category, but it was evaluated that landfill is the main contributor to human toxicity and global warming (based on fossil CO(2)). In contrast, due to the increase of food waste recycling, acidification, eutrophication, and fresh water aquatic ecotoxicity impact was increased. Especially, the high energy consumption and generated residue in recycling systems caused the large burdens in toxicity categories.","author":[{"dropping-particle":"","family":"Lee","given":"Suk-Hui","non-dropping-particle":"","parse-names":false,"suffix":""},{"dropping-particle":"","family":"Choi","given":"Ki-In","non-dropping-particle":"","parse-names":false,"suffix":""},{"dropping-particle":"","family":"Osako","given":"Masahiro","non-dropping-particle":"","parse-names":false,"suffix":""},{"dropping-particle":"","family":"Dong","given":"Jong-In","non-dropping-particle":"","parse-names":false,"suffix":""}],"container-title":"The Science of the Total Environment","id":"ITEM-1","issue":"1-3","issued":{"date-parts":[["2007"]]},"page":"42-53","title":"Evaluation of environmental burdens caused by changes of food waste management systems in Seoul, Korea","type":"article-journal","volume":"387"},"uris":["http://www.mendeley.com/documents/?uuid=8f64984c-3fd3-4af6-a302-a6effe418376"]}],"mendeley":{"formattedCitation":"(Lee et al., 2007)","manualFormatting":"Lee et al. (2007)","plainTextFormattedCitation":"(Lee et al., 2007)","previouslyFormattedCitation":"(Lee et al., 2007)"},"properties":{"noteIndex":0},"schema":"https://github.com/citation-style-language/schema/raw/master/csl-citation.json"}</w:instrText>
            </w:r>
            <w:r w:rsidRPr="00C81B1E">
              <w:rPr>
                <w:rFonts w:eastAsia="SimSun"/>
                <w:lang w:val="en-GB" w:eastAsia="zh-CN"/>
              </w:rPr>
              <w:fldChar w:fldCharType="separate"/>
            </w:r>
            <w:r w:rsidRPr="00C81B1E">
              <w:rPr>
                <w:rFonts w:eastAsia="SimSun"/>
                <w:noProof/>
                <w:lang w:val="es-ES" w:eastAsia="zh-CN"/>
              </w:rPr>
              <w:t xml:space="preserve">Lee et al. </w:t>
            </w:r>
            <w:r w:rsidRPr="00C81B1E">
              <w:rPr>
                <w:rFonts w:eastAsia="SimSun"/>
                <w:noProof/>
                <w:lang w:val="en-GB" w:eastAsia="zh-CN"/>
              </w:rPr>
              <w:t>(2007)</w:t>
            </w:r>
            <w:r w:rsidRPr="00C81B1E">
              <w:rPr>
                <w:rFonts w:eastAsia="SimSun"/>
                <w:lang w:val="en-GB" w:eastAsia="zh-CN"/>
              </w:rPr>
              <w:fldChar w:fldCharType="end"/>
            </w:r>
          </w:p>
        </w:tc>
      </w:tr>
      <w:tr w:rsidR="00C81B1E" w:rsidRPr="00C81B1E" w14:paraId="4EC317D3" w14:textId="77777777" w:rsidTr="00C81B1E">
        <w:trPr>
          <w:trHeight w:val="255"/>
        </w:trPr>
        <w:tc>
          <w:tcPr>
            <w:tcW w:w="1809" w:type="dxa"/>
            <w:shd w:val="clear" w:color="auto" w:fill="auto"/>
            <w:noWrap/>
            <w:vAlign w:val="center"/>
            <w:hideMark/>
          </w:tcPr>
          <w:p w14:paraId="13EBC9F6" w14:textId="77777777" w:rsidR="00C7764C" w:rsidRPr="00C81B1E" w:rsidRDefault="00C7764C" w:rsidP="00C81B1E">
            <w:pPr>
              <w:pStyle w:val="MDPI42tablebody"/>
              <w:rPr>
                <w:rFonts w:eastAsia="SimSun"/>
                <w:b/>
                <w:bCs/>
                <w:lang w:val="en-GB" w:eastAsia="zh-CN"/>
              </w:rPr>
            </w:pPr>
            <w:r w:rsidRPr="00C81B1E">
              <w:rPr>
                <w:rFonts w:eastAsia="SimSun"/>
                <w:b/>
                <w:bCs/>
                <w:lang w:val="en-GB" w:eastAsia="zh-CN"/>
              </w:rPr>
              <w:t>Hazardous materials</w:t>
            </w:r>
          </w:p>
        </w:tc>
        <w:tc>
          <w:tcPr>
            <w:tcW w:w="1422" w:type="dxa"/>
            <w:shd w:val="clear" w:color="auto" w:fill="auto"/>
            <w:noWrap/>
            <w:vAlign w:val="center"/>
            <w:hideMark/>
          </w:tcPr>
          <w:p w14:paraId="57AF9B63" w14:textId="77777777" w:rsidR="00C7764C" w:rsidRPr="00C81B1E" w:rsidRDefault="00C7764C" w:rsidP="00C81B1E">
            <w:pPr>
              <w:pStyle w:val="MDPI42tablebody"/>
              <w:rPr>
                <w:rFonts w:eastAsia="SimSun"/>
                <w:lang w:val="en-GB" w:eastAsia="zh-CN"/>
              </w:rPr>
            </w:pPr>
            <w:r w:rsidRPr="00C81B1E">
              <w:rPr>
                <w:rFonts w:eastAsia="SimSun"/>
                <w:lang w:val="en-GB" w:eastAsia="zh-CN"/>
              </w:rPr>
              <w:t>Type and % mass</w:t>
            </w:r>
          </w:p>
        </w:tc>
        <w:tc>
          <w:tcPr>
            <w:tcW w:w="926" w:type="dxa"/>
            <w:shd w:val="clear" w:color="auto" w:fill="auto"/>
            <w:noWrap/>
            <w:vAlign w:val="center"/>
            <w:hideMark/>
          </w:tcPr>
          <w:p w14:paraId="06E90793" w14:textId="77777777" w:rsidR="00C7764C" w:rsidRPr="00C81B1E" w:rsidRDefault="00C7764C" w:rsidP="00C81B1E">
            <w:pPr>
              <w:pStyle w:val="MDPI42tablebody"/>
              <w:rPr>
                <w:rFonts w:eastAsia="SimSun"/>
                <w:lang w:val="en-GB" w:eastAsia="zh-CN"/>
              </w:rPr>
            </w:pPr>
            <w:r w:rsidRPr="00C81B1E">
              <w:rPr>
                <w:rFonts w:eastAsia="SimSun"/>
                <w:lang w:val="en-GB" w:eastAsia="zh-CN"/>
              </w:rPr>
              <w:t>R, AF, AD, C, TT</w:t>
            </w:r>
          </w:p>
        </w:tc>
        <w:tc>
          <w:tcPr>
            <w:tcW w:w="4915" w:type="dxa"/>
            <w:vMerge/>
            <w:shd w:val="clear" w:color="auto" w:fill="auto"/>
            <w:noWrap/>
            <w:vAlign w:val="center"/>
            <w:hideMark/>
          </w:tcPr>
          <w:p w14:paraId="34D44761" w14:textId="77777777" w:rsidR="00C7764C" w:rsidRPr="00C81B1E" w:rsidRDefault="00C7764C" w:rsidP="00C81B1E">
            <w:pPr>
              <w:pStyle w:val="MDPI42tablebody"/>
              <w:rPr>
                <w:rFonts w:eastAsia="SimSun"/>
                <w:lang w:val="en-GB" w:eastAsia="zh-CN"/>
              </w:rPr>
            </w:pPr>
          </w:p>
        </w:tc>
      </w:tr>
      <w:tr w:rsidR="00C81B1E" w:rsidRPr="00C81B1E" w14:paraId="04D8AE76" w14:textId="77777777" w:rsidTr="00C81B1E">
        <w:trPr>
          <w:trHeight w:val="255"/>
        </w:trPr>
        <w:tc>
          <w:tcPr>
            <w:tcW w:w="1809" w:type="dxa"/>
            <w:tcBorders>
              <w:top w:val="single" w:sz="4" w:space="0" w:color="7F7F7F"/>
              <w:bottom w:val="single" w:sz="4" w:space="0" w:color="7F7F7F"/>
            </w:tcBorders>
            <w:shd w:val="clear" w:color="auto" w:fill="auto"/>
            <w:noWrap/>
            <w:vAlign w:val="center"/>
            <w:hideMark/>
          </w:tcPr>
          <w:p w14:paraId="2D75CD59" w14:textId="13E79B61" w:rsidR="00C7764C" w:rsidRPr="00C81B1E" w:rsidRDefault="00C7764C" w:rsidP="00C81B1E">
            <w:pPr>
              <w:pStyle w:val="MDPI42tablebody"/>
              <w:rPr>
                <w:rFonts w:eastAsia="SimSun"/>
                <w:b/>
                <w:bCs/>
                <w:lang w:val="en-GB" w:eastAsia="zh-CN"/>
              </w:rPr>
            </w:pPr>
            <w:r w:rsidRPr="00C81B1E">
              <w:rPr>
                <w:rFonts w:eastAsia="SimSun"/>
                <w:b/>
                <w:bCs/>
                <w:lang w:val="en-GB" w:eastAsia="zh-CN"/>
              </w:rPr>
              <w:t>Energy</w:t>
            </w:r>
            <w:r w:rsidR="00AF527D" w:rsidRPr="00AF527D">
              <w:rPr>
                <w:rFonts w:eastAsia="SimSun"/>
                <w:b/>
                <w:bCs/>
                <w:lang w:val="en-GB" w:eastAsia="zh-CN"/>
              </w:rPr>
              <w:t>/nutrient value</w:t>
            </w:r>
          </w:p>
        </w:tc>
        <w:tc>
          <w:tcPr>
            <w:tcW w:w="1422" w:type="dxa"/>
            <w:tcBorders>
              <w:top w:val="single" w:sz="4" w:space="0" w:color="7F7F7F"/>
              <w:bottom w:val="single" w:sz="4" w:space="0" w:color="7F7F7F"/>
            </w:tcBorders>
            <w:shd w:val="clear" w:color="auto" w:fill="auto"/>
            <w:noWrap/>
            <w:vAlign w:val="center"/>
            <w:hideMark/>
          </w:tcPr>
          <w:p w14:paraId="1B53A50D" w14:textId="057D8C89" w:rsidR="00C7764C" w:rsidRPr="00C81B1E" w:rsidRDefault="00C7764C" w:rsidP="00C81B1E">
            <w:pPr>
              <w:pStyle w:val="MDPI42tablebody"/>
              <w:rPr>
                <w:rFonts w:eastAsia="SimSun"/>
                <w:lang w:val="en-GB" w:eastAsia="zh-CN"/>
              </w:rPr>
            </w:pPr>
            <w:r w:rsidRPr="00C81B1E">
              <w:rPr>
                <w:rFonts w:eastAsia="SimSun"/>
                <w:lang w:val="en-GB" w:eastAsia="zh-CN"/>
              </w:rPr>
              <w:t>kcal/kg</w:t>
            </w:r>
            <w:r w:rsidR="00AF527D" w:rsidRPr="00AF527D">
              <w:rPr>
                <w:rFonts w:eastAsia="SimSun"/>
                <w:lang w:val="en-GB" w:eastAsia="zh-CN"/>
              </w:rPr>
              <w:t>, g/kg</w:t>
            </w:r>
          </w:p>
        </w:tc>
        <w:tc>
          <w:tcPr>
            <w:tcW w:w="926" w:type="dxa"/>
            <w:tcBorders>
              <w:top w:val="single" w:sz="4" w:space="0" w:color="7F7F7F"/>
              <w:bottom w:val="single" w:sz="4" w:space="0" w:color="7F7F7F"/>
            </w:tcBorders>
            <w:shd w:val="clear" w:color="auto" w:fill="auto"/>
            <w:noWrap/>
            <w:vAlign w:val="center"/>
            <w:hideMark/>
          </w:tcPr>
          <w:p w14:paraId="72EFB5C4" w14:textId="77777777" w:rsidR="00C7764C" w:rsidRPr="00C81B1E" w:rsidRDefault="00C7764C" w:rsidP="00C81B1E">
            <w:pPr>
              <w:pStyle w:val="MDPI42tablebody"/>
              <w:rPr>
                <w:rFonts w:eastAsia="SimSun"/>
                <w:lang w:val="en-GB" w:eastAsia="zh-CN"/>
              </w:rPr>
            </w:pPr>
            <w:r w:rsidRPr="00C81B1E">
              <w:rPr>
                <w:rFonts w:eastAsia="SimSun"/>
                <w:lang w:val="en-GB" w:eastAsia="zh-CN"/>
              </w:rPr>
              <w:t>AF</w:t>
            </w:r>
          </w:p>
        </w:tc>
        <w:tc>
          <w:tcPr>
            <w:tcW w:w="4915" w:type="dxa"/>
            <w:tcBorders>
              <w:top w:val="single" w:sz="4" w:space="0" w:color="7F7F7F"/>
              <w:bottom w:val="single" w:sz="4" w:space="0" w:color="7F7F7F"/>
            </w:tcBorders>
            <w:shd w:val="clear" w:color="auto" w:fill="auto"/>
            <w:noWrap/>
            <w:vAlign w:val="center"/>
            <w:hideMark/>
          </w:tcPr>
          <w:p w14:paraId="711D1C6E" w14:textId="77777777" w:rsidR="00C7764C" w:rsidRPr="00C81B1E" w:rsidRDefault="00C7764C" w:rsidP="00C81B1E">
            <w:pPr>
              <w:pStyle w:val="MDPI42tablebody"/>
              <w:rPr>
                <w:rFonts w:eastAsia="SimSun"/>
                <w:lang w:val="en-GB" w:eastAsia="zh-CN"/>
              </w:rPr>
            </w:pPr>
            <w:r w:rsidRPr="00C81B1E">
              <w:rPr>
                <w:rFonts w:eastAsia="SimSun"/>
                <w:lang w:val="en-GB" w:eastAsia="zh-CN"/>
              </w:rPr>
              <w:fldChar w:fldCharType="begin" w:fldLock="1"/>
            </w:r>
            <w:r w:rsidRPr="00C81B1E">
              <w:rPr>
                <w:rFonts w:eastAsia="SimSun"/>
                <w:lang w:val="en-GB" w:eastAsia="zh-CN"/>
              </w:rPr>
              <w:instrText>ADDIN CSL_CITATION {"citationItems":[{"id":"ITEM-1","itemData":{"author":[{"dropping-particle":"","family":"Parfitt","given":"Julian","non-dropping-particle":"","parse-names":false,"suffix":""},{"dropping-particle":"","family":"Stanley","given":"Chris","non-dropping-particle":"","parse-names":false,"suffix":""},{"dropping-particle":"","family":"Thompson","given":"Laura","non-dropping-particle":"","parse-names":false,"suffix":""}],"id":"ITEM-1","issue":"May","issued":{"date-parts":[["2016"]]},"title":"Guidance for food and drink manufacturers and retailers on the use of food surplus as animal feed. Version 1.0","type":"report"},"uris":["http://www.mendeley.com/documents/?uuid=52a5d25a-b1e1-491e-ba4a-1b95106ef3dc"]}],"mendeley":{"formattedCitation":"(Parfitt et al., 2016)","manualFormatting":"Parfitt, Stanley, et al. (2016)","plainTextFormattedCitation":"(Parfitt et al., 2016)","previouslyFormattedCitation":"(Parfitt et al., 2016)"},"properties":{"noteIndex":0},"schema":"https://github.com/citation-style-language/schema/raw/master/csl-citation.json"}</w:instrText>
            </w:r>
            <w:r w:rsidRPr="00C81B1E">
              <w:rPr>
                <w:rFonts w:eastAsia="SimSun"/>
                <w:lang w:val="en-GB" w:eastAsia="zh-CN"/>
              </w:rPr>
              <w:fldChar w:fldCharType="separate"/>
            </w:r>
            <w:r w:rsidRPr="00C81B1E">
              <w:rPr>
                <w:rFonts w:eastAsia="SimSun"/>
                <w:noProof/>
                <w:lang w:val="en-GB" w:eastAsia="zh-CN"/>
              </w:rPr>
              <w:t>Parfitt, Stanley, et al. (2016)</w:t>
            </w:r>
            <w:r w:rsidRPr="00C81B1E">
              <w:rPr>
                <w:rFonts w:eastAsia="SimSun"/>
                <w:lang w:val="en-GB" w:eastAsia="zh-CN"/>
              </w:rPr>
              <w:fldChar w:fldCharType="end"/>
            </w:r>
          </w:p>
        </w:tc>
      </w:tr>
      <w:tr w:rsidR="00C81B1E" w:rsidRPr="00C81B1E" w14:paraId="34294766" w14:textId="77777777" w:rsidTr="00C81B1E">
        <w:trPr>
          <w:trHeight w:val="255"/>
        </w:trPr>
        <w:tc>
          <w:tcPr>
            <w:tcW w:w="1809" w:type="dxa"/>
            <w:shd w:val="clear" w:color="auto" w:fill="auto"/>
            <w:noWrap/>
            <w:vAlign w:val="center"/>
            <w:hideMark/>
          </w:tcPr>
          <w:p w14:paraId="07A99A25" w14:textId="77777777" w:rsidR="00C7764C" w:rsidRPr="00C81B1E" w:rsidRDefault="00C7764C" w:rsidP="00C81B1E">
            <w:pPr>
              <w:pStyle w:val="MDPI42tablebody"/>
              <w:rPr>
                <w:rFonts w:eastAsia="SimSun"/>
                <w:b/>
                <w:bCs/>
                <w:lang w:val="en-GB" w:eastAsia="zh-CN"/>
              </w:rPr>
            </w:pPr>
            <w:r w:rsidRPr="00C81B1E">
              <w:rPr>
                <w:rFonts w:eastAsia="SimSun"/>
                <w:b/>
                <w:bCs/>
                <w:lang w:val="en-GB" w:eastAsia="zh-CN"/>
              </w:rPr>
              <w:t>Volatile solids (VS)</w:t>
            </w:r>
          </w:p>
        </w:tc>
        <w:tc>
          <w:tcPr>
            <w:tcW w:w="1422" w:type="dxa"/>
            <w:shd w:val="clear" w:color="auto" w:fill="auto"/>
            <w:noWrap/>
            <w:vAlign w:val="center"/>
            <w:hideMark/>
          </w:tcPr>
          <w:p w14:paraId="108B368A" w14:textId="77777777" w:rsidR="00C7764C" w:rsidRPr="00C81B1E" w:rsidRDefault="00C7764C" w:rsidP="00C81B1E">
            <w:pPr>
              <w:pStyle w:val="MDPI42tablebody"/>
              <w:rPr>
                <w:rFonts w:eastAsia="SimSun"/>
                <w:lang w:val="en-GB" w:eastAsia="zh-CN"/>
              </w:rPr>
            </w:pPr>
            <w:r w:rsidRPr="00C81B1E">
              <w:rPr>
                <w:rFonts w:eastAsia="SimSun"/>
                <w:lang w:val="en-GB" w:eastAsia="zh-CN"/>
              </w:rPr>
              <w:t>% mass of TS</w:t>
            </w:r>
          </w:p>
        </w:tc>
        <w:tc>
          <w:tcPr>
            <w:tcW w:w="926" w:type="dxa"/>
            <w:shd w:val="clear" w:color="auto" w:fill="auto"/>
            <w:noWrap/>
            <w:vAlign w:val="center"/>
            <w:hideMark/>
          </w:tcPr>
          <w:p w14:paraId="47B80F58" w14:textId="77777777" w:rsidR="00C7764C" w:rsidRPr="00C81B1E" w:rsidRDefault="00C7764C" w:rsidP="00C81B1E">
            <w:pPr>
              <w:pStyle w:val="MDPI42tablebody"/>
              <w:rPr>
                <w:rFonts w:eastAsia="SimSun"/>
                <w:lang w:val="en-GB" w:eastAsia="zh-CN"/>
              </w:rPr>
            </w:pPr>
            <w:r w:rsidRPr="00C81B1E">
              <w:rPr>
                <w:rFonts w:eastAsia="SimSun"/>
                <w:lang w:val="en-GB" w:eastAsia="zh-CN"/>
              </w:rPr>
              <w:t>AD, C, TT</w:t>
            </w:r>
          </w:p>
        </w:tc>
        <w:tc>
          <w:tcPr>
            <w:tcW w:w="4915" w:type="dxa"/>
            <w:shd w:val="clear" w:color="auto" w:fill="auto"/>
            <w:noWrap/>
            <w:vAlign w:val="center"/>
            <w:hideMark/>
          </w:tcPr>
          <w:p w14:paraId="7B317A2F" w14:textId="77777777" w:rsidR="00C7764C" w:rsidRPr="00C81B1E" w:rsidRDefault="00C7764C" w:rsidP="00C81B1E">
            <w:pPr>
              <w:pStyle w:val="MDPI42tablebody"/>
              <w:rPr>
                <w:rFonts w:eastAsia="SimSun"/>
                <w:lang w:val="en-GB" w:eastAsia="zh-CN"/>
              </w:rPr>
            </w:pPr>
            <w:r w:rsidRPr="00C81B1E">
              <w:rPr>
                <w:rFonts w:eastAsia="SimSun"/>
                <w:lang w:val="en-GB" w:eastAsia="zh-CN"/>
              </w:rPr>
              <w:t xml:space="preserve">AD: </w:t>
            </w:r>
            <w:r w:rsidRPr="00C81B1E">
              <w:rPr>
                <w:rFonts w:eastAsia="SimSun"/>
                <w:lang w:val="en-GB" w:eastAsia="zh-CN"/>
              </w:rPr>
              <w:fldChar w:fldCharType="begin" w:fldLock="1"/>
            </w:r>
            <w:r w:rsidRPr="00C81B1E">
              <w:rPr>
                <w:rFonts w:eastAsia="SimSun"/>
                <w:lang w:val="en-GB" w:eastAsia="zh-CN"/>
              </w:rPr>
              <w:instrText>ADDIN CSL_CITATION {"citationItems":[{"id":"ITEM-1","itemData":{"DOI":"10.1016/j.biortech.2006.02.039","ISBN":"0960-8524","ISSN":"09608524","PMID":"16635571","abstract":"Food waste collected in the City of San Francisco, California, was characterized for its potential for use as a feedstock for anaerobic digestion processes. The daily and weekly variations of food waste composition over a two-month period were measured. The anaerobic digestibility and biogas and methane yields of the food waste were evaluated using batch anaerobic digestion tests performed at 50 ??C. The daily average moisture content (MC) and the ratio of volatile solids to total solids (VS/TS) determined from a week-long sampling were 70% and 83%, respectively, while the weekly average MC and VS/TS were 74% and 87%, respectively. The nutrient content analysis showed that the food waste contained well balanced nutrients for anaerobic microorganisms. The methane yield was determined to be 348 and 435 mL/g VS, respectively, after 10 and 28 days of digestion. The average methane content of biogas was 73%. The average VS destruction was 81% at the end of the 28-day digestion test. The results of this study indicate that the food waste is a highly desirable substrate for anaerobic digesters with regards to its high biodegradability and methane yield. ?? 2006 Elsevier Ltd. All rights reserved.","author":[{"dropping-particle":"","family":"Zhang","given":"Ruihong","non-dropping-particle":"","parse-names":false,"suffix":""},{"dropping-particle":"","family":"El-Mashad","given":"Hamed M.","non-dropping-particle":"","parse-names":false,"suffix":""},{"dropping-particle":"","family":"Hartman","given":"Karl","non-dropping-particle":"","parse-names":false,"suffix":""},{"dropping-particle":"","family":"Wang","given":"Fengyu","non-dropping-particle":"","parse-names":false,"suffix":""},{"dropping-particle":"","family":"Liu","given":"Guangqing","non-dropping-particle":"","parse-names":false,"suffix":""},{"dropping-particle":"","family":"Choate","given":"Chris","non-dropping-particle":"","parse-names":false,"suffix":""},{"dropping-particle":"","family":"Gamble","given":"Paul","non-dropping-particle":"","parse-names":false,"suffix":""}],"container-title":"Bioresource Technology","id":"ITEM-1","issue":"4","issued":{"date-parts":[["2007"]]},"page":"929-935","title":"Characterization of food waste as feedstock for anaerobic digestion","type":"article-journal","volume":"98"},"uris":["http://www.mendeley.com/documents/?uuid=b05e0489-42be-426e-a402-a0aa8f9e8ebf"]}],"mendeley":{"formattedCitation":"(Zhang et al., 2007)","manualFormatting":"Zhang et al. (2007)","plainTextFormattedCitation":"(Zhang et al., 2007)","previouslyFormattedCitation":"(Zhang et al., 2007)"},"properties":{"noteIndex":0},"schema":"https://github.com/citation-style-language/schema/raw/master/csl-citation.json"}</w:instrText>
            </w:r>
            <w:r w:rsidRPr="00C81B1E">
              <w:rPr>
                <w:rFonts w:eastAsia="SimSun"/>
                <w:lang w:val="en-GB" w:eastAsia="zh-CN"/>
              </w:rPr>
              <w:fldChar w:fldCharType="separate"/>
            </w:r>
            <w:r w:rsidRPr="00C81B1E">
              <w:rPr>
                <w:rFonts w:eastAsia="SimSun"/>
                <w:noProof/>
                <w:lang w:val="en-GB" w:eastAsia="zh-CN"/>
              </w:rPr>
              <w:t>Zhang et al. (2007)</w:t>
            </w:r>
            <w:r w:rsidRPr="00C81B1E">
              <w:rPr>
                <w:rFonts w:eastAsia="SimSun"/>
                <w:lang w:val="en-GB" w:eastAsia="zh-CN"/>
              </w:rPr>
              <w:fldChar w:fldCharType="end"/>
            </w:r>
            <w:r w:rsidRPr="00C81B1E">
              <w:rPr>
                <w:rFonts w:eastAsia="SimSun"/>
                <w:lang w:val="en-GB" w:eastAsia="zh-CN"/>
              </w:rPr>
              <w:t xml:space="preserve">, C: </w:t>
            </w:r>
            <w:r w:rsidRPr="00C81B1E">
              <w:rPr>
                <w:rFonts w:eastAsia="SimSun"/>
                <w:lang w:val="en-GB" w:eastAsia="zh-CN"/>
              </w:rPr>
              <w:fldChar w:fldCharType="begin" w:fldLock="1"/>
            </w:r>
            <w:r w:rsidRPr="00C81B1E">
              <w:rPr>
                <w:rFonts w:eastAsia="SimSun"/>
                <w:lang w:val="en-GB" w:eastAsia="zh-CN"/>
              </w:rPr>
              <w:instrText>ADDIN CSL_CITATION {"citationItems":[{"id":"ITEM-1","itemData":{"DOI":"10.1016/j.biortech.2005.02.013","ISBN":"09608524","ISSN":"09608524","PMID":"15990292","abstract":"A laboratory reactor was designed to study the effects of operating parameters (air suction rate, seeding and agitation) on the composting process of a synthetic food waste made of dog food. Experimental results showed that the synthetic food waste could be composted within 4 days and the final compost passed the maturity tests. In most cases except those with 32% of seeding, the process involved two major stages of composting. The two peak temperatures between 50 and 60??C occurred at 8-12th hour and 50-65th hour, respectively. Operating parameters that converted the most volatile solids and carbons in the feedstock were as follows: 1.6 l air/kg dry solid-min of air suction rate, 32% of seeding and 50% of agitation time. ?? 2005 Elsevier Ltd. All rights reserved.","author":[{"dropping-particle":"","family":"Chang","given":"James I.","non-dropping-particle":"","parse-names":false,"suffix":""},{"dropping-particle":"","family":"Tsai","given":"J. J.","non-dropping-particle":"","parse-names":false,"suffix":""},{"dropping-particle":"","family":"Wu","given":"K. H.","non-dropping-particle":"","parse-names":false,"suffix":""}],"container-title":"Bioresource Technology","id":"ITEM-1","issue":"1","issued":{"date-parts":[["2006"]]},"page":"116-122","title":"Thermophilic composting of food waste","type":"article-journal","volume":"97"},"uris":["http://www.mendeley.com/documents/?uuid=82a6af50-1555-4181-936c-c0828d75ea9f"]}],"mendeley":{"formattedCitation":"(Chang et al., 2006)","manualFormatting":"Chang et al. (2006)","plainTextFormattedCitation":"(Chang et al., 2006)","previouslyFormattedCitation":"(Chang et al., 2006)"},"properties":{"noteIndex":0},"schema":"https://github.com/citation-style-language/schema/raw/master/csl-citation.json"}</w:instrText>
            </w:r>
            <w:r w:rsidRPr="00C81B1E">
              <w:rPr>
                <w:rFonts w:eastAsia="SimSun"/>
                <w:lang w:val="en-GB" w:eastAsia="zh-CN"/>
              </w:rPr>
              <w:fldChar w:fldCharType="separate"/>
            </w:r>
            <w:r w:rsidRPr="00C81B1E">
              <w:rPr>
                <w:rFonts w:eastAsia="SimSun"/>
                <w:noProof/>
                <w:lang w:val="en-GB" w:eastAsia="zh-CN"/>
              </w:rPr>
              <w:t>Chang et al. (2006)</w:t>
            </w:r>
            <w:r w:rsidRPr="00C81B1E">
              <w:rPr>
                <w:rFonts w:eastAsia="SimSun"/>
                <w:lang w:val="en-GB" w:eastAsia="zh-CN"/>
              </w:rPr>
              <w:fldChar w:fldCharType="end"/>
            </w:r>
            <w:r w:rsidRPr="00C81B1E">
              <w:rPr>
                <w:rFonts w:eastAsia="SimSun"/>
                <w:lang w:val="en-GB" w:eastAsia="zh-CN"/>
              </w:rPr>
              <w:t xml:space="preserve">, TT: </w:t>
            </w:r>
            <w:r w:rsidRPr="00C81B1E">
              <w:rPr>
                <w:rFonts w:eastAsia="SimSun"/>
                <w:lang w:val="en-GB" w:eastAsia="zh-CN"/>
              </w:rPr>
              <w:fldChar w:fldCharType="begin" w:fldLock="1"/>
            </w:r>
            <w:r w:rsidRPr="00C81B1E">
              <w:rPr>
                <w:rFonts w:eastAsia="SimSun"/>
                <w:lang w:val="en-GB" w:eastAsia="zh-CN"/>
              </w:rPr>
              <w:instrText>ADDIN CSL_CITATION {"citationItems":[{"id":"ITEM-1","itemData":{"DOI":"10.1016/j.apenergy.2009.08.032","ISBN":"0306-2619","ISSN":"03062619","abstract":"Characteristics of syngas from the pyrolysis and gasification of food waste has been investigated. Characteristic differences in syngas properties and overall yields from pyrolysis and gasification were determined at two distinct high temperatures of 800 and 900 ??C. Pyrolysis and gasification behavior were evaluated in terms of syngas flow rate, hydrogen flow rate, output power, total syngas yield, total hydrogen yield, total energy yield, and apparent thermal efficiency. Gasification was more beneficial than pyrolysis based on investigated criteria, but longer time was needed to finish the gasification process. Longer time of gasification is attributed to slow reactions between the residual char and gasifying agent. Consequently, the char gasification kinetics was investigated. Inorganic constituents of food char were found to have a catalytic effect. Char reactivity increased with increased degree of conversion. In the conversion range from 0.1 to 0.9 the increase in reactivity was accompanied by an increase in pre-exponential factor, which suggested an increase in gasifying agent adsorption rate to char surface. However, in the conversion range from 0.93 to 0.98 the increase in reactivity was accompanied by a decrease in activation energy. A compensation effect was observed in this range of conversion of 0.93-0.98. ?? 2009 Elsevier Ltd. All rights reserved.","author":[{"dropping-particle":"","family":"Ahmed","given":"I. I.","non-dropping-particle":"","parse-names":false,"suffix":""},{"dropping-particle":"","family":"Gupta","given":"A. K.","non-dropping-particle":"","parse-names":false,"suffix":""}],"container-title":"Applied Energy","id":"ITEM-1","issue":"1","issued":{"date-parts":[["2010"]]},"page":"101-108","publisher":"Elsevier Ltd","title":"Pyrolysis and gasification of food waste: Syngas characteristics and char gasification kinetics","type":"article-journal","volume":"87"},"uris":["http://www.mendeley.com/documents/?uuid=ba947297-756d-4216-9a69-33c8820cc240"]}],"mendeley":{"formattedCitation":"(Ahmed and Gupta, 2010)","manualFormatting":"Ahmed &amp; Gupta (2010)","plainTextFormattedCitation":"(Ahmed and Gupta, 2010)","previouslyFormattedCitation":"(Ahmed and Gupta, 2010)"},"properties":{"noteIndex":0},"schema":"https://github.com/citation-style-language/schema/raw/master/csl-citation.json"}</w:instrText>
            </w:r>
            <w:r w:rsidRPr="00C81B1E">
              <w:rPr>
                <w:rFonts w:eastAsia="SimSun"/>
                <w:lang w:val="en-GB" w:eastAsia="zh-CN"/>
              </w:rPr>
              <w:fldChar w:fldCharType="separate"/>
            </w:r>
            <w:r w:rsidRPr="00C81B1E">
              <w:rPr>
                <w:rFonts w:eastAsia="SimSun"/>
                <w:noProof/>
                <w:lang w:val="en-GB" w:eastAsia="zh-CN"/>
              </w:rPr>
              <w:t>Ahmed &amp; Gupta (2010)</w:t>
            </w:r>
            <w:r w:rsidRPr="00C81B1E">
              <w:rPr>
                <w:rFonts w:eastAsia="SimSun"/>
                <w:lang w:val="en-GB" w:eastAsia="zh-CN"/>
              </w:rPr>
              <w:fldChar w:fldCharType="end"/>
            </w:r>
          </w:p>
        </w:tc>
      </w:tr>
      <w:tr w:rsidR="00C81B1E" w:rsidRPr="00C81B1E" w14:paraId="6765FA6C" w14:textId="77777777" w:rsidTr="00C81B1E">
        <w:trPr>
          <w:trHeight w:val="255"/>
        </w:trPr>
        <w:tc>
          <w:tcPr>
            <w:tcW w:w="1809" w:type="dxa"/>
            <w:tcBorders>
              <w:top w:val="single" w:sz="4" w:space="0" w:color="7F7F7F"/>
              <w:bottom w:val="single" w:sz="4" w:space="0" w:color="7F7F7F"/>
            </w:tcBorders>
            <w:shd w:val="clear" w:color="auto" w:fill="auto"/>
            <w:noWrap/>
            <w:vAlign w:val="center"/>
            <w:hideMark/>
          </w:tcPr>
          <w:p w14:paraId="2EA4E44E" w14:textId="77777777" w:rsidR="00C7764C" w:rsidRPr="00C81B1E" w:rsidRDefault="00C7764C" w:rsidP="00C81B1E">
            <w:pPr>
              <w:pStyle w:val="MDPI42tablebody"/>
              <w:rPr>
                <w:rFonts w:eastAsia="SimSun"/>
                <w:b/>
                <w:bCs/>
                <w:lang w:val="en-GB" w:eastAsia="zh-CN"/>
              </w:rPr>
            </w:pPr>
            <w:r w:rsidRPr="00C81B1E">
              <w:rPr>
                <w:rFonts w:eastAsia="SimSun"/>
                <w:b/>
                <w:bCs/>
                <w:lang w:val="en-GB" w:eastAsia="zh-CN"/>
              </w:rPr>
              <w:t>Total solids (TS)</w:t>
            </w:r>
          </w:p>
        </w:tc>
        <w:tc>
          <w:tcPr>
            <w:tcW w:w="1422" w:type="dxa"/>
            <w:tcBorders>
              <w:top w:val="single" w:sz="4" w:space="0" w:color="7F7F7F"/>
              <w:bottom w:val="single" w:sz="4" w:space="0" w:color="7F7F7F"/>
            </w:tcBorders>
            <w:shd w:val="clear" w:color="auto" w:fill="auto"/>
            <w:noWrap/>
            <w:vAlign w:val="center"/>
            <w:hideMark/>
          </w:tcPr>
          <w:p w14:paraId="06D74C6C" w14:textId="77777777" w:rsidR="00C7764C" w:rsidRPr="00C81B1E" w:rsidRDefault="00C7764C" w:rsidP="00C81B1E">
            <w:pPr>
              <w:pStyle w:val="MDPI42tablebody"/>
              <w:rPr>
                <w:rFonts w:eastAsia="SimSun"/>
                <w:lang w:val="en-GB" w:eastAsia="zh-CN"/>
              </w:rPr>
            </w:pPr>
            <w:r w:rsidRPr="00C81B1E">
              <w:rPr>
                <w:rFonts w:eastAsia="SimSun"/>
                <w:lang w:val="en-GB" w:eastAsia="zh-CN"/>
              </w:rPr>
              <w:t>% mass</w:t>
            </w:r>
          </w:p>
        </w:tc>
        <w:tc>
          <w:tcPr>
            <w:tcW w:w="926" w:type="dxa"/>
            <w:tcBorders>
              <w:top w:val="single" w:sz="4" w:space="0" w:color="7F7F7F"/>
              <w:bottom w:val="single" w:sz="4" w:space="0" w:color="7F7F7F"/>
            </w:tcBorders>
            <w:shd w:val="clear" w:color="auto" w:fill="auto"/>
            <w:noWrap/>
            <w:vAlign w:val="center"/>
            <w:hideMark/>
          </w:tcPr>
          <w:p w14:paraId="0C9B74AC" w14:textId="77777777" w:rsidR="00C7764C" w:rsidRPr="00C81B1E" w:rsidRDefault="00C7764C" w:rsidP="00C81B1E">
            <w:pPr>
              <w:pStyle w:val="MDPI42tablebody"/>
              <w:rPr>
                <w:rFonts w:eastAsia="SimSun"/>
                <w:lang w:val="en-GB" w:eastAsia="zh-CN"/>
              </w:rPr>
            </w:pPr>
            <w:r w:rsidRPr="00C81B1E">
              <w:rPr>
                <w:rFonts w:eastAsia="SimSun"/>
                <w:lang w:val="en-GB" w:eastAsia="zh-CN"/>
              </w:rPr>
              <w:t>AD, C, TT</w:t>
            </w:r>
          </w:p>
        </w:tc>
        <w:tc>
          <w:tcPr>
            <w:tcW w:w="4915" w:type="dxa"/>
            <w:tcBorders>
              <w:top w:val="single" w:sz="4" w:space="0" w:color="7F7F7F"/>
              <w:bottom w:val="single" w:sz="4" w:space="0" w:color="7F7F7F"/>
            </w:tcBorders>
            <w:shd w:val="clear" w:color="auto" w:fill="auto"/>
            <w:noWrap/>
            <w:vAlign w:val="center"/>
            <w:hideMark/>
          </w:tcPr>
          <w:p w14:paraId="42D7AF1E" w14:textId="77777777" w:rsidR="00C7764C" w:rsidRPr="00C81B1E" w:rsidRDefault="00C7764C" w:rsidP="00C81B1E">
            <w:pPr>
              <w:pStyle w:val="MDPI42tablebody"/>
              <w:rPr>
                <w:rFonts w:eastAsia="SimSun"/>
                <w:lang w:val="en-GB" w:eastAsia="zh-CN"/>
              </w:rPr>
            </w:pPr>
            <w:r w:rsidRPr="00C81B1E">
              <w:rPr>
                <w:rFonts w:eastAsia="SimSun"/>
                <w:lang w:val="en-GB" w:eastAsia="zh-CN"/>
              </w:rPr>
              <w:t xml:space="preserve">AD: </w:t>
            </w:r>
            <w:r w:rsidRPr="00C81B1E">
              <w:rPr>
                <w:rFonts w:eastAsia="SimSun"/>
                <w:lang w:val="en-GB" w:eastAsia="zh-CN"/>
              </w:rPr>
              <w:fldChar w:fldCharType="begin" w:fldLock="1"/>
            </w:r>
            <w:r w:rsidRPr="00C81B1E">
              <w:rPr>
                <w:rFonts w:eastAsia="SimSun"/>
                <w:lang w:val="en-GB" w:eastAsia="zh-CN"/>
              </w:rPr>
              <w:instrText>ADDIN CSL_CITATION {"citationItems":[{"id":"ITEM-1","itemData":{"DOI":"10.1007/s13399-015-0186-2","ISBN":"1339901501","ISSN":"2190-6815","author":[{"dropping-particle":"","family":"Kumar","given":"Parvendra","non-dropping-particle":"","parse-names":false,"suffix":""},{"dropping-particle":"","family":"Hussain","given":"Athar","non-dropping-particle":"","parse-names":false,"suffix":""},{"dropping-particle":"","family":"Dubey","given":"Shashi Kant","non-dropping-particle":"","parse-names":false,"suffix":""}],"container-title":"Biomass Conversion and Biorefinery","id":"ITEM-1","issue":"September","issued":{"date-parts":[["2015"]]},"page":"1-10","title":"Methane formation from food waste by anaerobic digestion","type":"article-journal"},"uris":["http://www.mendeley.com/documents/?uuid=1fdc4775-4b29-43af-a053-f1c1fda0d6cb"]}],"mendeley":{"formattedCitation":"(Kumar et al., 2015)","manualFormatting":"Kumar et al. (2015)","plainTextFormattedCitation":"(Kumar et al., 2015)","previouslyFormattedCitation":"(Kumar et al., 2015)"},"properties":{"noteIndex":0},"schema":"https://github.com/citation-style-language/schema/raw/master/csl-citation.json"}</w:instrText>
            </w:r>
            <w:r w:rsidRPr="00C81B1E">
              <w:rPr>
                <w:rFonts w:eastAsia="SimSun"/>
                <w:lang w:val="en-GB" w:eastAsia="zh-CN"/>
              </w:rPr>
              <w:fldChar w:fldCharType="separate"/>
            </w:r>
            <w:r w:rsidRPr="00C81B1E">
              <w:rPr>
                <w:rFonts w:eastAsia="SimSun"/>
                <w:noProof/>
                <w:lang w:val="en-GB" w:eastAsia="zh-CN"/>
              </w:rPr>
              <w:t>Kumar et al. (2015)</w:t>
            </w:r>
            <w:r w:rsidRPr="00C81B1E">
              <w:rPr>
                <w:rFonts w:eastAsia="SimSun"/>
                <w:lang w:val="en-GB" w:eastAsia="zh-CN"/>
              </w:rPr>
              <w:fldChar w:fldCharType="end"/>
            </w:r>
            <w:r w:rsidRPr="00C81B1E">
              <w:rPr>
                <w:rFonts w:eastAsia="SimSun"/>
                <w:lang w:val="en-GB" w:eastAsia="zh-CN"/>
              </w:rPr>
              <w:t xml:space="preserve">, C: </w:t>
            </w:r>
            <w:r w:rsidRPr="00C81B1E">
              <w:rPr>
                <w:rFonts w:eastAsia="SimSun"/>
                <w:lang w:val="en-GB" w:eastAsia="zh-CN"/>
              </w:rPr>
              <w:fldChar w:fldCharType="begin" w:fldLock="1"/>
            </w:r>
            <w:r w:rsidRPr="00C81B1E">
              <w:rPr>
                <w:rFonts w:eastAsia="SimSun"/>
                <w:lang w:val="en-GB" w:eastAsia="zh-CN"/>
              </w:rPr>
              <w:instrText>ADDIN CSL_CITATION {"citationItems":[{"id":"ITEM-1","itemData":{"DOI":"10.1016/j.biortech.2015.10.073","ISSN":"18732976","PMID":"26520491","abstract":"The study was carried out to integrate physical geometry of compost particle with degradation kinetics to model biological reactions, which revealing additional dynamic approaches. A sphere and its circumscribing cube were used to represent compost particles. An inner sphere, representing anaerobic zone, was introduced to describe variations of substrate volume without sufficient oxygen supply. Degradation of soluble substrates and hydrolysis of insoluble substrates were associated with the particle geometry. Transportation of soluble substrates produced from hydrolysis was expressed using Fick's law. Through the integration of degradation kinetics with geometry models, degradation models could describe varying volume of composting materials involving aerobic or anaerobic digestion and transportation of soluble substrates in a unit compost particle.","author":[{"dropping-particle":"","family":"Wang","given":"Yongjiang","non-dropping-particle":"","parse-names":false,"suffix":""},{"dropping-particle":"","family":"Ai","given":"Ping","non-dropping-particle":"","parse-names":false,"suffix":""}],"container-title":"Bioresource Technology","id":"ITEM-1","issued":{"date-parts":[["2016"]]},"page":"514-520","publisher":"Elsevier Ltd","title":"Integrating particle physical geometry into composting degradation kinetics","type":"article-journal","volume":"200"},"uris":["http://www.mendeley.com/documents/?uuid=a2beb9d8-7ed1-4b9f-8d00-111b634c6947"]}],"mendeley":{"formattedCitation":"(Wang and Ai, 2016)","manualFormatting":"Wang &amp; Ai (2016)","plainTextFormattedCitation":"(Wang and Ai, 2016)","previouslyFormattedCitation":"(Wang and Ai, 2016)"},"properties":{"noteIndex":0},"schema":"https://github.com/citation-style-language/schema/raw/master/csl-citation.json"}</w:instrText>
            </w:r>
            <w:r w:rsidRPr="00C81B1E">
              <w:rPr>
                <w:rFonts w:eastAsia="SimSun"/>
                <w:lang w:val="en-GB" w:eastAsia="zh-CN"/>
              </w:rPr>
              <w:fldChar w:fldCharType="separate"/>
            </w:r>
            <w:r w:rsidRPr="00C81B1E">
              <w:rPr>
                <w:rFonts w:eastAsia="SimSun"/>
                <w:noProof/>
                <w:lang w:val="en-GB" w:eastAsia="zh-CN"/>
              </w:rPr>
              <w:t>Wang &amp; Ai (2016)</w:t>
            </w:r>
            <w:r w:rsidRPr="00C81B1E">
              <w:rPr>
                <w:rFonts w:eastAsia="SimSun"/>
                <w:lang w:val="en-GB" w:eastAsia="zh-CN"/>
              </w:rPr>
              <w:fldChar w:fldCharType="end"/>
            </w:r>
            <w:r w:rsidRPr="00C81B1E">
              <w:rPr>
                <w:rFonts w:eastAsia="SimSun"/>
                <w:lang w:val="en-GB" w:eastAsia="zh-CN"/>
              </w:rPr>
              <w:t>, TT:</w:t>
            </w:r>
            <w:r w:rsidRPr="00C81B1E">
              <w:rPr>
                <w:rFonts w:eastAsia="SimSun"/>
                <w:lang w:val="en-GB" w:eastAsia="zh-CN"/>
              </w:rPr>
              <w:fldChar w:fldCharType="begin" w:fldLock="1"/>
            </w:r>
            <w:r w:rsidRPr="00C81B1E">
              <w:rPr>
                <w:rFonts w:eastAsia="SimSun"/>
                <w:lang w:val="en-GB" w:eastAsia="zh-CN"/>
              </w:rPr>
              <w:instrText>ADDIN CSL_CITATION {"citationItems":[{"id":"ITEM-1","itemData":{"DOI":"10.1016/j.apenergy.2009.08.032","ISBN":"0306-2619","ISSN":"03062619","abstract":"Characteristics of syngas from the pyrolysis and gasification of food waste has been investigated. Characteristic differences in syngas properties and overall yields from pyrolysis and gasification were determined at two distinct high temperatures of 800 and 900 ??C. Pyrolysis and gasification behavior were evaluated in terms of syngas flow rate, hydrogen flow rate, output power, total syngas yield, total hydrogen yield, total energy yield, and apparent thermal efficiency. Gasification was more beneficial than pyrolysis based on investigated criteria, but longer time was needed to finish the gasification process. Longer time of gasification is attributed to slow reactions between the residual char and gasifying agent. Consequently, the char gasification kinetics was investigated. Inorganic constituents of food char were found to have a catalytic effect. Char reactivity increased with increased degree of conversion. In the conversion range from 0.1 to 0.9 the increase in reactivity was accompanied by an increase in pre-exponential factor, which suggested an increase in gasifying agent adsorption rate to char surface. However, in the conversion range from 0.93 to 0.98 the increase in reactivity was accompanied by a decrease in activation energy. A compensation effect was observed in this range of conversion of 0.93-0.98. ?? 2009 Elsevier Ltd. All rights reserved.","author":[{"dropping-particle":"","family":"Ahmed","given":"I. I.","non-dropping-particle":"","parse-names":false,"suffix":""},{"dropping-particle":"","family":"Gupta","given":"A. K.","non-dropping-particle":"","parse-names":false,"suffix":""}],"container-title":"Applied Energy","id":"ITEM-1","issue":"1","issued":{"date-parts":[["2010"]]},"page":"101-108","publisher":"Elsevier Ltd","title":"Pyrolysis and gasification of food waste: Syngas characteristics and char gasification kinetics","type":"article-journal","volume":"87"},"uris":["http://www.mendeley.com/documents/?uuid=ba947297-756d-4216-9a69-33c8820cc240"]}],"mendeley":{"formattedCitation":"(Ahmed and Gupta, 2010)","manualFormatting":" Ahmed &amp; Gupta (2010)","plainTextFormattedCitation":"(Ahmed and Gupta, 2010)","previouslyFormattedCitation":"(Ahmed and Gupta, 2010)"},"properties":{"noteIndex":0},"schema":"https://github.com/citation-style-language/schema/raw/master/csl-citation.json"}</w:instrText>
            </w:r>
            <w:r w:rsidRPr="00C81B1E">
              <w:rPr>
                <w:rFonts w:eastAsia="SimSun"/>
                <w:lang w:val="en-GB" w:eastAsia="zh-CN"/>
              </w:rPr>
              <w:fldChar w:fldCharType="separate"/>
            </w:r>
            <w:r w:rsidRPr="00C81B1E">
              <w:rPr>
                <w:rFonts w:eastAsia="SimSun"/>
                <w:noProof/>
                <w:lang w:val="en-GB" w:eastAsia="zh-CN"/>
              </w:rPr>
              <w:t xml:space="preserve"> Ahmed &amp; Gupta (2010)</w:t>
            </w:r>
            <w:r w:rsidRPr="00C81B1E">
              <w:rPr>
                <w:rFonts w:eastAsia="SimSun"/>
                <w:lang w:val="en-GB" w:eastAsia="zh-CN"/>
              </w:rPr>
              <w:fldChar w:fldCharType="end"/>
            </w:r>
          </w:p>
        </w:tc>
      </w:tr>
      <w:tr w:rsidR="00C81B1E" w:rsidRPr="00C81B1E" w14:paraId="159738A5" w14:textId="77777777" w:rsidTr="00C81B1E">
        <w:trPr>
          <w:trHeight w:val="255"/>
        </w:trPr>
        <w:tc>
          <w:tcPr>
            <w:tcW w:w="1809" w:type="dxa"/>
            <w:shd w:val="clear" w:color="auto" w:fill="auto"/>
            <w:noWrap/>
            <w:vAlign w:val="center"/>
            <w:hideMark/>
          </w:tcPr>
          <w:p w14:paraId="4E44E9FC" w14:textId="77777777" w:rsidR="00C7764C" w:rsidRPr="00C81B1E" w:rsidRDefault="00C7764C" w:rsidP="00C81B1E">
            <w:pPr>
              <w:pStyle w:val="MDPI42tablebody"/>
              <w:rPr>
                <w:rFonts w:eastAsia="SimSun"/>
                <w:b/>
                <w:bCs/>
                <w:lang w:val="en-GB" w:eastAsia="zh-CN"/>
              </w:rPr>
            </w:pPr>
            <w:r w:rsidRPr="00C81B1E">
              <w:rPr>
                <w:rFonts w:eastAsia="SimSun"/>
                <w:b/>
                <w:bCs/>
                <w:lang w:val="en-GB" w:eastAsia="zh-CN"/>
              </w:rPr>
              <w:t xml:space="preserve">Total </w:t>
            </w:r>
            <w:proofErr w:type="spellStart"/>
            <w:r w:rsidRPr="00C81B1E">
              <w:rPr>
                <w:rFonts w:eastAsia="SimSun"/>
                <w:b/>
                <w:bCs/>
                <w:lang w:val="en-GB" w:eastAsia="zh-CN"/>
              </w:rPr>
              <w:t>Kjeldahl</w:t>
            </w:r>
            <w:proofErr w:type="spellEnd"/>
            <w:r w:rsidRPr="00C81B1E">
              <w:rPr>
                <w:rFonts w:eastAsia="SimSun"/>
                <w:b/>
                <w:bCs/>
                <w:lang w:val="en-GB" w:eastAsia="zh-CN"/>
              </w:rPr>
              <w:t xml:space="preserve"> nitrogen (TKN)</w:t>
            </w:r>
          </w:p>
        </w:tc>
        <w:tc>
          <w:tcPr>
            <w:tcW w:w="1422" w:type="dxa"/>
            <w:shd w:val="clear" w:color="auto" w:fill="auto"/>
            <w:noWrap/>
            <w:vAlign w:val="center"/>
            <w:hideMark/>
          </w:tcPr>
          <w:p w14:paraId="44D13FD7" w14:textId="77777777" w:rsidR="00C7764C" w:rsidRPr="00C81B1E" w:rsidRDefault="00C7764C" w:rsidP="00C81B1E">
            <w:pPr>
              <w:pStyle w:val="MDPI42tablebody"/>
              <w:rPr>
                <w:rFonts w:eastAsia="SimSun"/>
                <w:lang w:val="en-GB" w:eastAsia="zh-CN"/>
              </w:rPr>
            </w:pPr>
            <w:r w:rsidRPr="00C81B1E">
              <w:rPr>
                <w:rFonts w:eastAsia="SimSun"/>
                <w:lang w:val="en-GB" w:eastAsia="zh-CN"/>
              </w:rPr>
              <w:t>mg/g TS</w:t>
            </w:r>
          </w:p>
        </w:tc>
        <w:tc>
          <w:tcPr>
            <w:tcW w:w="926" w:type="dxa"/>
            <w:shd w:val="clear" w:color="auto" w:fill="auto"/>
            <w:noWrap/>
            <w:vAlign w:val="center"/>
            <w:hideMark/>
          </w:tcPr>
          <w:p w14:paraId="2A8AE609" w14:textId="77777777" w:rsidR="00C7764C" w:rsidRPr="00C81B1E" w:rsidRDefault="00C7764C" w:rsidP="00C81B1E">
            <w:pPr>
              <w:pStyle w:val="MDPI42tablebody"/>
              <w:rPr>
                <w:rFonts w:eastAsia="SimSun"/>
                <w:lang w:val="en-GB" w:eastAsia="zh-CN"/>
              </w:rPr>
            </w:pPr>
            <w:r w:rsidRPr="00C81B1E">
              <w:rPr>
                <w:rFonts w:eastAsia="SimSun"/>
                <w:lang w:val="en-GB" w:eastAsia="zh-CN"/>
              </w:rPr>
              <w:t>AD, C</w:t>
            </w:r>
          </w:p>
        </w:tc>
        <w:tc>
          <w:tcPr>
            <w:tcW w:w="4915" w:type="dxa"/>
            <w:shd w:val="clear" w:color="auto" w:fill="auto"/>
            <w:noWrap/>
            <w:vAlign w:val="center"/>
            <w:hideMark/>
          </w:tcPr>
          <w:p w14:paraId="2DA7B353" w14:textId="77777777" w:rsidR="00C7764C" w:rsidRPr="00C81B1E" w:rsidRDefault="00C7764C" w:rsidP="00C81B1E">
            <w:pPr>
              <w:pStyle w:val="MDPI42tablebody"/>
              <w:rPr>
                <w:rFonts w:eastAsia="SimSun"/>
                <w:lang w:val="en-GB" w:eastAsia="zh-CN"/>
              </w:rPr>
            </w:pPr>
            <w:r w:rsidRPr="00C81B1E">
              <w:rPr>
                <w:rFonts w:eastAsia="SimSun"/>
                <w:lang w:val="en-GB" w:eastAsia="zh-CN"/>
              </w:rPr>
              <w:t xml:space="preserve">AD: </w:t>
            </w:r>
            <w:r w:rsidRPr="00C81B1E">
              <w:rPr>
                <w:rFonts w:eastAsia="SimSun"/>
                <w:lang w:val="en-GB" w:eastAsia="zh-CN"/>
              </w:rPr>
              <w:fldChar w:fldCharType="begin" w:fldLock="1"/>
            </w:r>
            <w:r w:rsidRPr="00C81B1E">
              <w:rPr>
                <w:rFonts w:eastAsia="SimSun"/>
                <w:lang w:val="en-GB" w:eastAsia="zh-CN"/>
              </w:rPr>
              <w:instrText>ADDIN CSL_CITATION {"citationItems":[{"id":"ITEM-1","itemData":{"DOI":"10.1007/s13399-015-0186-2","ISBN":"1339901501","ISSN":"2190-6815","author":[{"dropping-particle":"","family":"Kumar","given":"Parvendra","non-dropping-particle":"","parse-names":false,"suffix":""},{"dropping-particle":"","family":"Hussain","given":"Athar","non-dropping-particle":"","parse-names":false,"suffix":""},{"dropping-particle":"","family":"Dubey","given":"Shashi Kant","non-dropping-particle":"","parse-names":false,"suffix":""}],"container-title":"Biomass Conversion and Biorefinery","id":"ITEM-1","issue":"September","issued":{"date-parts":[["2015"]]},"page":"1-10","title":"Methane formation from food waste by anaerobic digestion","type":"article-journal"},"uris":["http://www.mendeley.com/documents/?uuid=1fdc4775-4b29-43af-a053-f1c1fda0d6cb"]}],"mendeley":{"formattedCitation":"(Kumar et al., 2015)","manualFormatting":"Kumar et al. (2015)","plainTextFormattedCitation":"(Kumar et al., 2015)","previouslyFormattedCitation":"(Kumar et al., 2015)"},"properties":{"noteIndex":0},"schema":"https://github.com/citation-style-language/schema/raw/master/csl-citation.json"}</w:instrText>
            </w:r>
            <w:r w:rsidRPr="00C81B1E">
              <w:rPr>
                <w:rFonts w:eastAsia="SimSun"/>
                <w:lang w:val="en-GB" w:eastAsia="zh-CN"/>
              </w:rPr>
              <w:fldChar w:fldCharType="separate"/>
            </w:r>
            <w:r w:rsidRPr="00C81B1E">
              <w:rPr>
                <w:rFonts w:eastAsia="SimSun"/>
                <w:noProof/>
                <w:lang w:val="en-GB" w:eastAsia="zh-CN"/>
              </w:rPr>
              <w:t>Kumar et al. (2015)</w:t>
            </w:r>
            <w:r w:rsidRPr="00C81B1E">
              <w:rPr>
                <w:rFonts w:eastAsia="SimSun"/>
                <w:lang w:val="en-GB" w:eastAsia="zh-CN"/>
              </w:rPr>
              <w:fldChar w:fldCharType="end"/>
            </w:r>
            <w:r w:rsidRPr="00C81B1E">
              <w:rPr>
                <w:rFonts w:eastAsia="SimSun"/>
                <w:lang w:val="en-GB" w:eastAsia="zh-CN"/>
              </w:rPr>
              <w:t xml:space="preserve">, C: </w:t>
            </w:r>
            <w:r w:rsidRPr="00C81B1E">
              <w:rPr>
                <w:rFonts w:eastAsia="SimSun"/>
                <w:lang w:val="en-GB" w:eastAsia="zh-CN"/>
              </w:rPr>
              <w:fldChar w:fldCharType="begin" w:fldLock="1"/>
            </w:r>
            <w:r w:rsidRPr="00C81B1E">
              <w:rPr>
                <w:rFonts w:eastAsia="SimSun"/>
                <w:lang w:val="en-GB" w:eastAsia="zh-CN"/>
              </w:rPr>
              <w:instrText>ADDIN CSL_CITATION {"citationItems":[{"id":"ITEM-1","itemData":{"DOI":"10.1016/j.wasman.2007.08.018","ISBN":"0956-053X","ISSN":"0956053X","PMID":"17920855","abstract":"The characterization of food waste (FW) and locally available bulking agents (BA) are a prerequisite to optimizing compost recipes. This study measured the variation in FW characteristics (pH, dry matter (DM), carbon (C), wet bulk density and Total Kjeldahl Nitrogen (TKN)) produced by a restaurant and a community kitchen in downtown Montreal, Canada from May to August 2004. The project also measured the mass of FW produced by another restaurant and a group of 20-48 households, from June to August 2004. Locally available BA (hay, straw, pine wood shavings, cardboard, left over cattle feed and wheat residue pellets) were also characterized to formulate composting recipes based on the FW characteristics observed during a period representative of winter and summer conditions. Residential and restaurant FW characteristics varied significantly over the summer months, although the mass produced remained constant at 0.61 and 0.56 kg capita-1 day-1, respectively. In addition, the number of customers served by the restaurant increased by nearly 50% from June to August. The BA with the highest moisture adsorption capacity was found to be the wheat residue pellets, followed by chopped straw. Wheat residue pellets, chopped hay and left over cattle feed all presented a balanced C/N ratio. Wheat residue pellets and wheat straw, chopped hay and cardboard demonstrated neutral pH values. Based on the variable FW characteristics and monthly production rates, the formulation of recipes indicates that compost facilities must be flexible enough to handle seasonal variations of as much as 50% by volume. © 2007 Elsevier Ltd. All rights reserved.","author":[{"dropping-particle":"","family":"Adhikari","given":"Bijaya K.","non-dropping-particle":"","parse-names":false,"suffix":""},{"dropping-particle":"","family":"Barrington","given":"Suzelle","non-dropping-particle":"","parse-names":false,"suffix":""},{"dropping-particle":"","family":"Martinez","given":"José","non-dropping-particle":"","parse-names":false,"suffix":""},{"dropping-particle":"","family":"King","given":"Susan","non-dropping-particle":"","parse-names":false,"suffix":""}],"container-title":"Waste Management","id":"ITEM-1","issue":"5","issued":{"date-parts":[["2008"]]},"page":"795-804","title":"Characterization of food waste and bulking agents for composting","type":"article-journal","volume":"28"},"uris":["http://www.mendeley.com/documents/?uuid=a13eed86-be44-43bd-8192-6935e47edd9a"]}],"mendeley":{"formattedCitation":"(Adhikari et al., 2008)","manualFormatting":"Adhikari et al. (2008)","plainTextFormattedCitation":"(Adhikari et al., 2008)","previouslyFormattedCitation":"(Adhikari et al., 2008)"},"properties":{"noteIndex":0},"schema":"https://github.com/citation-style-language/schema/raw/master/csl-citation.json"}</w:instrText>
            </w:r>
            <w:r w:rsidRPr="00C81B1E">
              <w:rPr>
                <w:rFonts w:eastAsia="SimSun"/>
                <w:lang w:val="en-GB" w:eastAsia="zh-CN"/>
              </w:rPr>
              <w:fldChar w:fldCharType="separate"/>
            </w:r>
            <w:r w:rsidRPr="00C81B1E">
              <w:rPr>
                <w:rFonts w:eastAsia="SimSun"/>
                <w:noProof/>
                <w:lang w:val="en-GB" w:eastAsia="zh-CN"/>
              </w:rPr>
              <w:t>Adhikari et al. (2008)</w:t>
            </w:r>
            <w:r w:rsidRPr="00C81B1E">
              <w:rPr>
                <w:rFonts w:eastAsia="SimSun"/>
                <w:lang w:val="en-GB" w:eastAsia="zh-CN"/>
              </w:rPr>
              <w:fldChar w:fldCharType="end"/>
            </w:r>
          </w:p>
        </w:tc>
      </w:tr>
      <w:tr w:rsidR="00C81B1E" w:rsidRPr="00C81B1E" w14:paraId="1ABD87B6" w14:textId="77777777" w:rsidTr="00C81B1E">
        <w:trPr>
          <w:trHeight w:val="255"/>
        </w:trPr>
        <w:tc>
          <w:tcPr>
            <w:tcW w:w="1809" w:type="dxa"/>
            <w:tcBorders>
              <w:top w:val="single" w:sz="4" w:space="0" w:color="7F7F7F"/>
              <w:bottom w:val="single" w:sz="4" w:space="0" w:color="7F7F7F"/>
            </w:tcBorders>
            <w:shd w:val="clear" w:color="auto" w:fill="auto"/>
            <w:noWrap/>
            <w:vAlign w:val="center"/>
            <w:hideMark/>
          </w:tcPr>
          <w:p w14:paraId="6564BBF9" w14:textId="77777777" w:rsidR="00C7764C" w:rsidRPr="00C81B1E" w:rsidRDefault="00C7764C" w:rsidP="00C81B1E">
            <w:pPr>
              <w:pStyle w:val="MDPI42tablebody"/>
              <w:rPr>
                <w:rFonts w:eastAsia="SimSun"/>
                <w:b/>
                <w:bCs/>
                <w:lang w:val="en-GB" w:eastAsia="zh-CN"/>
              </w:rPr>
            </w:pPr>
            <w:r w:rsidRPr="00C81B1E">
              <w:rPr>
                <w:rFonts w:eastAsia="SimSun"/>
                <w:b/>
                <w:bCs/>
                <w:lang w:val="en-GB" w:eastAsia="zh-CN"/>
              </w:rPr>
              <w:t>Total ammonia nitrogen (TAN)</w:t>
            </w:r>
          </w:p>
        </w:tc>
        <w:tc>
          <w:tcPr>
            <w:tcW w:w="1422" w:type="dxa"/>
            <w:tcBorders>
              <w:top w:val="single" w:sz="4" w:space="0" w:color="7F7F7F"/>
              <w:bottom w:val="single" w:sz="4" w:space="0" w:color="7F7F7F"/>
            </w:tcBorders>
            <w:shd w:val="clear" w:color="auto" w:fill="auto"/>
            <w:noWrap/>
            <w:vAlign w:val="center"/>
            <w:hideMark/>
          </w:tcPr>
          <w:p w14:paraId="648C3BD6" w14:textId="77777777" w:rsidR="00C7764C" w:rsidRPr="00C81B1E" w:rsidRDefault="00C7764C" w:rsidP="00C81B1E">
            <w:pPr>
              <w:pStyle w:val="MDPI42tablebody"/>
              <w:rPr>
                <w:rFonts w:eastAsia="SimSun"/>
                <w:lang w:val="en-GB" w:eastAsia="zh-CN"/>
              </w:rPr>
            </w:pPr>
            <w:r w:rsidRPr="00C81B1E">
              <w:rPr>
                <w:rFonts w:eastAsia="SimSun"/>
                <w:lang w:val="en-GB" w:eastAsia="zh-CN"/>
              </w:rPr>
              <w:t>mg/l</w:t>
            </w:r>
          </w:p>
        </w:tc>
        <w:tc>
          <w:tcPr>
            <w:tcW w:w="926" w:type="dxa"/>
            <w:tcBorders>
              <w:top w:val="single" w:sz="4" w:space="0" w:color="7F7F7F"/>
              <w:bottom w:val="single" w:sz="4" w:space="0" w:color="7F7F7F"/>
            </w:tcBorders>
            <w:shd w:val="clear" w:color="auto" w:fill="auto"/>
            <w:noWrap/>
            <w:vAlign w:val="center"/>
            <w:hideMark/>
          </w:tcPr>
          <w:p w14:paraId="72E06EA9" w14:textId="77777777" w:rsidR="00C7764C" w:rsidRPr="00C81B1E" w:rsidRDefault="00C7764C" w:rsidP="00C81B1E">
            <w:pPr>
              <w:pStyle w:val="MDPI42tablebody"/>
              <w:rPr>
                <w:rFonts w:eastAsia="SimSun"/>
                <w:lang w:val="en-GB" w:eastAsia="zh-CN"/>
              </w:rPr>
            </w:pPr>
            <w:r w:rsidRPr="00C81B1E">
              <w:rPr>
                <w:rFonts w:eastAsia="SimSun"/>
                <w:lang w:val="en-GB" w:eastAsia="zh-CN"/>
              </w:rPr>
              <w:t>AD</w:t>
            </w:r>
          </w:p>
        </w:tc>
        <w:tc>
          <w:tcPr>
            <w:tcW w:w="4915" w:type="dxa"/>
            <w:vMerge w:val="restart"/>
            <w:tcBorders>
              <w:top w:val="single" w:sz="4" w:space="0" w:color="7F7F7F"/>
              <w:bottom w:val="single" w:sz="4" w:space="0" w:color="7F7F7F"/>
            </w:tcBorders>
            <w:shd w:val="clear" w:color="auto" w:fill="auto"/>
            <w:noWrap/>
            <w:vAlign w:val="center"/>
            <w:hideMark/>
          </w:tcPr>
          <w:p w14:paraId="27023525" w14:textId="77777777" w:rsidR="00C7764C" w:rsidRPr="00C81B1E" w:rsidRDefault="00C7764C" w:rsidP="00C81B1E">
            <w:pPr>
              <w:pStyle w:val="MDPI42tablebody"/>
              <w:rPr>
                <w:rFonts w:eastAsia="SimSun"/>
                <w:lang w:val="en-GB" w:eastAsia="zh-CN"/>
              </w:rPr>
            </w:pPr>
            <w:r w:rsidRPr="00C81B1E">
              <w:rPr>
                <w:rFonts w:eastAsia="SimSun"/>
                <w:lang w:val="en-GB" w:eastAsia="zh-CN"/>
              </w:rPr>
              <w:fldChar w:fldCharType="begin" w:fldLock="1"/>
            </w:r>
            <w:r w:rsidRPr="00C81B1E">
              <w:rPr>
                <w:rFonts w:eastAsia="SimSun"/>
                <w:lang w:val="en-GB" w:eastAsia="zh-CN"/>
              </w:rPr>
              <w:instrText>ADDIN CSL_CITATION {"citationItems":[{"id":"ITEM-1","itemData":{"DOI":"10.1016/j.wasman.2016.01.041","ISBN":"0956-053X","ISSN":"18792456","PMID":"26868845","abstract":"In order to determine the variability of food waste (FW) characteristics and the influence of these variable values on the anaerobic digestion (AD) process, FW characteristics from 70 papers were compiled and analysed statistically. Results indicated that FW characteristics values are effectively very variable and that 24% of these variations may be explained by the geographical origin, the type of collection source and the season of the collection. Considering the whole range of values for physicochemical characteristics (especially volatile solids (VS), chemical oxygen demand (COD) and biomethane potential (BMP)), FW show good potential for AD treatment. However, the high carbohydrates contents (36.4%VS) and the low pH (5.1) might cause inhibitions by the rapid acidification of the digesters. As regards the variation of FW characteristics, FW categories were proposed. Moreover, the adequacy of FW characteristics with AD treatment was discussed. Four FW categories were identified with critical characteristics values for AD performance: (1) the high dry matter (DM) and total ammonia nitrogen (TAN) content of FW collected with green waste, (2) the high cellulose (CEL) content of FW from the organic fraction of municipal solid waste, (3) the low carbon-to-nitrogen (C/N) ratio of FW collected during summer, (4) the high value of TAN and Na of FW from Asia. For these cases, an aerobic pre-treatment or a corrective treatment seems to be advised to avoid instabilities along the digestion. Finally, the results of this review-paper provide a data basis of values for FW characteristics that could be used for AD process design and environmental assessment.","author":[{"dropping-particle":"","family":"Fisgativa","given":"Henry","non-dropping-particle":"","parse-names":false,"suffix":""},{"dropping-particle":"","family":"Tremier","given":"Anne","non-dropping-particle":"","parse-names":false,"suffix":""},{"dropping-particle":"","family":"Dabert","given":"Patrick","non-dropping-particle":"","parse-names":false,"suffix":""}],"container-title":"Waste Management","id":"ITEM-1","issued":{"date-parts":[["2016"]]},"page":"264-274","publisher":"Elsevier Ltd","title":"Characterizing the variability of food waste quality: A need for efficient valorisation through anaerobic digestion","type":"article-journal","volume":"50"},"uris":["http://www.mendeley.com/documents/?uuid=eddf645d-7bb2-494e-9a3b-d738938181e5"]}],"mendeley":{"formattedCitation":"(Fisgativa et al., 2016)","manualFormatting":"Fisgativa et al. (2015)","plainTextFormattedCitation":"(Fisgativa et al., 2016)","previouslyFormattedCitation":"(Fisgativa et al., 2016)"},"properties":{"noteIndex":0},"schema":"https://github.com/citation-style-language/schema/raw/master/csl-citation.json"}</w:instrText>
            </w:r>
            <w:r w:rsidRPr="00C81B1E">
              <w:rPr>
                <w:rFonts w:eastAsia="SimSun"/>
                <w:lang w:val="en-GB" w:eastAsia="zh-CN"/>
              </w:rPr>
              <w:fldChar w:fldCharType="separate"/>
            </w:r>
            <w:r w:rsidRPr="00C81B1E">
              <w:rPr>
                <w:rFonts w:eastAsia="SimSun"/>
                <w:noProof/>
                <w:lang w:val="en-GB" w:eastAsia="zh-CN"/>
              </w:rPr>
              <w:t>Fisgativa et al. (2015)</w:t>
            </w:r>
            <w:r w:rsidRPr="00C81B1E">
              <w:rPr>
                <w:rFonts w:eastAsia="SimSun"/>
                <w:lang w:val="en-GB" w:eastAsia="zh-CN"/>
              </w:rPr>
              <w:fldChar w:fldCharType="end"/>
            </w:r>
          </w:p>
        </w:tc>
      </w:tr>
      <w:tr w:rsidR="00C81B1E" w:rsidRPr="00C81B1E" w14:paraId="3D478DB9" w14:textId="77777777" w:rsidTr="00C81B1E">
        <w:trPr>
          <w:trHeight w:val="255"/>
        </w:trPr>
        <w:tc>
          <w:tcPr>
            <w:tcW w:w="1809" w:type="dxa"/>
            <w:shd w:val="clear" w:color="auto" w:fill="auto"/>
            <w:noWrap/>
            <w:vAlign w:val="center"/>
            <w:hideMark/>
          </w:tcPr>
          <w:p w14:paraId="740C1E97" w14:textId="77777777" w:rsidR="00C7764C" w:rsidRPr="00C81B1E" w:rsidRDefault="00C7764C" w:rsidP="00C81B1E">
            <w:pPr>
              <w:pStyle w:val="MDPI42tablebody"/>
              <w:rPr>
                <w:rFonts w:eastAsia="SimSun"/>
                <w:b/>
                <w:bCs/>
                <w:lang w:val="en-GB" w:eastAsia="zh-CN"/>
              </w:rPr>
            </w:pPr>
            <w:r w:rsidRPr="00C81B1E">
              <w:rPr>
                <w:rFonts w:eastAsia="SimSun"/>
                <w:b/>
                <w:bCs/>
                <w:lang w:val="en-GB" w:eastAsia="zh-CN"/>
              </w:rPr>
              <w:t>Chemical oxygen demand (COD)</w:t>
            </w:r>
          </w:p>
        </w:tc>
        <w:tc>
          <w:tcPr>
            <w:tcW w:w="1422" w:type="dxa"/>
            <w:shd w:val="clear" w:color="auto" w:fill="auto"/>
            <w:noWrap/>
            <w:vAlign w:val="center"/>
            <w:hideMark/>
          </w:tcPr>
          <w:p w14:paraId="0FFE8005" w14:textId="77777777" w:rsidR="00C7764C" w:rsidRPr="00C81B1E" w:rsidRDefault="00C7764C" w:rsidP="00C81B1E">
            <w:pPr>
              <w:pStyle w:val="MDPI42tablebody"/>
              <w:rPr>
                <w:rFonts w:eastAsia="SimSun"/>
                <w:lang w:val="en-GB" w:eastAsia="zh-CN"/>
              </w:rPr>
            </w:pPr>
            <w:r w:rsidRPr="00C81B1E">
              <w:rPr>
                <w:rFonts w:eastAsia="SimSun"/>
                <w:lang w:val="en-GB" w:eastAsia="zh-CN"/>
              </w:rPr>
              <w:t>mg/l</w:t>
            </w:r>
          </w:p>
        </w:tc>
        <w:tc>
          <w:tcPr>
            <w:tcW w:w="926" w:type="dxa"/>
            <w:shd w:val="clear" w:color="auto" w:fill="auto"/>
            <w:noWrap/>
            <w:vAlign w:val="center"/>
            <w:hideMark/>
          </w:tcPr>
          <w:p w14:paraId="3181E85B" w14:textId="77777777" w:rsidR="00C7764C" w:rsidRPr="00C81B1E" w:rsidRDefault="00C7764C" w:rsidP="00C81B1E">
            <w:pPr>
              <w:pStyle w:val="MDPI42tablebody"/>
              <w:rPr>
                <w:rFonts w:eastAsia="SimSun"/>
                <w:lang w:val="en-GB" w:eastAsia="zh-CN"/>
              </w:rPr>
            </w:pPr>
            <w:r w:rsidRPr="00C81B1E">
              <w:rPr>
                <w:rFonts w:eastAsia="SimSun"/>
                <w:lang w:val="en-GB" w:eastAsia="zh-CN"/>
              </w:rPr>
              <w:t>AD</w:t>
            </w:r>
          </w:p>
        </w:tc>
        <w:tc>
          <w:tcPr>
            <w:tcW w:w="4915" w:type="dxa"/>
            <w:vMerge/>
            <w:shd w:val="clear" w:color="auto" w:fill="auto"/>
            <w:noWrap/>
            <w:vAlign w:val="center"/>
            <w:hideMark/>
          </w:tcPr>
          <w:p w14:paraId="5FBBA8CC" w14:textId="77777777" w:rsidR="00C7764C" w:rsidRPr="00C81B1E" w:rsidRDefault="00C7764C" w:rsidP="00C81B1E">
            <w:pPr>
              <w:pStyle w:val="MDPI42tablebody"/>
              <w:rPr>
                <w:rFonts w:eastAsia="SimSun"/>
                <w:lang w:val="en-GB" w:eastAsia="zh-CN"/>
              </w:rPr>
            </w:pPr>
          </w:p>
        </w:tc>
      </w:tr>
      <w:tr w:rsidR="00C81B1E" w:rsidRPr="00C81B1E" w14:paraId="4B8312AD" w14:textId="77777777" w:rsidTr="00C81B1E">
        <w:trPr>
          <w:trHeight w:val="255"/>
        </w:trPr>
        <w:tc>
          <w:tcPr>
            <w:tcW w:w="1809" w:type="dxa"/>
            <w:tcBorders>
              <w:top w:val="single" w:sz="4" w:space="0" w:color="7F7F7F"/>
              <w:bottom w:val="single" w:sz="4" w:space="0" w:color="7F7F7F"/>
            </w:tcBorders>
            <w:shd w:val="clear" w:color="auto" w:fill="auto"/>
            <w:noWrap/>
            <w:vAlign w:val="center"/>
            <w:hideMark/>
          </w:tcPr>
          <w:p w14:paraId="7D14D675" w14:textId="77777777" w:rsidR="00C7764C" w:rsidRPr="00C81B1E" w:rsidRDefault="00C7764C" w:rsidP="00C81B1E">
            <w:pPr>
              <w:pStyle w:val="MDPI42tablebody"/>
              <w:rPr>
                <w:rFonts w:eastAsia="SimSun"/>
                <w:b/>
                <w:bCs/>
                <w:lang w:val="en-GB" w:eastAsia="zh-CN"/>
              </w:rPr>
            </w:pPr>
            <w:proofErr w:type="gramStart"/>
            <w:r w:rsidRPr="00C81B1E">
              <w:rPr>
                <w:rFonts w:eastAsia="SimSun"/>
                <w:b/>
                <w:bCs/>
                <w:lang w:val="en-GB" w:eastAsia="zh-CN"/>
              </w:rPr>
              <w:t>C:H:O:N:P:S</w:t>
            </w:r>
            <w:proofErr w:type="gramEnd"/>
            <w:r w:rsidRPr="00C81B1E">
              <w:rPr>
                <w:rFonts w:eastAsia="SimSun"/>
                <w:b/>
                <w:bCs/>
                <w:lang w:val="en-GB" w:eastAsia="zh-CN"/>
              </w:rPr>
              <w:t xml:space="preserve"> ratio</w:t>
            </w:r>
          </w:p>
        </w:tc>
        <w:tc>
          <w:tcPr>
            <w:tcW w:w="1422" w:type="dxa"/>
            <w:tcBorders>
              <w:top w:val="single" w:sz="4" w:space="0" w:color="7F7F7F"/>
              <w:bottom w:val="single" w:sz="4" w:space="0" w:color="7F7F7F"/>
            </w:tcBorders>
            <w:shd w:val="clear" w:color="auto" w:fill="auto"/>
            <w:noWrap/>
            <w:vAlign w:val="center"/>
            <w:hideMark/>
          </w:tcPr>
          <w:p w14:paraId="2374480F" w14:textId="77777777" w:rsidR="00C7764C" w:rsidRPr="00C81B1E" w:rsidRDefault="00C7764C" w:rsidP="00C81B1E">
            <w:pPr>
              <w:pStyle w:val="MDPI42tablebody"/>
              <w:rPr>
                <w:rFonts w:eastAsia="SimSun"/>
                <w:lang w:val="en-GB" w:eastAsia="zh-CN"/>
              </w:rPr>
            </w:pPr>
            <w:proofErr w:type="gramStart"/>
            <w:r w:rsidRPr="00C81B1E">
              <w:rPr>
                <w:rFonts w:eastAsia="SimSun"/>
                <w:lang w:val="en-GB" w:eastAsia="zh-CN"/>
              </w:rPr>
              <w:t>C:H:O:N:P:S</w:t>
            </w:r>
            <w:proofErr w:type="gramEnd"/>
            <w:r w:rsidRPr="00C81B1E">
              <w:rPr>
                <w:rFonts w:eastAsia="SimSun"/>
                <w:lang w:val="en-GB" w:eastAsia="zh-CN"/>
              </w:rPr>
              <w:t xml:space="preserve"> mass</w:t>
            </w:r>
          </w:p>
        </w:tc>
        <w:tc>
          <w:tcPr>
            <w:tcW w:w="926" w:type="dxa"/>
            <w:tcBorders>
              <w:top w:val="single" w:sz="4" w:space="0" w:color="7F7F7F"/>
              <w:bottom w:val="single" w:sz="4" w:space="0" w:color="7F7F7F"/>
            </w:tcBorders>
            <w:shd w:val="clear" w:color="auto" w:fill="auto"/>
            <w:noWrap/>
            <w:vAlign w:val="center"/>
            <w:hideMark/>
          </w:tcPr>
          <w:p w14:paraId="3EFD1D2C" w14:textId="77777777" w:rsidR="00C7764C" w:rsidRPr="00C81B1E" w:rsidRDefault="00C7764C" w:rsidP="00C81B1E">
            <w:pPr>
              <w:pStyle w:val="MDPI42tablebody"/>
              <w:rPr>
                <w:rFonts w:eastAsia="SimSun"/>
                <w:lang w:val="en-GB" w:eastAsia="zh-CN"/>
              </w:rPr>
            </w:pPr>
            <w:r w:rsidRPr="00C81B1E">
              <w:rPr>
                <w:rFonts w:eastAsia="SimSun"/>
                <w:lang w:val="en-GB" w:eastAsia="zh-CN"/>
              </w:rPr>
              <w:t>AD</w:t>
            </w:r>
          </w:p>
        </w:tc>
        <w:tc>
          <w:tcPr>
            <w:tcW w:w="4915" w:type="dxa"/>
            <w:tcBorders>
              <w:top w:val="single" w:sz="4" w:space="0" w:color="7F7F7F"/>
              <w:bottom w:val="single" w:sz="4" w:space="0" w:color="7F7F7F"/>
            </w:tcBorders>
            <w:shd w:val="clear" w:color="auto" w:fill="auto"/>
            <w:noWrap/>
            <w:vAlign w:val="center"/>
            <w:hideMark/>
          </w:tcPr>
          <w:p w14:paraId="0F5503E5" w14:textId="77777777" w:rsidR="00C7764C" w:rsidRPr="00C81B1E" w:rsidRDefault="00C7764C" w:rsidP="00C81B1E">
            <w:pPr>
              <w:pStyle w:val="MDPI42tablebody"/>
              <w:rPr>
                <w:rFonts w:eastAsia="SimSun"/>
                <w:lang w:val="en-GB" w:eastAsia="zh-CN"/>
              </w:rPr>
            </w:pPr>
            <w:r w:rsidRPr="00C81B1E">
              <w:rPr>
                <w:rFonts w:eastAsia="SimSun"/>
                <w:lang w:val="en-GB" w:eastAsia="zh-CN"/>
              </w:rPr>
              <w:fldChar w:fldCharType="begin" w:fldLock="1"/>
            </w:r>
            <w:r w:rsidRPr="00C81B1E">
              <w:rPr>
                <w:rFonts w:eastAsia="SimSun"/>
                <w:lang w:val="en-GB" w:eastAsia="zh-CN"/>
              </w:rPr>
              <w:instrText>ADDIN CSL_CITATION {"citationItems":[{"id":"ITEM-1","itemData":{"DOI":"10.1080/09593330.2016.1155654","ISSN":"0959-3330","PMID":"26895466","abstract":"The agro-food industry (including livestock) generates millions of tonnes of waste products. A solution to this sector's waste disposal challenges was explored by a joint treatment model of organic waste products from several industries. An inventory of agro-food industry organic waste streams with high potential for biogas production was carried out in a logistically viable area (Cider Region, Asturias, Spain). Three industries were selected as those with the higher potential for this study: livestock, dairy and beverage. The kinetics of anaerobic degradation and methane production of four mixtures of selected waste streams were investigated. The specific methane production at five different substrate-to-inoculum ratios (0.50, 0.75, 1.00, 1.50 and 2.00) showed a slightly decreasing trend at the higher ratios. Some hints of a synergistic effect have been observed in mixtures with higher content in milled apple waste, while antagonistic symptoms were noted in mixtures mainly composed of dairy wastes. The estimation of fluxes of waste and methane potentials in the Cider Region suggests centralised anaerobic digestion as a sustainable solution for the valorisation of livestock and agro-food wastes generated in this area. Sector-specific waste streams (livestock and agro-food industry) could cover up to 12% of regional total energy demand.","author":[{"dropping-particle":"","family":"Hidalgo","given":"Dolores","non-dropping-particle":"","parse-names":false,"suffix":""},{"dropping-particle":"","family":"Martín-Marroquín","given":"Jesús M","non-dropping-particle":"","parse-names":false,"suffix":""},{"dropping-particle":"","family":"Nieto","given":"Pedro","non-dropping-particle":"","parse-names":false,"suffix":""}],"container-title":"Environmental Technology","id":"ITEM-1","issued":{"date-parts":[["2016"]]},"page":"1-9","title":"Anaerobic co-digestion of agro-food waste mixtures in a fed-batch basis","type":"article-journal"},"uris":["http://www.mendeley.com/documents/?uuid=187cbfa6-bf3b-475d-92f9-19226e5084bb"]}],"mendeley":{"formattedCitation":"(Hidalgo et al., 2016)","manualFormatting":"Hidalgo et al. (2016)","plainTextFormattedCitation":"(Hidalgo et al., 2016)","previouslyFormattedCitation":"(Hidalgo et al., 2016)"},"properties":{"noteIndex":0},"schema":"https://github.com/citation-style-language/schema/raw/master/csl-citation.json"}</w:instrText>
            </w:r>
            <w:r w:rsidRPr="00C81B1E">
              <w:rPr>
                <w:rFonts w:eastAsia="SimSun"/>
                <w:lang w:val="en-GB" w:eastAsia="zh-CN"/>
              </w:rPr>
              <w:fldChar w:fldCharType="separate"/>
            </w:r>
            <w:r w:rsidRPr="00C81B1E">
              <w:rPr>
                <w:rFonts w:eastAsia="SimSun"/>
                <w:noProof/>
                <w:lang w:val="en-GB" w:eastAsia="zh-CN"/>
              </w:rPr>
              <w:t>Hidalgo et al. (2016)</w:t>
            </w:r>
            <w:r w:rsidRPr="00C81B1E">
              <w:rPr>
                <w:rFonts w:eastAsia="SimSun"/>
                <w:lang w:val="en-GB" w:eastAsia="zh-CN"/>
              </w:rPr>
              <w:fldChar w:fldCharType="end"/>
            </w:r>
          </w:p>
        </w:tc>
      </w:tr>
      <w:tr w:rsidR="00C81B1E" w:rsidRPr="00C81B1E" w14:paraId="459F336E" w14:textId="77777777" w:rsidTr="00C81B1E">
        <w:trPr>
          <w:trHeight w:val="255"/>
        </w:trPr>
        <w:tc>
          <w:tcPr>
            <w:tcW w:w="1809" w:type="dxa"/>
            <w:shd w:val="clear" w:color="auto" w:fill="auto"/>
            <w:noWrap/>
            <w:vAlign w:val="center"/>
            <w:hideMark/>
          </w:tcPr>
          <w:p w14:paraId="7E70504F" w14:textId="77777777" w:rsidR="00C7764C" w:rsidRPr="00C81B1E" w:rsidRDefault="00C7764C" w:rsidP="00C81B1E">
            <w:pPr>
              <w:pStyle w:val="MDPI42tablebody"/>
              <w:rPr>
                <w:rFonts w:eastAsia="SimSun"/>
                <w:b/>
                <w:bCs/>
                <w:lang w:val="en-GB" w:eastAsia="zh-CN"/>
              </w:rPr>
            </w:pPr>
            <w:proofErr w:type="gramStart"/>
            <w:r w:rsidRPr="00C81B1E">
              <w:rPr>
                <w:rFonts w:eastAsia="SimSun"/>
                <w:b/>
                <w:bCs/>
                <w:lang w:val="en-GB" w:eastAsia="zh-CN"/>
              </w:rPr>
              <w:t>C:H:O:N:S</w:t>
            </w:r>
            <w:proofErr w:type="gramEnd"/>
            <w:r w:rsidRPr="00C81B1E">
              <w:rPr>
                <w:rFonts w:eastAsia="SimSun"/>
                <w:b/>
                <w:bCs/>
                <w:lang w:val="en-GB" w:eastAsia="zh-CN"/>
              </w:rPr>
              <w:t>:Cl ratio</w:t>
            </w:r>
          </w:p>
        </w:tc>
        <w:tc>
          <w:tcPr>
            <w:tcW w:w="1422" w:type="dxa"/>
            <w:shd w:val="clear" w:color="auto" w:fill="auto"/>
            <w:noWrap/>
            <w:vAlign w:val="center"/>
            <w:hideMark/>
          </w:tcPr>
          <w:p w14:paraId="35C5E242" w14:textId="77777777" w:rsidR="00C7764C" w:rsidRPr="00C81B1E" w:rsidRDefault="00C7764C" w:rsidP="00C81B1E">
            <w:pPr>
              <w:pStyle w:val="MDPI42tablebody"/>
              <w:rPr>
                <w:rFonts w:eastAsia="SimSun"/>
                <w:lang w:val="en-GB" w:eastAsia="zh-CN"/>
              </w:rPr>
            </w:pPr>
            <w:proofErr w:type="gramStart"/>
            <w:r w:rsidRPr="00C81B1E">
              <w:rPr>
                <w:rFonts w:eastAsia="SimSun"/>
                <w:lang w:val="en-GB" w:eastAsia="zh-CN"/>
              </w:rPr>
              <w:t>C:H:O:N:S</w:t>
            </w:r>
            <w:proofErr w:type="gramEnd"/>
            <w:r w:rsidRPr="00C81B1E">
              <w:rPr>
                <w:rFonts w:eastAsia="SimSun"/>
                <w:lang w:val="en-GB" w:eastAsia="zh-CN"/>
              </w:rPr>
              <w:t>:Cl mass</w:t>
            </w:r>
          </w:p>
        </w:tc>
        <w:tc>
          <w:tcPr>
            <w:tcW w:w="926" w:type="dxa"/>
            <w:shd w:val="clear" w:color="auto" w:fill="auto"/>
            <w:noWrap/>
            <w:vAlign w:val="center"/>
            <w:hideMark/>
          </w:tcPr>
          <w:p w14:paraId="0385C5B0" w14:textId="77777777" w:rsidR="00C7764C" w:rsidRPr="00C81B1E" w:rsidRDefault="00C7764C" w:rsidP="00C81B1E">
            <w:pPr>
              <w:pStyle w:val="MDPI42tablebody"/>
              <w:rPr>
                <w:rFonts w:eastAsia="SimSun"/>
                <w:lang w:val="en-GB" w:eastAsia="zh-CN"/>
              </w:rPr>
            </w:pPr>
            <w:r w:rsidRPr="00C81B1E">
              <w:rPr>
                <w:rFonts w:eastAsia="SimSun"/>
                <w:lang w:val="en-GB" w:eastAsia="zh-CN"/>
              </w:rPr>
              <w:t>TT</w:t>
            </w:r>
          </w:p>
        </w:tc>
        <w:tc>
          <w:tcPr>
            <w:tcW w:w="4915" w:type="dxa"/>
            <w:shd w:val="clear" w:color="auto" w:fill="auto"/>
            <w:noWrap/>
            <w:vAlign w:val="center"/>
            <w:hideMark/>
          </w:tcPr>
          <w:p w14:paraId="3DFD9DE5" w14:textId="77777777" w:rsidR="00C7764C" w:rsidRPr="00C81B1E" w:rsidRDefault="00C7764C" w:rsidP="00C81B1E">
            <w:pPr>
              <w:pStyle w:val="MDPI42tablebody"/>
              <w:rPr>
                <w:rFonts w:eastAsia="SimSun"/>
                <w:lang w:val="en-GB" w:eastAsia="zh-CN"/>
              </w:rPr>
            </w:pPr>
            <w:r w:rsidRPr="00C81B1E">
              <w:rPr>
                <w:rFonts w:eastAsia="SimSun"/>
                <w:lang w:val="en-GB" w:eastAsia="zh-CN"/>
              </w:rPr>
              <w:fldChar w:fldCharType="begin" w:fldLock="1"/>
            </w:r>
            <w:r w:rsidRPr="00C81B1E">
              <w:rPr>
                <w:rFonts w:eastAsia="SimSun"/>
                <w:lang w:val="en-GB" w:eastAsia="zh-CN"/>
              </w:rPr>
              <w:instrText>ADDIN CSL_CITATION {"citationItems":[{"id":"ITEM-1","itemData":{"DOI":"10.1016/j.enconman.2009.12.025","ISBN":"0196-8904","ISSN":"01968904","abstract":"Energy recovery from food waste was studied using the food service at the US Naval Academy as a case study. Post-consumer food waste was captured over a period of ten days to estimate individual waste per meal and total waste per month. The food waste was analyzed for chemical composition and water content using ultimate and proximate analysis, and for energy content, and compared with the same analyses of wood (a more typical biomass fuel). Three different samples of food waste showed relative uniformity of properties despite being sampled on different days, with different menus. Food waste had lower oxygen content, higher nitrogen and ash content, and higher energy content than wood. The food waste in this study had approximately 70% water content. Temperatures and emissions from combustion of wood pellets, dried pelletized food waste, and dried non-pelletized food waste were measured and compared using a modified residential pellet stove. Temperatures were higher for food waste due to the higher energy content. Emissions of NO, HC, and soot were slightly higher for food waste. Despite the large water content, thermodynamic analysis showed that regenerative dehydration, in which waste energy from the combustion system is used to remove water from the incoming wet fuel, is possible. An excess enthalpy ratio is defined to formalize the comparison of waste sensible enthalpy with the energy required for dehydration. Analysis of fuel-lean combustion and fuel-rich gasification shows that little, if any, external energy would necessarily be required to remove the water from the incoming fuel. An equilibrium model was used to simulate waste food gasification by extending the simulation to high water content levels. Probable ranges for successful food waste gasification are identified. Energy recovery of waste food could result in cost savings by offsetting traditional fuel-use (e.g. natural gas for heating) and by reducing disposal costs.","author":[{"dropping-particle":"","family":"Caton","given":"P. a.","non-dropping-particle":"","parse-names":false,"suffix":""},{"dropping-particle":"","family":"Carr","given":"M. a.","non-dropping-particle":"","parse-names":false,"suffix":""},{"dropping-particle":"","family":"Kim","given":"S. S.","non-dropping-particle":"","parse-names":false,"suffix":""},{"dropping-particle":"","family":"Beautyman","given":"M. J.","non-dropping-particle":"","parse-names":false,"suffix":""}],"container-title":"Energy Conversion and Management","id":"ITEM-1","issue":"6","issued":{"date-parts":[["2010"]]},"page":"1157-1169","publisher":"Elsevier Ltd","title":"Energy recovery from waste food by combustion or gasification with the potential for regenerative dehydration: A case study","type":"article-journal","volume":"51"},"uris":["http://www.mendeley.com/documents/?uuid=4e1869b1-94de-4948-9bd3-b0a18b67b3b4"]}],"mendeley":{"formattedCitation":"(Caton et al., 2010)","manualFormatting":"Caton et al. (2010)","plainTextFormattedCitation":"(Caton et al., 2010)","previouslyFormattedCitation":"(Caton et al., 2010)"},"properties":{"noteIndex":0},"schema":"https://github.com/citation-style-language/schema/raw/master/csl-citation.json"}</w:instrText>
            </w:r>
            <w:r w:rsidRPr="00C81B1E">
              <w:rPr>
                <w:rFonts w:eastAsia="SimSun"/>
                <w:lang w:val="en-GB" w:eastAsia="zh-CN"/>
              </w:rPr>
              <w:fldChar w:fldCharType="separate"/>
            </w:r>
            <w:r w:rsidRPr="00C81B1E">
              <w:rPr>
                <w:rFonts w:eastAsia="SimSun"/>
                <w:noProof/>
                <w:lang w:val="en-GB" w:eastAsia="zh-CN"/>
              </w:rPr>
              <w:t>Caton et al. (2010)</w:t>
            </w:r>
            <w:r w:rsidRPr="00C81B1E">
              <w:rPr>
                <w:rFonts w:eastAsia="SimSun"/>
                <w:lang w:val="en-GB" w:eastAsia="zh-CN"/>
              </w:rPr>
              <w:fldChar w:fldCharType="end"/>
            </w:r>
          </w:p>
        </w:tc>
      </w:tr>
      <w:tr w:rsidR="00C81B1E" w:rsidRPr="00C81B1E" w14:paraId="5E32E928" w14:textId="77777777" w:rsidTr="00C81B1E">
        <w:trPr>
          <w:trHeight w:val="255"/>
        </w:trPr>
        <w:tc>
          <w:tcPr>
            <w:tcW w:w="1809" w:type="dxa"/>
            <w:tcBorders>
              <w:top w:val="single" w:sz="4" w:space="0" w:color="7F7F7F"/>
              <w:bottom w:val="single" w:sz="4" w:space="0" w:color="7F7F7F"/>
            </w:tcBorders>
            <w:shd w:val="clear" w:color="auto" w:fill="auto"/>
            <w:noWrap/>
            <w:vAlign w:val="center"/>
            <w:hideMark/>
          </w:tcPr>
          <w:p w14:paraId="0784E99E" w14:textId="77777777" w:rsidR="00C7764C" w:rsidRPr="00C81B1E" w:rsidRDefault="00C7764C" w:rsidP="00C81B1E">
            <w:pPr>
              <w:pStyle w:val="MDPI42tablebody"/>
              <w:rPr>
                <w:rFonts w:eastAsia="SimSun"/>
                <w:b/>
                <w:bCs/>
                <w:lang w:val="en-GB" w:eastAsia="zh-CN"/>
              </w:rPr>
            </w:pPr>
            <w:r w:rsidRPr="00C81B1E">
              <w:rPr>
                <w:rFonts w:eastAsia="SimSun"/>
                <w:b/>
                <w:bCs/>
                <w:lang w:val="en-GB" w:eastAsia="zh-CN"/>
              </w:rPr>
              <w:t>C:N ratio</w:t>
            </w:r>
          </w:p>
        </w:tc>
        <w:tc>
          <w:tcPr>
            <w:tcW w:w="1422" w:type="dxa"/>
            <w:tcBorders>
              <w:top w:val="single" w:sz="4" w:space="0" w:color="7F7F7F"/>
              <w:bottom w:val="single" w:sz="4" w:space="0" w:color="7F7F7F"/>
            </w:tcBorders>
            <w:shd w:val="clear" w:color="auto" w:fill="auto"/>
            <w:noWrap/>
            <w:vAlign w:val="center"/>
            <w:hideMark/>
          </w:tcPr>
          <w:p w14:paraId="11030008" w14:textId="77777777" w:rsidR="00C7764C" w:rsidRPr="00C81B1E" w:rsidRDefault="00C7764C" w:rsidP="00C81B1E">
            <w:pPr>
              <w:pStyle w:val="MDPI42tablebody"/>
              <w:rPr>
                <w:rFonts w:eastAsia="SimSun"/>
                <w:lang w:val="en-GB" w:eastAsia="zh-CN"/>
              </w:rPr>
            </w:pPr>
            <w:proofErr w:type="gramStart"/>
            <w:r w:rsidRPr="00C81B1E">
              <w:rPr>
                <w:rFonts w:eastAsia="SimSun"/>
                <w:lang w:val="en-GB" w:eastAsia="zh-CN"/>
              </w:rPr>
              <w:t>C:N</w:t>
            </w:r>
            <w:proofErr w:type="gramEnd"/>
            <w:r w:rsidRPr="00C81B1E">
              <w:rPr>
                <w:rFonts w:eastAsia="SimSun"/>
                <w:lang w:val="en-GB" w:eastAsia="zh-CN"/>
              </w:rPr>
              <w:t xml:space="preserve"> mass</w:t>
            </w:r>
          </w:p>
        </w:tc>
        <w:tc>
          <w:tcPr>
            <w:tcW w:w="926" w:type="dxa"/>
            <w:tcBorders>
              <w:top w:val="single" w:sz="4" w:space="0" w:color="7F7F7F"/>
              <w:bottom w:val="single" w:sz="4" w:space="0" w:color="7F7F7F"/>
            </w:tcBorders>
            <w:shd w:val="clear" w:color="auto" w:fill="auto"/>
            <w:noWrap/>
            <w:vAlign w:val="center"/>
            <w:hideMark/>
          </w:tcPr>
          <w:p w14:paraId="3B24FE23" w14:textId="77777777" w:rsidR="00C7764C" w:rsidRPr="00C81B1E" w:rsidRDefault="00C7764C" w:rsidP="00C81B1E">
            <w:pPr>
              <w:pStyle w:val="MDPI42tablebody"/>
              <w:rPr>
                <w:rFonts w:eastAsia="SimSun"/>
                <w:lang w:val="en-GB" w:eastAsia="zh-CN"/>
              </w:rPr>
            </w:pPr>
            <w:r w:rsidRPr="00C81B1E">
              <w:rPr>
                <w:rFonts w:eastAsia="SimSun"/>
                <w:lang w:val="en-GB" w:eastAsia="zh-CN"/>
              </w:rPr>
              <w:t>C</w:t>
            </w:r>
          </w:p>
        </w:tc>
        <w:tc>
          <w:tcPr>
            <w:tcW w:w="4915" w:type="dxa"/>
            <w:tcBorders>
              <w:top w:val="single" w:sz="4" w:space="0" w:color="7F7F7F"/>
              <w:bottom w:val="single" w:sz="4" w:space="0" w:color="7F7F7F"/>
            </w:tcBorders>
            <w:shd w:val="clear" w:color="auto" w:fill="auto"/>
            <w:noWrap/>
            <w:vAlign w:val="center"/>
            <w:hideMark/>
          </w:tcPr>
          <w:p w14:paraId="15364648" w14:textId="77777777" w:rsidR="00C7764C" w:rsidRPr="00C81B1E" w:rsidRDefault="00C7764C" w:rsidP="00C81B1E">
            <w:pPr>
              <w:pStyle w:val="MDPI42tablebody"/>
              <w:rPr>
                <w:rFonts w:eastAsia="SimSun"/>
                <w:lang w:val="en-GB" w:eastAsia="zh-CN"/>
              </w:rPr>
            </w:pPr>
            <w:r w:rsidRPr="00C81B1E">
              <w:rPr>
                <w:rFonts w:eastAsia="SimSun"/>
                <w:lang w:val="en-GB" w:eastAsia="zh-CN"/>
              </w:rPr>
              <w:fldChar w:fldCharType="begin" w:fldLock="1"/>
            </w:r>
            <w:r w:rsidRPr="00C81B1E">
              <w:rPr>
                <w:rFonts w:eastAsia="SimSun"/>
                <w:lang w:val="en-GB" w:eastAsia="zh-CN"/>
              </w:rPr>
              <w:instrText>ADDIN CSL_CITATION {"citationItems":[{"id":"ITEM-1","itemData":{"DOI":"10.1016/j.biortech.2010.02.042","ISBN":"0960-8524","ISSN":"09608524","PMID":"20385493","abstract":"The effects of rice husk, sawdust and rice bran on the composting process of food waste were studied in a 180-L laboratory composter based on a mixture experimental design. Linear and quadratic models of seven important process characteristics (composting and acidification times, lowest and final pH values, highest temperature, the water-soluble organic carbon to water-soluble organic nitrogen (COW/NOW ratio), and the water-soluble organic carbon to total organic nitrogen (COW/NOT) ratio) in terms of fractional compositions of bulking agents as well as the water absorption capacity and the free air space of the composting matrix were developed. ?? 2010.","author":[{"dropping-particle":"","family":"Chang","given":"James I.","non-dropping-particle":"","parse-names":false,"suffix":""},{"dropping-particle":"","family":"Chen","given":"Y. J.","non-dropping-particle":"","parse-names":false,"suffix":""}],"container-title":"Bioresource Technology","id":"ITEM-1","issue":"15","issued":{"date-parts":[["2010"]]},"page":"5917-5924","publisher":"Elsevier Ltd","title":"Effects of bulking agents on food waste composting","type":"article-journal","volume":"101"},"uris":["http://www.mendeley.com/documents/?uuid=6bf36be4-46ee-47b8-b16f-1835d5618acf"]}],"mendeley":{"formattedCitation":"(Chang and Chen, 2010)","manualFormatting":"Chang &amp; Chen (2010)","plainTextFormattedCitation":"(Chang and Chen, 2010)","previouslyFormattedCitation":"(Chang and Chen, 2010)"},"properties":{"noteIndex":0},"schema":"https://github.com/citation-style-language/schema/raw/master/csl-citation.json"}</w:instrText>
            </w:r>
            <w:r w:rsidRPr="00C81B1E">
              <w:rPr>
                <w:rFonts w:eastAsia="SimSun"/>
                <w:lang w:val="en-GB" w:eastAsia="zh-CN"/>
              </w:rPr>
              <w:fldChar w:fldCharType="separate"/>
            </w:r>
            <w:r w:rsidRPr="00C81B1E">
              <w:rPr>
                <w:rFonts w:eastAsia="SimSun"/>
                <w:noProof/>
                <w:lang w:val="en-GB" w:eastAsia="zh-CN"/>
              </w:rPr>
              <w:t>Chang &amp; Chen (2010)</w:t>
            </w:r>
            <w:r w:rsidRPr="00C81B1E">
              <w:rPr>
                <w:rFonts w:eastAsia="SimSun"/>
                <w:lang w:val="en-GB" w:eastAsia="zh-CN"/>
              </w:rPr>
              <w:fldChar w:fldCharType="end"/>
            </w:r>
          </w:p>
        </w:tc>
      </w:tr>
      <w:tr w:rsidR="00C81B1E" w:rsidRPr="00C81B1E" w14:paraId="6C787211" w14:textId="77777777" w:rsidTr="00C81B1E">
        <w:trPr>
          <w:trHeight w:val="255"/>
        </w:trPr>
        <w:tc>
          <w:tcPr>
            <w:tcW w:w="1809" w:type="dxa"/>
            <w:shd w:val="clear" w:color="auto" w:fill="auto"/>
            <w:noWrap/>
            <w:vAlign w:val="center"/>
            <w:hideMark/>
          </w:tcPr>
          <w:p w14:paraId="62279BCA" w14:textId="77777777" w:rsidR="00C7764C" w:rsidRPr="00C81B1E" w:rsidRDefault="00C7764C" w:rsidP="00C81B1E">
            <w:pPr>
              <w:pStyle w:val="MDPI42tablebody"/>
              <w:rPr>
                <w:rFonts w:eastAsia="SimSun"/>
                <w:b/>
                <w:bCs/>
                <w:lang w:val="en-GB" w:eastAsia="zh-CN"/>
              </w:rPr>
            </w:pPr>
            <w:r w:rsidRPr="00C81B1E">
              <w:rPr>
                <w:rFonts w:eastAsia="SimSun"/>
                <w:b/>
                <w:bCs/>
                <w:lang w:val="en-GB" w:eastAsia="zh-CN"/>
              </w:rPr>
              <w:t>Ash</w:t>
            </w:r>
          </w:p>
        </w:tc>
        <w:tc>
          <w:tcPr>
            <w:tcW w:w="1422" w:type="dxa"/>
            <w:shd w:val="clear" w:color="auto" w:fill="auto"/>
            <w:noWrap/>
            <w:vAlign w:val="center"/>
            <w:hideMark/>
          </w:tcPr>
          <w:p w14:paraId="249082AE" w14:textId="77777777" w:rsidR="00C7764C" w:rsidRPr="00C81B1E" w:rsidRDefault="00C7764C" w:rsidP="00C81B1E">
            <w:pPr>
              <w:pStyle w:val="MDPI42tablebody"/>
              <w:rPr>
                <w:rFonts w:eastAsia="SimSun"/>
                <w:lang w:val="en-GB" w:eastAsia="zh-CN"/>
              </w:rPr>
            </w:pPr>
            <w:r w:rsidRPr="00C81B1E">
              <w:rPr>
                <w:rFonts w:eastAsia="SimSun"/>
                <w:lang w:val="en-GB" w:eastAsia="zh-CN"/>
              </w:rPr>
              <w:t>% mass</w:t>
            </w:r>
          </w:p>
        </w:tc>
        <w:tc>
          <w:tcPr>
            <w:tcW w:w="926" w:type="dxa"/>
            <w:shd w:val="clear" w:color="auto" w:fill="auto"/>
            <w:noWrap/>
            <w:vAlign w:val="center"/>
            <w:hideMark/>
          </w:tcPr>
          <w:p w14:paraId="56F20F12" w14:textId="77777777" w:rsidR="00C7764C" w:rsidRPr="00C81B1E" w:rsidRDefault="00C7764C" w:rsidP="00C81B1E">
            <w:pPr>
              <w:pStyle w:val="MDPI42tablebody"/>
              <w:rPr>
                <w:rFonts w:eastAsia="SimSun"/>
                <w:lang w:val="en-GB" w:eastAsia="zh-CN"/>
              </w:rPr>
            </w:pPr>
            <w:r w:rsidRPr="00C81B1E">
              <w:rPr>
                <w:rFonts w:eastAsia="SimSun"/>
                <w:lang w:val="en-GB" w:eastAsia="zh-CN"/>
              </w:rPr>
              <w:t>C, TT</w:t>
            </w:r>
          </w:p>
        </w:tc>
        <w:tc>
          <w:tcPr>
            <w:tcW w:w="4915" w:type="dxa"/>
            <w:shd w:val="clear" w:color="auto" w:fill="auto"/>
            <w:noWrap/>
            <w:vAlign w:val="center"/>
            <w:hideMark/>
          </w:tcPr>
          <w:p w14:paraId="1F3918C8" w14:textId="77777777" w:rsidR="00C7764C" w:rsidRPr="00C81B1E" w:rsidRDefault="00C7764C" w:rsidP="00C81B1E">
            <w:pPr>
              <w:pStyle w:val="MDPI42tablebody"/>
              <w:rPr>
                <w:rFonts w:eastAsia="SimSun"/>
                <w:lang w:val="en-GB" w:eastAsia="zh-CN"/>
              </w:rPr>
            </w:pPr>
            <w:r w:rsidRPr="00C81B1E">
              <w:rPr>
                <w:rFonts w:eastAsia="SimSun"/>
                <w:lang w:val="en-GB" w:eastAsia="zh-CN"/>
              </w:rPr>
              <w:t xml:space="preserve">C: </w:t>
            </w:r>
            <w:r w:rsidRPr="00C81B1E">
              <w:rPr>
                <w:rFonts w:eastAsia="SimSun"/>
                <w:lang w:val="en-GB" w:eastAsia="zh-CN"/>
              </w:rPr>
              <w:fldChar w:fldCharType="begin" w:fldLock="1"/>
            </w:r>
            <w:r w:rsidRPr="00C81B1E">
              <w:rPr>
                <w:rFonts w:eastAsia="SimSun"/>
                <w:lang w:val="en-GB" w:eastAsia="zh-CN"/>
              </w:rPr>
              <w:instrText>ADDIN CSL_CITATION {"citationItems":[{"id":"ITEM-1","itemData":{"DOI":"10.1016/j.biortech.2010.02.042","ISBN":"0960-8524","ISSN":"09608524","PMID":"20385493","abstract":"The effects of rice husk, sawdust and rice bran on the composting process of food waste were studied in a 180-L laboratory composter based on a mixture experimental design. Linear and quadratic models of seven important process characteristics (composting and acidification times, lowest and final pH values, highest temperature, the water-soluble organic carbon to water-soluble organic nitrogen (COW/NOW ratio), and the water-soluble organic carbon to total organic nitrogen (COW/NOT) ratio) in terms of fractional compositions of bulking agents as well as the water absorption capacity and the free air space of the composting matrix were developed. ?? 2010.","author":[{"dropping-particle":"","family":"Chang","given":"James I.","non-dropping-particle":"","parse-names":false,"suffix":""},{"dropping-particle":"","family":"Chen","given":"Y. J.","non-dropping-particle":"","parse-names":false,"suffix":""}],"container-title":"Bioresource Technology","id":"ITEM-1","issue":"15","issued":{"date-parts":[["2010"]]},"page":"5917-5924","publisher":"Elsevier Ltd","title":"Effects of bulking agents on food waste composting","type":"article-journal","volume":"101"},"uris":["http://www.mendeley.com/documents/?uuid=6bf36be4-46ee-47b8-b16f-1835d5618acf"]}],"mendeley":{"formattedCitation":"(Chang and Chen, 2010)","manualFormatting":"Chang &amp; Chen (2010)","plainTextFormattedCitation":"(Chang and Chen, 2010)","previouslyFormattedCitation":"(Chang and Chen, 2010)"},"properties":{"noteIndex":0},"schema":"https://github.com/citation-style-language/schema/raw/master/csl-citation.json"}</w:instrText>
            </w:r>
            <w:r w:rsidRPr="00C81B1E">
              <w:rPr>
                <w:rFonts w:eastAsia="SimSun"/>
                <w:lang w:val="en-GB" w:eastAsia="zh-CN"/>
              </w:rPr>
              <w:fldChar w:fldCharType="separate"/>
            </w:r>
            <w:r w:rsidRPr="00C81B1E">
              <w:rPr>
                <w:rFonts w:eastAsia="SimSun"/>
                <w:noProof/>
                <w:lang w:val="en-GB" w:eastAsia="zh-CN"/>
              </w:rPr>
              <w:t>Chang &amp; Chen (2010)</w:t>
            </w:r>
            <w:r w:rsidRPr="00C81B1E">
              <w:rPr>
                <w:rFonts w:eastAsia="SimSun"/>
                <w:lang w:val="en-GB" w:eastAsia="zh-CN"/>
              </w:rPr>
              <w:fldChar w:fldCharType="end"/>
            </w:r>
            <w:r w:rsidRPr="00C81B1E">
              <w:rPr>
                <w:rFonts w:eastAsia="SimSun"/>
                <w:lang w:val="en-GB" w:eastAsia="zh-CN"/>
              </w:rPr>
              <w:t xml:space="preserve">, TT: </w:t>
            </w:r>
            <w:r w:rsidRPr="00C81B1E">
              <w:rPr>
                <w:rFonts w:eastAsia="SimSun"/>
                <w:lang w:val="en-GB" w:eastAsia="zh-CN"/>
              </w:rPr>
              <w:fldChar w:fldCharType="begin" w:fldLock="1"/>
            </w:r>
            <w:r w:rsidRPr="00C81B1E">
              <w:rPr>
                <w:rFonts w:eastAsia="SimSun"/>
                <w:lang w:val="en-GB" w:eastAsia="zh-CN"/>
              </w:rPr>
              <w:instrText>ADDIN CSL_CITATION {"citationItems":[{"id":"ITEM-1","itemData":{"DOI":"10.1016/j.enconman.2009.12.025","ISBN":"0196-8904","ISSN":"01968904","abstract":"Energy recovery from food waste was studied using the food service at the US Naval Academy as a case study. Post-consumer food waste was captured over a period of ten days to estimate individual waste per meal and total waste per month. The food waste was analyzed for chemical composition and water content using ultimate and proximate analysis, and for energy content, and compared with the same analyses of wood (a more typical biomass fuel). Three different samples of food waste showed relative uniformity of properties despite being sampled on different days, with different menus. Food waste had lower oxygen content, higher nitrogen and ash content, and higher energy content than wood. The food waste in this study had approximately 70% water content. Temperatures and emissions from combustion of wood pellets, dried pelletized food waste, and dried non-pelletized food waste were measured and compared using a modified residential pellet stove. Temperatures were higher for food waste due to the higher energy content. Emissions of NO, HC, and soot were slightly higher for food waste. Despite the large water content, thermodynamic analysis showed that regenerative dehydration, in which waste energy from the combustion system is used to remove water from the incoming wet fuel, is possible. An excess enthalpy ratio is defined to formalize the comparison of waste sensible enthalpy with the energy required for dehydration. Analysis of fuel-lean combustion and fuel-rich gasification shows that little, if any, external energy would necessarily be required to remove the water from the incoming fuel. An equilibrium model was used to simulate waste food gasification by extending the simulation to high water content levels. Probable ranges for successful food waste gasification are identified. Energy recovery of waste food could result in cost savings by offsetting traditional fuel-use (e.g. natural gas for heating) and by reducing disposal costs.","author":[{"dropping-particle":"","family":"Caton","given":"P. a.","non-dropping-particle":"","parse-names":false,"suffix":""},{"dropping-particle":"","family":"Carr","given":"M. a.","non-dropping-particle":"","parse-names":false,"suffix":""},{"dropping-particle":"","family":"Kim","given":"S. S.","non-dropping-particle":"","parse-names":false,"suffix":""},{"dropping-particle":"","family":"Beautyman","given":"M. J.","non-dropping-particle":"","parse-names":false,"suffix":""}],"container-title":"Energy Conversion and Management","id":"ITEM-1","issue":"6","issued":{"date-parts":[["2010"]]},"page":"1157-1169","publisher":"Elsevier Ltd","title":"Energy recovery from waste food by combustion or gasification with the potential for regenerative dehydration: A case study","type":"article-journal","volume":"51"},"uris":["http://www.mendeley.com/documents/?uuid=4e1869b1-94de-4948-9bd3-b0a18b67b3b4"]}],"mendeley":{"formattedCitation":"(Caton et al., 2010)","manualFormatting":"Caton et al. (2010)","plainTextFormattedCitation":"(Caton et al., 2010)","previouslyFormattedCitation":"(Caton et al., 2010)"},"properties":{"noteIndex":0},"schema":"https://github.com/citation-style-language/schema/raw/master/csl-citation.json"}</w:instrText>
            </w:r>
            <w:r w:rsidRPr="00C81B1E">
              <w:rPr>
                <w:rFonts w:eastAsia="SimSun"/>
                <w:lang w:val="en-GB" w:eastAsia="zh-CN"/>
              </w:rPr>
              <w:fldChar w:fldCharType="separate"/>
            </w:r>
            <w:r w:rsidRPr="00C81B1E">
              <w:rPr>
                <w:rFonts w:eastAsia="SimSun"/>
                <w:noProof/>
                <w:lang w:val="en-GB" w:eastAsia="zh-CN"/>
              </w:rPr>
              <w:t>Caton et al. (2010)</w:t>
            </w:r>
            <w:r w:rsidRPr="00C81B1E">
              <w:rPr>
                <w:rFonts w:eastAsia="SimSun"/>
                <w:lang w:val="en-GB" w:eastAsia="zh-CN"/>
              </w:rPr>
              <w:fldChar w:fldCharType="end"/>
            </w:r>
          </w:p>
        </w:tc>
      </w:tr>
      <w:tr w:rsidR="00C81B1E" w:rsidRPr="00C81B1E" w14:paraId="7DC23D13" w14:textId="77777777" w:rsidTr="00C81B1E">
        <w:trPr>
          <w:trHeight w:val="255"/>
        </w:trPr>
        <w:tc>
          <w:tcPr>
            <w:tcW w:w="1809" w:type="dxa"/>
            <w:tcBorders>
              <w:top w:val="single" w:sz="4" w:space="0" w:color="7F7F7F"/>
              <w:bottom w:val="single" w:sz="4" w:space="0" w:color="7F7F7F"/>
            </w:tcBorders>
            <w:shd w:val="clear" w:color="auto" w:fill="auto"/>
            <w:noWrap/>
            <w:vAlign w:val="center"/>
            <w:hideMark/>
          </w:tcPr>
          <w:p w14:paraId="63BCE5F8" w14:textId="77777777" w:rsidR="00C7764C" w:rsidRPr="00C81B1E" w:rsidRDefault="00C7764C" w:rsidP="00C81B1E">
            <w:pPr>
              <w:pStyle w:val="MDPI42tablebody"/>
              <w:rPr>
                <w:rFonts w:eastAsia="SimSun"/>
                <w:b/>
                <w:bCs/>
                <w:lang w:val="en-GB" w:eastAsia="zh-CN"/>
              </w:rPr>
            </w:pPr>
            <w:r w:rsidRPr="00C81B1E">
              <w:rPr>
                <w:rFonts w:eastAsia="SimSun"/>
                <w:b/>
                <w:bCs/>
                <w:lang w:val="en-GB" w:eastAsia="zh-CN"/>
              </w:rPr>
              <w:t>Porosity</w:t>
            </w:r>
          </w:p>
        </w:tc>
        <w:tc>
          <w:tcPr>
            <w:tcW w:w="1422" w:type="dxa"/>
            <w:tcBorders>
              <w:top w:val="single" w:sz="4" w:space="0" w:color="7F7F7F"/>
              <w:bottom w:val="single" w:sz="4" w:space="0" w:color="7F7F7F"/>
            </w:tcBorders>
            <w:shd w:val="clear" w:color="auto" w:fill="auto"/>
            <w:noWrap/>
            <w:vAlign w:val="center"/>
            <w:hideMark/>
          </w:tcPr>
          <w:p w14:paraId="60CF353B" w14:textId="77777777" w:rsidR="00C7764C" w:rsidRPr="00C81B1E" w:rsidRDefault="00C7764C" w:rsidP="00C81B1E">
            <w:pPr>
              <w:pStyle w:val="MDPI42tablebody"/>
              <w:rPr>
                <w:rFonts w:eastAsia="SimSun"/>
                <w:lang w:val="en-GB" w:eastAsia="zh-CN"/>
              </w:rPr>
            </w:pPr>
            <w:r w:rsidRPr="00C81B1E">
              <w:rPr>
                <w:rFonts w:eastAsia="SimSun"/>
                <w:lang w:val="en-GB" w:eastAsia="zh-CN"/>
              </w:rPr>
              <w:t>% volume</w:t>
            </w:r>
          </w:p>
        </w:tc>
        <w:tc>
          <w:tcPr>
            <w:tcW w:w="926" w:type="dxa"/>
            <w:tcBorders>
              <w:top w:val="single" w:sz="4" w:space="0" w:color="7F7F7F"/>
              <w:bottom w:val="single" w:sz="4" w:space="0" w:color="7F7F7F"/>
            </w:tcBorders>
            <w:shd w:val="clear" w:color="auto" w:fill="auto"/>
            <w:noWrap/>
            <w:vAlign w:val="center"/>
            <w:hideMark/>
          </w:tcPr>
          <w:p w14:paraId="083A05FC" w14:textId="77777777" w:rsidR="00C7764C" w:rsidRPr="00C81B1E" w:rsidRDefault="00C7764C" w:rsidP="00C81B1E">
            <w:pPr>
              <w:pStyle w:val="MDPI42tablebody"/>
              <w:rPr>
                <w:rFonts w:eastAsia="SimSun"/>
                <w:lang w:val="en-GB" w:eastAsia="zh-CN"/>
              </w:rPr>
            </w:pPr>
            <w:r w:rsidRPr="00C81B1E">
              <w:rPr>
                <w:rFonts w:eastAsia="SimSun"/>
                <w:lang w:val="en-GB" w:eastAsia="zh-CN"/>
              </w:rPr>
              <w:t>C</w:t>
            </w:r>
          </w:p>
        </w:tc>
        <w:tc>
          <w:tcPr>
            <w:tcW w:w="4915" w:type="dxa"/>
            <w:tcBorders>
              <w:top w:val="single" w:sz="4" w:space="0" w:color="7F7F7F"/>
              <w:bottom w:val="single" w:sz="4" w:space="0" w:color="7F7F7F"/>
            </w:tcBorders>
            <w:shd w:val="clear" w:color="auto" w:fill="auto"/>
            <w:noWrap/>
            <w:vAlign w:val="center"/>
            <w:hideMark/>
          </w:tcPr>
          <w:p w14:paraId="35043717" w14:textId="77777777" w:rsidR="00C7764C" w:rsidRPr="00C81B1E" w:rsidRDefault="00C7764C" w:rsidP="00C81B1E">
            <w:pPr>
              <w:pStyle w:val="MDPI42tablebody"/>
              <w:rPr>
                <w:rFonts w:eastAsia="SimSun"/>
                <w:lang w:val="en-GB" w:eastAsia="zh-CN"/>
              </w:rPr>
            </w:pPr>
            <w:r w:rsidRPr="00C81B1E">
              <w:rPr>
                <w:rFonts w:eastAsia="SimSun"/>
                <w:lang w:val="en-GB" w:eastAsia="zh-CN"/>
              </w:rPr>
              <w:fldChar w:fldCharType="begin" w:fldLock="1"/>
            </w:r>
            <w:r w:rsidRPr="00C81B1E">
              <w:rPr>
                <w:rFonts w:eastAsia="SimSun"/>
                <w:lang w:val="en-GB" w:eastAsia="zh-CN"/>
              </w:rPr>
              <w:instrText>ADDIN CSL_CITATION {"citationItems":[{"id":"ITEM-1","itemData":{"abstract":"Composting is controlled decomposition, the natural breakdown process of organic residues. Composting transforms raw organic waste materials into biologically stable, humic substances that make excellent soil amendments. Compost is easier to handle than manure and other raw organic materials, stores well and is odor-free.","author":[{"dropping-particle":"","family":"Cooperband","given":"Leslie","non-dropping-particle":"","parse-names":false,"suffix":""}],"id":"ITEM-1","issued":{"date-parts":[["2002"]]},"title":"The art and science of composting. A resource for farmers and compost producers","type":"report"},"uris":["http://www.mendeley.com/documents/?uuid=36644cb7-2d3a-4846-831f-18a99a16be63"]}],"mendeley":{"formattedCitation":"(Cooperband, 2002)","manualFormatting":"Cooperband (2002)","plainTextFormattedCitation":"(Cooperband, 2002)","previouslyFormattedCitation":"(Cooperband, 2002)"},"properties":{"noteIndex":0},"schema":"https://github.com/citation-style-language/schema/raw/master/csl-citation.json"}</w:instrText>
            </w:r>
            <w:r w:rsidRPr="00C81B1E">
              <w:rPr>
                <w:rFonts w:eastAsia="SimSun"/>
                <w:lang w:val="en-GB" w:eastAsia="zh-CN"/>
              </w:rPr>
              <w:fldChar w:fldCharType="separate"/>
            </w:r>
            <w:r w:rsidRPr="00C81B1E">
              <w:rPr>
                <w:rFonts w:eastAsia="SimSun"/>
                <w:noProof/>
                <w:lang w:val="en-GB" w:eastAsia="zh-CN"/>
              </w:rPr>
              <w:t>Cooperband (2002)</w:t>
            </w:r>
            <w:r w:rsidRPr="00C81B1E">
              <w:rPr>
                <w:rFonts w:eastAsia="SimSun"/>
                <w:lang w:val="en-GB" w:eastAsia="zh-CN"/>
              </w:rPr>
              <w:fldChar w:fldCharType="end"/>
            </w:r>
          </w:p>
        </w:tc>
      </w:tr>
      <w:tr w:rsidR="00C81B1E" w:rsidRPr="00C81B1E" w14:paraId="61E15DDE" w14:textId="77777777" w:rsidTr="00C81B1E">
        <w:trPr>
          <w:trHeight w:val="270"/>
        </w:trPr>
        <w:tc>
          <w:tcPr>
            <w:tcW w:w="1809" w:type="dxa"/>
            <w:shd w:val="clear" w:color="auto" w:fill="auto"/>
            <w:noWrap/>
            <w:vAlign w:val="center"/>
            <w:hideMark/>
          </w:tcPr>
          <w:p w14:paraId="1FAE0C4C" w14:textId="77777777" w:rsidR="00C7764C" w:rsidRPr="00C81B1E" w:rsidRDefault="00C7764C" w:rsidP="00C81B1E">
            <w:pPr>
              <w:pStyle w:val="MDPI42tablebody"/>
              <w:rPr>
                <w:rFonts w:eastAsia="SimSun"/>
                <w:b/>
                <w:bCs/>
                <w:lang w:val="en-GB" w:eastAsia="zh-CN"/>
              </w:rPr>
            </w:pPr>
            <w:r w:rsidRPr="00C81B1E">
              <w:rPr>
                <w:rFonts w:eastAsia="SimSun"/>
                <w:b/>
                <w:bCs/>
                <w:lang w:val="en-GB" w:eastAsia="zh-CN"/>
              </w:rPr>
              <w:t>Calorific value</w:t>
            </w:r>
          </w:p>
        </w:tc>
        <w:tc>
          <w:tcPr>
            <w:tcW w:w="1422" w:type="dxa"/>
            <w:shd w:val="clear" w:color="auto" w:fill="auto"/>
            <w:noWrap/>
            <w:vAlign w:val="center"/>
            <w:hideMark/>
          </w:tcPr>
          <w:p w14:paraId="731A85F7" w14:textId="77777777" w:rsidR="00C7764C" w:rsidRPr="00C81B1E" w:rsidRDefault="00C7764C" w:rsidP="00C81B1E">
            <w:pPr>
              <w:pStyle w:val="MDPI42tablebody"/>
              <w:rPr>
                <w:rFonts w:eastAsia="SimSun"/>
                <w:lang w:val="en-GB" w:eastAsia="zh-CN"/>
              </w:rPr>
            </w:pPr>
            <w:r w:rsidRPr="00C81B1E">
              <w:rPr>
                <w:rFonts w:eastAsia="SimSun"/>
                <w:lang w:val="en-GB" w:eastAsia="zh-CN"/>
              </w:rPr>
              <w:t>MJ/kg</w:t>
            </w:r>
          </w:p>
        </w:tc>
        <w:tc>
          <w:tcPr>
            <w:tcW w:w="926" w:type="dxa"/>
            <w:shd w:val="clear" w:color="auto" w:fill="auto"/>
            <w:noWrap/>
            <w:vAlign w:val="center"/>
            <w:hideMark/>
          </w:tcPr>
          <w:p w14:paraId="5B924413" w14:textId="77777777" w:rsidR="00C7764C" w:rsidRPr="00C81B1E" w:rsidRDefault="00C7764C" w:rsidP="00C81B1E">
            <w:pPr>
              <w:pStyle w:val="MDPI42tablebody"/>
              <w:rPr>
                <w:rFonts w:eastAsia="SimSun"/>
                <w:lang w:val="en-GB" w:eastAsia="zh-CN"/>
              </w:rPr>
            </w:pPr>
            <w:r w:rsidRPr="00C81B1E">
              <w:rPr>
                <w:rFonts w:eastAsia="SimSun"/>
                <w:lang w:val="en-GB" w:eastAsia="zh-CN"/>
              </w:rPr>
              <w:t>TT</w:t>
            </w:r>
          </w:p>
        </w:tc>
        <w:tc>
          <w:tcPr>
            <w:tcW w:w="4915" w:type="dxa"/>
            <w:shd w:val="clear" w:color="auto" w:fill="auto"/>
            <w:noWrap/>
            <w:vAlign w:val="center"/>
            <w:hideMark/>
          </w:tcPr>
          <w:p w14:paraId="154A63BF" w14:textId="77777777" w:rsidR="00C7764C" w:rsidRPr="00C81B1E" w:rsidRDefault="00C7764C" w:rsidP="00C81B1E">
            <w:pPr>
              <w:pStyle w:val="MDPI42tablebody"/>
              <w:rPr>
                <w:rFonts w:eastAsia="SimSun"/>
                <w:lang w:val="en-GB" w:eastAsia="zh-CN"/>
              </w:rPr>
            </w:pPr>
            <w:r w:rsidRPr="00C81B1E">
              <w:rPr>
                <w:rFonts w:eastAsia="SimSun"/>
                <w:lang w:val="en-GB" w:eastAsia="zh-CN"/>
              </w:rPr>
              <w:fldChar w:fldCharType="begin" w:fldLock="1"/>
            </w:r>
            <w:r w:rsidRPr="00C81B1E">
              <w:rPr>
                <w:rFonts w:eastAsia="SimSun"/>
                <w:lang w:val="en-GB" w:eastAsia="zh-CN"/>
              </w:rPr>
              <w:instrText>ADDIN CSL_CITATION {"citationItems":[{"id":"ITEM-1","itemData":{"DOI":"10.1016/j.wasman.2016.02.024","ISSN":"1879-2456","PMID":"26926784","abstract":"This paper presents model analyses and tests of animal by-product waste thermal treatment plants. A schedule of tests was prepared, and 62,024 cases of system operation were analysed. A map/work field of the tested plant was drawn up on the basis thereof. Calculations were made following an algorithm described by Bujak (2015a) written in the VBA (Visual Basic for Application) language. The tests showed that when incinerating animal waste, the flux of physical enthalpy of the flue gas from the afterburner chamber depends on numerous design and operating parameters. The most important include the following: humidity and flux of the waste, concentration of oxygen in the flue gas in the afterburner chamber and loss of heat flux to the atmosphere through the external surfaces of the plant. Individual design and operating parameters can be selected so that the process of incineration is ensured without additional fuel. The performed analyses were verified against the actual object at the industrial scale using a meat plant that manufactures ham and processes beef, pork and poultry with a capacity of 150tonnes/day. The production process waste included mainly bones and - in much smaller quantities - meat and bone meal, at 17tonnes/day. The performed tests and analyses can be used to optimise the operation of the waste thermal treatment plant at the stages of design and operation.","author":[{"dropping-particle":"","family":"Bujak","given":"Janusz","non-dropping-particle":"","parse-names":false,"suffix":""},{"dropping-particle":"","family":"Sitarz","given":"Piotr","non-dropping-particle":"","parse-names":false,"suffix":""}],"container-title":"Waste Management","id":"ITEM-1","issued":{"date-parts":[["2016"]]},"page":"309-323","publisher":"Elsevier Ltd","title":"Incineration of animal by-products - The impact of selected parameters on the flux of flue gas enthalpy","type":"article-journal","volume":"50"},"uris":["http://www.mendeley.com/documents/?uuid=79f38ed7-0ed6-4877-84b7-3b3b2d897f7a"]}],"mendeley":{"formattedCitation":"(Bujak and Sitarz, 2016)","manualFormatting":"Bujak &amp; Sitarz (2016)","plainTextFormattedCitation":"(Bujak and Sitarz, 2016)","previouslyFormattedCitation":"(Bujak and Sitarz, 2016)"},"properties":{"noteIndex":0},"schema":"https://github.com/citation-style-language/schema/raw/master/csl-citation.json"}</w:instrText>
            </w:r>
            <w:r w:rsidRPr="00C81B1E">
              <w:rPr>
                <w:rFonts w:eastAsia="SimSun"/>
                <w:lang w:val="en-GB" w:eastAsia="zh-CN"/>
              </w:rPr>
              <w:fldChar w:fldCharType="separate"/>
            </w:r>
            <w:r w:rsidRPr="00C81B1E">
              <w:rPr>
                <w:rFonts w:eastAsia="SimSun"/>
                <w:noProof/>
                <w:lang w:val="en-GB" w:eastAsia="zh-CN"/>
              </w:rPr>
              <w:t>Bujak &amp; Sitarz (2016)</w:t>
            </w:r>
            <w:r w:rsidRPr="00C81B1E">
              <w:rPr>
                <w:rFonts w:eastAsia="SimSun"/>
                <w:lang w:val="en-GB" w:eastAsia="zh-CN"/>
              </w:rPr>
              <w:fldChar w:fldCharType="end"/>
            </w:r>
          </w:p>
        </w:tc>
      </w:tr>
    </w:tbl>
    <w:p w14:paraId="1DDAF26E" w14:textId="77777777" w:rsidR="00C7764C" w:rsidRPr="00C7764C" w:rsidRDefault="00C7764C" w:rsidP="00C7764C">
      <w:pPr>
        <w:spacing w:after="160" w:line="259" w:lineRule="auto"/>
        <w:rPr>
          <w:rFonts w:eastAsia="Calibri"/>
          <w:color w:val="auto"/>
          <w:sz w:val="16"/>
          <w:szCs w:val="16"/>
          <w:lang w:val="en-GB" w:eastAsia="en-US"/>
        </w:rPr>
      </w:pPr>
    </w:p>
    <w:p w14:paraId="6F06FB0D" w14:textId="77777777" w:rsidR="00C7764C" w:rsidRPr="00C7764C" w:rsidRDefault="00C7764C" w:rsidP="00BA2E09">
      <w:pPr>
        <w:pStyle w:val="MDPI41tablecaption"/>
        <w:rPr>
          <w:rFonts w:eastAsia="Calibri"/>
          <w:lang w:val="en-GB" w:eastAsia="en-US"/>
        </w:rPr>
      </w:pPr>
      <w:r w:rsidRPr="00C7764C">
        <w:rPr>
          <w:rFonts w:eastAsia="Calibri"/>
          <w:b/>
          <w:lang w:val="en-GB" w:eastAsia="en-US"/>
        </w:rPr>
        <w:t xml:space="preserve">Table </w:t>
      </w:r>
      <w:r w:rsidRPr="00C7764C">
        <w:rPr>
          <w:rFonts w:eastAsia="Calibri"/>
          <w:b/>
          <w:lang w:val="en-GB" w:eastAsia="en-US"/>
        </w:rPr>
        <w:fldChar w:fldCharType="begin"/>
      </w:r>
      <w:r w:rsidRPr="00C7764C">
        <w:rPr>
          <w:rFonts w:eastAsia="Calibri"/>
          <w:b/>
          <w:lang w:val="en-GB" w:eastAsia="en-US"/>
        </w:rPr>
        <w:instrText xml:space="preserve"> SEQ Table \* ARABIC </w:instrText>
      </w:r>
      <w:r w:rsidRPr="00C7764C">
        <w:rPr>
          <w:rFonts w:eastAsia="Calibri"/>
          <w:b/>
          <w:lang w:val="en-GB" w:eastAsia="en-US"/>
        </w:rPr>
        <w:fldChar w:fldCharType="separate"/>
      </w:r>
      <w:r w:rsidRPr="00C7764C">
        <w:rPr>
          <w:rFonts w:eastAsia="Calibri"/>
          <w:b/>
          <w:noProof/>
          <w:lang w:val="en-GB" w:eastAsia="en-US"/>
        </w:rPr>
        <w:t>4</w:t>
      </w:r>
      <w:r w:rsidRPr="00C7764C">
        <w:rPr>
          <w:rFonts w:eastAsia="Calibri"/>
          <w:b/>
          <w:lang w:val="en-GB" w:eastAsia="en-US"/>
        </w:rPr>
        <w:fldChar w:fldCharType="end"/>
      </w:r>
      <w:r w:rsidRPr="00C7764C">
        <w:rPr>
          <w:rFonts w:eastAsia="Calibri"/>
          <w:lang w:val="en-GB" w:eastAsia="en-US"/>
        </w:rPr>
        <w:t>. FWM process and company status variables</w:t>
      </w:r>
    </w:p>
    <w:tbl>
      <w:tblPr>
        <w:tblW w:w="9087" w:type="dxa"/>
        <w:tblBorders>
          <w:top w:val="single" w:sz="4" w:space="0" w:color="7F7F7F"/>
          <w:bottom w:val="single" w:sz="4" w:space="0" w:color="7F7F7F"/>
        </w:tblBorders>
        <w:tblLayout w:type="fixed"/>
        <w:tblLook w:val="04A0" w:firstRow="1" w:lastRow="0" w:firstColumn="1" w:lastColumn="0" w:noHBand="0" w:noVBand="1"/>
      </w:tblPr>
      <w:tblGrid>
        <w:gridCol w:w="1716"/>
        <w:gridCol w:w="1843"/>
        <w:gridCol w:w="992"/>
        <w:gridCol w:w="4536"/>
      </w:tblGrid>
      <w:tr w:rsidR="00C81B1E" w:rsidRPr="00C81B1E" w14:paraId="64F8EDE5" w14:textId="77777777" w:rsidTr="00C81B1E">
        <w:trPr>
          <w:trHeight w:val="255"/>
        </w:trPr>
        <w:tc>
          <w:tcPr>
            <w:tcW w:w="1716" w:type="dxa"/>
            <w:tcBorders>
              <w:bottom w:val="single" w:sz="4" w:space="0" w:color="7F7F7F"/>
            </w:tcBorders>
            <w:shd w:val="clear" w:color="auto" w:fill="auto"/>
            <w:noWrap/>
            <w:vAlign w:val="center"/>
          </w:tcPr>
          <w:p w14:paraId="79DA26B8"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Variable</w:t>
            </w:r>
          </w:p>
        </w:tc>
        <w:tc>
          <w:tcPr>
            <w:tcW w:w="1843" w:type="dxa"/>
            <w:tcBorders>
              <w:bottom w:val="single" w:sz="4" w:space="0" w:color="7F7F7F"/>
            </w:tcBorders>
            <w:shd w:val="clear" w:color="auto" w:fill="auto"/>
            <w:noWrap/>
            <w:vAlign w:val="center"/>
          </w:tcPr>
          <w:p w14:paraId="410C4A91"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Example or unit</w:t>
            </w:r>
          </w:p>
        </w:tc>
        <w:tc>
          <w:tcPr>
            <w:tcW w:w="992" w:type="dxa"/>
            <w:tcBorders>
              <w:bottom w:val="single" w:sz="4" w:space="0" w:color="7F7F7F"/>
            </w:tcBorders>
            <w:shd w:val="clear" w:color="auto" w:fill="auto"/>
            <w:noWrap/>
            <w:vAlign w:val="center"/>
          </w:tcPr>
          <w:p w14:paraId="0F9581E8"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FWMS</w:t>
            </w:r>
          </w:p>
        </w:tc>
        <w:tc>
          <w:tcPr>
            <w:tcW w:w="4536" w:type="dxa"/>
            <w:tcBorders>
              <w:bottom w:val="single" w:sz="4" w:space="0" w:color="7F7F7F"/>
            </w:tcBorders>
            <w:shd w:val="clear" w:color="auto" w:fill="auto"/>
            <w:noWrap/>
            <w:vAlign w:val="center"/>
          </w:tcPr>
          <w:p w14:paraId="75A563F7"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Reference</w:t>
            </w:r>
          </w:p>
        </w:tc>
      </w:tr>
      <w:tr w:rsidR="00C81B1E" w:rsidRPr="00C81B1E" w14:paraId="3EB525EA" w14:textId="77777777" w:rsidTr="00C81B1E">
        <w:trPr>
          <w:trHeight w:val="255"/>
        </w:trPr>
        <w:tc>
          <w:tcPr>
            <w:tcW w:w="1716" w:type="dxa"/>
            <w:tcBorders>
              <w:top w:val="single" w:sz="4" w:space="0" w:color="7F7F7F"/>
              <w:bottom w:val="single" w:sz="4" w:space="0" w:color="7F7F7F"/>
            </w:tcBorders>
            <w:shd w:val="clear" w:color="auto" w:fill="auto"/>
            <w:noWrap/>
            <w:vAlign w:val="center"/>
            <w:hideMark/>
          </w:tcPr>
          <w:p w14:paraId="3CCB4B13"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Distance to transport FW</w:t>
            </w:r>
          </w:p>
        </w:tc>
        <w:tc>
          <w:tcPr>
            <w:tcW w:w="1843" w:type="dxa"/>
            <w:tcBorders>
              <w:top w:val="single" w:sz="4" w:space="0" w:color="7F7F7F"/>
              <w:bottom w:val="single" w:sz="4" w:space="0" w:color="7F7F7F"/>
            </w:tcBorders>
            <w:shd w:val="clear" w:color="auto" w:fill="auto"/>
            <w:noWrap/>
            <w:vAlign w:val="center"/>
            <w:hideMark/>
          </w:tcPr>
          <w:p w14:paraId="5E0BEC6C" w14:textId="77777777" w:rsidR="00C7764C" w:rsidRPr="00C81B1E" w:rsidRDefault="00C7764C" w:rsidP="00C81B1E">
            <w:pPr>
              <w:pStyle w:val="MDPI42tablebody"/>
              <w:rPr>
                <w:rFonts w:eastAsia="Calibri"/>
                <w:lang w:val="en-GB" w:eastAsia="en-US"/>
              </w:rPr>
            </w:pPr>
            <w:r w:rsidRPr="00C81B1E">
              <w:rPr>
                <w:rFonts w:eastAsia="Calibri"/>
                <w:lang w:val="en-GB" w:eastAsia="en-US"/>
              </w:rPr>
              <w:t>km</w:t>
            </w:r>
          </w:p>
        </w:tc>
        <w:tc>
          <w:tcPr>
            <w:tcW w:w="992" w:type="dxa"/>
            <w:tcBorders>
              <w:top w:val="single" w:sz="4" w:space="0" w:color="7F7F7F"/>
              <w:bottom w:val="single" w:sz="4" w:space="0" w:color="7F7F7F"/>
            </w:tcBorders>
            <w:shd w:val="clear" w:color="auto" w:fill="auto"/>
            <w:noWrap/>
            <w:vAlign w:val="center"/>
            <w:hideMark/>
          </w:tcPr>
          <w:p w14:paraId="0A79C0E2" w14:textId="77777777" w:rsidR="00C7764C" w:rsidRPr="00C81B1E" w:rsidRDefault="00C7764C" w:rsidP="00C81B1E">
            <w:pPr>
              <w:pStyle w:val="MDPI42tablebody"/>
              <w:rPr>
                <w:rFonts w:eastAsia="Calibri"/>
                <w:lang w:val="en-GB" w:eastAsia="en-US"/>
              </w:rPr>
            </w:pPr>
            <w:r w:rsidRPr="00C81B1E">
              <w:rPr>
                <w:rFonts w:eastAsia="Calibri"/>
                <w:lang w:val="en-GB" w:eastAsia="en-US"/>
              </w:rPr>
              <w:t>T</w:t>
            </w:r>
          </w:p>
        </w:tc>
        <w:tc>
          <w:tcPr>
            <w:tcW w:w="4536" w:type="dxa"/>
            <w:tcBorders>
              <w:top w:val="single" w:sz="4" w:space="0" w:color="7F7F7F"/>
              <w:bottom w:val="single" w:sz="4" w:space="0" w:color="7F7F7F"/>
            </w:tcBorders>
            <w:shd w:val="clear" w:color="auto" w:fill="auto"/>
            <w:noWrap/>
            <w:vAlign w:val="center"/>
            <w:hideMark/>
          </w:tcPr>
          <w:p w14:paraId="7BE942D0" w14:textId="77777777" w:rsidR="00C7764C" w:rsidRPr="00C81B1E" w:rsidRDefault="00C7764C" w:rsidP="00C81B1E">
            <w:pPr>
              <w:pStyle w:val="MDPI42tablebody"/>
              <w:rPr>
                <w:rFonts w:eastAsia="Calibri"/>
                <w:lang w:val="en-GB" w:eastAsia="en-US"/>
              </w:rPr>
            </w:pPr>
            <w:r w:rsidRPr="00C81B1E">
              <w:rPr>
                <w:rFonts w:eastAsia="Calibri"/>
                <w:lang w:val="en-GB" w:eastAsia="en-US"/>
              </w:rPr>
              <w:fldChar w:fldCharType="begin" w:fldLock="1"/>
            </w:r>
            <w:r w:rsidRPr="00C81B1E">
              <w:rPr>
                <w:rFonts w:eastAsia="Calibri"/>
                <w:lang w:val="en-GB" w:eastAsia="en-US"/>
              </w:rPr>
              <w:instrText>ADDIN CSL_CITATION {"citationItems":[{"id":"ITEM-1","itemData":{"author":[{"dropping-particle":"","family":"Boer","given":"Eelco","non-dropping-particle":"den","parse-names":false,"suffix":""},{"dropping-particle":"","family":"Brouwer","given":"Femke","non-dropping-particle":"","parse-names":false,"suffix":""},{"dropping-particle":"","family":"Schroten","given":"Arno","non-dropping-particle":"","parse-names":false,"suffix":""},{"dropping-particle":"","family":"Essen","given":"Huib","non-dropping-particle":"van","parse-names":false,"suffix":""}],"container-title":"CE Delft","id":"ITEM-1","issue":"January","issued":{"date-parts":[["2009"]]},"publisher-place":"Delft (The Netherlands)","title":"Are trucks taking their toll? The environmental, safety and congestion impacts of lorries in the EU","type":"report"},"uris":["http://www.mendeley.com/documents/?uuid=0a2a7979-9117-494f-a663-f531463bad76"]}],"mendeley":{"formattedCitation":"(den Boer et al., 2009)","manualFormatting":"den Boer et al. (2009)","plainTextFormattedCitation":"(den Boer et al., 2009)","previouslyFormattedCitation":"(den Boer et al., 2009)"},"properties":{"noteIndex":0},"schema":"https://github.com/citation-style-language/schema/raw/master/csl-citation.json"}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den Boer et al. (2009)</w:t>
            </w:r>
            <w:r w:rsidRPr="00C81B1E">
              <w:rPr>
                <w:rFonts w:eastAsia="Calibri"/>
                <w:lang w:val="en-GB" w:eastAsia="en-US"/>
              </w:rPr>
              <w:fldChar w:fldCharType="end"/>
            </w:r>
          </w:p>
        </w:tc>
      </w:tr>
      <w:tr w:rsidR="00C81B1E" w:rsidRPr="00C81B1E" w14:paraId="797138A3" w14:textId="77777777" w:rsidTr="00C81B1E">
        <w:trPr>
          <w:trHeight w:val="255"/>
        </w:trPr>
        <w:tc>
          <w:tcPr>
            <w:tcW w:w="1716" w:type="dxa"/>
            <w:shd w:val="clear" w:color="auto" w:fill="auto"/>
            <w:noWrap/>
            <w:vAlign w:val="center"/>
            <w:hideMark/>
          </w:tcPr>
          <w:p w14:paraId="467C61B1"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Type of equipment available</w:t>
            </w:r>
          </w:p>
        </w:tc>
        <w:tc>
          <w:tcPr>
            <w:tcW w:w="1843" w:type="dxa"/>
            <w:shd w:val="clear" w:color="auto" w:fill="auto"/>
            <w:noWrap/>
            <w:vAlign w:val="center"/>
            <w:hideMark/>
          </w:tcPr>
          <w:p w14:paraId="2CBC9B6B"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E.g. </w:t>
            </w:r>
            <w:proofErr w:type="spellStart"/>
            <w:r w:rsidRPr="00C81B1E">
              <w:rPr>
                <w:rFonts w:eastAsia="Calibri"/>
                <w:lang w:val="en-GB" w:eastAsia="en-US"/>
              </w:rPr>
              <w:t>Upflow</w:t>
            </w:r>
            <w:proofErr w:type="spellEnd"/>
            <w:r w:rsidRPr="00C81B1E">
              <w:rPr>
                <w:rFonts w:eastAsia="Calibri"/>
                <w:lang w:val="en-GB" w:eastAsia="en-US"/>
              </w:rPr>
              <w:t xml:space="preserve"> anaerobic sludge blanket reactor (UASB)</w:t>
            </w:r>
          </w:p>
        </w:tc>
        <w:tc>
          <w:tcPr>
            <w:tcW w:w="992" w:type="dxa"/>
            <w:shd w:val="clear" w:color="auto" w:fill="auto"/>
            <w:noWrap/>
            <w:vAlign w:val="center"/>
            <w:hideMark/>
          </w:tcPr>
          <w:p w14:paraId="5AA322B9"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 TT</w:t>
            </w:r>
          </w:p>
        </w:tc>
        <w:tc>
          <w:tcPr>
            <w:tcW w:w="4536" w:type="dxa"/>
            <w:vMerge w:val="restart"/>
            <w:shd w:val="clear" w:color="auto" w:fill="auto"/>
            <w:noWrap/>
            <w:vAlign w:val="center"/>
            <w:hideMark/>
          </w:tcPr>
          <w:p w14:paraId="3F77FEA8"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AD: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{"citationItems":[{"id":"ITEM-1","itemData":{"DOI":"10.1016/j.rser.2015.02.032","ISBN":"1364-0321","ISSN":"13640321","abstract":"With the rising demand for renewable energy and environmental protection, anaerobic digestion of biogas technology has attracted considerable attention within the scientific community. This paper presents a comprehensive review of research achievements on anaerobic digestion developments for biogas production. The review includes a discussion of factors affecting efficiency (temperature, pH, C/N ratio, OLR and retention time), accelerants (greenery biomass, biological pure culture and inorganic additives), reactors (conventional anaerobic reactors, sludge retention reactors and anaerobic membrane reactors) and biogas AD processes (lignocellulose waste, municipal solid waste, food waste, livestock manure and waste activated sludge) based on substrate characteristics and discusses the application of each forementioned aspect. The factors affecting efficiency are crucial to anaerobic digestion, because they play a major role in biogas production and determine the metabolic conditions for microorganism growth. As an additive, an accelerant is not only regarded as a nutrient resource, but can also improve biodegradability. The focus of reactor design is the sufficient utilization of a substrate by changing the feeding method and enhancing the attachment to biomass. The optimal digestion process balances the optimal digest conditions with the cost-optimal input/output ratio. Additionally, establishment of theoretical and technological studies should emphasize practicality based on laboratory-scale experiments because further development of biogas plants would allow for a transition from household to medium- and large-scale projects; therefore, improving stability and efficiency are recommended for advancing AD research.","author":[{"dropping-particle":"","family":"Mao","given":"Chunlan","non-dropping-particle":"","parse-names":false,"suffix":""},{"dropping-particle":"","family":"Feng","given":"Yongzhong","non-dropping-particle":"","parse-names":false,"suffix":""},{"dropping-particle":"","family":"Wang","given":"Xiaojiao","non-dropping-particle":"","parse-names":false,"suffix":""},{"dropping-particle":"","family":"Ren","given":"Guangxin","non-dropping-particle":"","parse-names":false,"suffix":""}],"container-title":"Renewable and Sustainable Energy Reviews","id":"ITEM-1","issued":{"date-parts":[["2015"]]},"page":"540-555","publisher":"Elsevier","title":"Review on research achievements of biogas from anaerobic digestion","type":"article-journal","volume":"45"},"uris":["http://www.mendeley.com/documents/?uuid=8f980546-dcd5-4d27-9e23-93fa618ec396"]}],"mendeley":{"formattedCitation":"(Mao et al., 2015)","manualFormatting":"Mao et al. (2015)","plainTextFormattedCitation":"(Mao et al., 2015)","previouslyFormattedCitation":"(Mao et al., 2015)"},"properties":{"noteIndex":0},"schema":"https://github.com/citation-style-language/schema/raw/master/csl-citation.json"}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Mao et al. (2015)</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{"citationItems":[{"id":"ITEM-1","itemData":{"abstract":"Composting is controlled decomposition, the natural breakdown process of organic residues. Composting transforms raw organic waste materials into biologically stable, humic substances that make excellent soil amendments. Compost is easier to handle than manure and other raw organic materials, stores well and is odor-free.","author":[{"dropping-particle":"","family":"Cooperband","given":"Leslie","non-dropping-particle":"","parse-names":false,"suffix":""}],"id":"ITEM-1","issued":{"date-parts":[["2002"]]},"title":"The art and science of composting. A resource for farmers and compost producers","type":"report"},"uris":["http://www.mendeley.com/documents/?uuid=36644cb7-2d3a-4846-831f-18a99a16be63"]}],"mendeley":{"formattedCitation":"(Cooperband, 2002)","manualFormatting":"Cooperband (2002)","plainTextFormattedCitation":"(Cooperband, 2002)","previouslyFormattedCitation":"(Cooperband, 2002)"},"properties":{"noteIndex":0},"schema":"https://github.com/citation-style-language/schema/raw/master/csl-citation.json"}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Cooperband (2002)</w:t>
            </w:r>
            <w:r w:rsidRPr="00C81B1E">
              <w:rPr>
                <w:rFonts w:eastAsia="Calibri"/>
                <w:lang w:val="en-GB" w:eastAsia="en-US"/>
              </w:rPr>
              <w:fldChar w:fldCharType="end"/>
            </w:r>
            <w:r w:rsidRPr="00C81B1E">
              <w:rPr>
                <w:rFonts w:eastAsia="Calibri"/>
                <w:lang w:val="en-GB" w:eastAsia="en-US"/>
              </w:rPr>
              <w:t xml:space="preserve">, TT: </w:t>
            </w:r>
            <w:r w:rsidRPr="00C81B1E">
              <w:rPr>
                <w:rFonts w:eastAsia="Calibri"/>
                <w:lang w:val="en-GB" w:eastAsia="en-US"/>
              </w:rPr>
              <w:fldChar w:fldCharType="begin" w:fldLock="1"/>
            </w:r>
            <w:r w:rsidRPr="00C81B1E">
              <w:rPr>
                <w:rFonts w:eastAsia="Calibri"/>
                <w:lang w:val="en-GB" w:eastAsia="en-US"/>
              </w:rPr>
              <w:instrText>ADDIN CSL_CITATION {"citationItems":[{"id":"ITEM-1","itemData":{"author":[{"dropping-particle":"","family":"Defra","given":"","non-dropping-particle":"","parse-names":false,"suffix":""}],"id":"ITEM-1","issue":"February","issued":{"date-parts":[["2013"]]},"title":"Incineration of Municipal Solid Waste","type":"report"},"uris":["http://www.mendeley.com/documents/?uuid=f298b078-550a-47ac-ac51-37b02e84ca51"]}],"mendeley":{"formattedCitation":"(Defra, 2013)","manualFormatting":"Defra (2013b)","plainTextFormattedCitation":"(Defra, 2013)","previouslyFormattedCitation":"(Defra, 2013)"},"properties":{"noteIndex":0},"schema":"https://github.com/citation-style-language/schema/raw/master/csl-citation.json"}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Defra (2013b)</w:t>
            </w:r>
            <w:r w:rsidRPr="00C81B1E">
              <w:rPr>
                <w:rFonts w:eastAsia="Calibri"/>
                <w:lang w:val="en-GB" w:eastAsia="en-US"/>
              </w:rPr>
              <w:fldChar w:fldCharType="end"/>
            </w:r>
          </w:p>
        </w:tc>
      </w:tr>
      <w:tr w:rsidR="00C81B1E" w:rsidRPr="00C81B1E" w14:paraId="026B52B8" w14:textId="77777777" w:rsidTr="00C81B1E">
        <w:trPr>
          <w:trHeight w:val="285"/>
        </w:trPr>
        <w:tc>
          <w:tcPr>
            <w:tcW w:w="1716" w:type="dxa"/>
            <w:tcBorders>
              <w:top w:val="single" w:sz="4" w:space="0" w:color="7F7F7F"/>
              <w:bottom w:val="single" w:sz="4" w:space="0" w:color="7F7F7F"/>
            </w:tcBorders>
            <w:shd w:val="clear" w:color="auto" w:fill="auto"/>
            <w:noWrap/>
            <w:vAlign w:val="center"/>
            <w:hideMark/>
          </w:tcPr>
          <w:p w14:paraId="0796BB9B"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Volume of equipment available</w:t>
            </w:r>
          </w:p>
        </w:tc>
        <w:tc>
          <w:tcPr>
            <w:tcW w:w="1843" w:type="dxa"/>
            <w:tcBorders>
              <w:top w:val="single" w:sz="4" w:space="0" w:color="7F7F7F"/>
              <w:bottom w:val="single" w:sz="4" w:space="0" w:color="7F7F7F"/>
            </w:tcBorders>
            <w:shd w:val="clear" w:color="auto" w:fill="auto"/>
            <w:noWrap/>
            <w:vAlign w:val="center"/>
            <w:hideMark/>
          </w:tcPr>
          <w:p w14:paraId="3CA7DC7C" w14:textId="77777777" w:rsidR="00C7764C" w:rsidRPr="00C81B1E" w:rsidRDefault="00C7764C" w:rsidP="00C81B1E">
            <w:pPr>
              <w:pStyle w:val="MDPI42tablebody"/>
              <w:rPr>
                <w:rFonts w:eastAsia="Calibri"/>
                <w:lang w:val="en-GB" w:eastAsia="en-US"/>
              </w:rPr>
            </w:pPr>
            <w:r w:rsidRPr="00C81B1E">
              <w:rPr>
                <w:rFonts w:eastAsia="Calibri"/>
                <w:lang w:val="en-GB" w:eastAsia="en-US"/>
              </w:rPr>
              <w:t>m</w:t>
            </w:r>
            <w:r w:rsidRPr="00C81B1E">
              <w:rPr>
                <w:rFonts w:eastAsia="Calibri"/>
                <w:vertAlign w:val="superscript"/>
                <w:lang w:val="en-GB" w:eastAsia="en-US"/>
              </w:rPr>
              <w:t>3</w:t>
            </w:r>
          </w:p>
        </w:tc>
        <w:tc>
          <w:tcPr>
            <w:tcW w:w="992" w:type="dxa"/>
            <w:tcBorders>
              <w:top w:val="single" w:sz="4" w:space="0" w:color="7F7F7F"/>
              <w:bottom w:val="single" w:sz="4" w:space="0" w:color="7F7F7F"/>
            </w:tcBorders>
            <w:shd w:val="clear" w:color="auto" w:fill="auto"/>
            <w:noWrap/>
            <w:vAlign w:val="center"/>
            <w:hideMark/>
          </w:tcPr>
          <w:p w14:paraId="0EC25D36"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 TT</w:t>
            </w:r>
          </w:p>
        </w:tc>
        <w:tc>
          <w:tcPr>
            <w:tcW w:w="4536" w:type="dxa"/>
            <w:vMerge/>
            <w:tcBorders>
              <w:top w:val="single" w:sz="4" w:space="0" w:color="7F7F7F"/>
              <w:bottom w:val="single" w:sz="4" w:space="0" w:color="7F7F7F"/>
            </w:tcBorders>
            <w:shd w:val="clear" w:color="auto" w:fill="auto"/>
            <w:noWrap/>
            <w:vAlign w:val="center"/>
            <w:hideMark/>
          </w:tcPr>
          <w:p w14:paraId="517EA420" w14:textId="77777777" w:rsidR="00C7764C" w:rsidRPr="00C81B1E" w:rsidRDefault="00C7764C" w:rsidP="00C81B1E">
            <w:pPr>
              <w:pStyle w:val="MDPI42tablebody"/>
              <w:rPr>
                <w:rFonts w:eastAsia="Calibri"/>
                <w:lang w:val="en-GB" w:eastAsia="en-US"/>
              </w:rPr>
            </w:pPr>
          </w:p>
        </w:tc>
      </w:tr>
      <w:tr w:rsidR="00C81B1E" w:rsidRPr="00C81B1E" w14:paraId="2BC49C27" w14:textId="77777777" w:rsidTr="00C81B1E">
        <w:trPr>
          <w:trHeight w:val="255"/>
        </w:trPr>
        <w:tc>
          <w:tcPr>
            <w:tcW w:w="1716" w:type="dxa"/>
            <w:shd w:val="clear" w:color="auto" w:fill="auto"/>
            <w:noWrap/>
            <w:vAlign w:val="center"/>
            <w:hideMark/>
          </w:tcPr>
          <w:p w14:paraId="6A511051"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Number of stages</w:t>
            </w:r>
          </w:p>
        </w:tc>
        <w:tc>
          <w:tcPr>
            <w:tcW w:w="1843" w:type="dxa"/>
            <w:shd w:val="clear" w:color="auto" w:fill="auto"/>
            <w:noWrap/>
            <w:vAlign w:val="center"/>
            <w:hideMark/>
          </w:tcPr>
          <w:p w14:paraId="42EBEB77" w14:textId="77777777" w:rsidR="00C7764C" w:rsidRPr="00C81B1E" w:rsidRDefault="00C7764C" w:rsidP="00C81B1E">
            <w:pPr>
              <w:pStyle w:val="MDPI42tablebody"/>
              <w:rPr>
                <w:rFonts w:eastAsia="Calibri"/>
                <w:lang w:val="en-GB" w:eastAsia="en-US"/>
              </w:rPr>
            </w:pPr>
            <w:r w:rsidRPr="00C81B1E">
              <w:rPr>
                <w:rFonts w:eastAsia="Calibri"/>
                <w:lang w:val="en-GB" w:eastAsia="en-US"/>
              </w:rPr>
              <w:t>Number and type</w:t>
            </w:r>
          </w:p>
        </w:tc>
        <w:tc>
          <w:tcPr>
            <w:tcW w:w="992" w:type="dxa"/>
            <w:shd w:val="clear" w:color="auto" w:fill="auto"/>
            <w:noWrap/>
            <w:vAlign w:val="center"/>
            <w:hideMark/>
          </w:tcPr>
          <w:p w14:paraId="6FB4FE42"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 TT</w:t>
            </w:r>
          </w:p>
        </w:tc>
        <w:tc>
          <w:tcPr>
            <w:tcW w:w="4536" w:type="dxa"/>
            <w:shd w:val="clear" w:color="auto" w:fill="auto"/>
            <w:noWrap/>
            <w:vAlign w:val="center"/>
            <w:hideMark/>
          </w:tcPr>
          <w:p w14:paraId="0D8B1581" w14:textId="77777777" w:rsidR="00C7764C" w:rsidRPr="00C81B1E" w:rsidRDefault="00C7764C" w:rsidP="00C81B1E">
            <w:pPr>
              <w:pStyle w:val="MDPI42tablebody"/>
              <w:rPr>
                <w:rFonts w:eastAsia="Calibri"/>
                <w:lang w:val="es-ES" w:eastAsia="en-US"/>
              </w:rPr>
            </w:pPr>
            <w:r w:rsidRPr="00C81B1E">
              <w:rPr>
                <w:rFonts w:eastAsia="Calibri"/>
                <w:lang w:val="en-GB" w:eastAsia="en-US"/>
              </w:rPr>
              <w:t xml:space="preserve">AD: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{"citationItems":[{"id":"ITEM-1","itemData":{"DOI":"10.1016/j.rser.2015.02.032","ISBN":"1364-0321","ISSN":"13640321","abstract":"With the rising demand for renewable energy and environmental protection, anaerobic digestion of biogas technology has attracted considerable attention within the scientific community. This paper presents a comprehensive review of research achievements on anaerobic digestion developments for biogas production. The review includes a discussion of factors affecting efficiency (temperature, pH, C/N ratio, OLR and retention time), accelerants (greenery biomass, biological pure culture and inorganic additives), reactors (conventional anaerobic reactors, sludge retention reactors and anaerobic membrane reactors) and biogas AD processes (lignocellulose waste, municipal solid waste, food waste, livestock manure and waste activated sludge) based on substrate characteristics and discusses the application of each forementioned aspect. The factors affecting efficiency are crucial to anaerobic digestion, because they play a major role in biogas production and determine the metabolic conditions for microorganism growth. As an additive, an accelerant is not only regarded as a nutrient resource, but can also improve biodegradability. The focus of reactor design is the sufficient utilization of a substrate by changing the feeding method and enhancing the attachment to biomass. The optimal digestion process balances the optimal digest conditions with the cost-optimal input/output ratio. Additionally, establishment of theoretical and technological studies should emphasize practicality based on laboratory-scale experiments because further development of biogas plants would allow for a transition from household to medium- and large-scale projects; therefore, improving stability and efficiency are recommended for advancing AD research.","author":[{"dropping-particle":"","family":"Mao","given":"Chunlan","non-dropping-particle":"","parse-names":false,"suffix":""},{"dropping-particle":"","family":"Feng","given":"Yongzhong","non-dropping-particle":"","parse-names":false,"suffix":""},{"dropping-particle":"","family":"Wang","given":"Xiaojiao","non-dropping-particle":"","parse-names":false,"suffix":""},{"dropping-particle":"","family":"Ren","given":"Guangxin","non-dropping-particle":"","parse-names":false,"suffix":""}],"container-title":"Renewable and Sustainable Energy Reviews","id":"ITEM-1","issued":{"date-parts":[["2015"]]},"page":"540-555","publisher":"Elsevier","title":"Review on research achievements of biogas from anaerobic digestion","type":"article-journal","volume":"45"},"uris":["http://www.mendeley.com/documents/?uuid=8f980546-dcd5-4d27-9e23-93fa618ec396"]}],"mendeley":{"formattedCitation":"(Mao et al., 2015)","manualFormatting":"Mao et al. (2015)","plainTextFormattedCitation":"(Mao et al., 2015)","previouslyFormattedCitation":"(Mao et al., 2015)"},"properties":{"noteIndex":0},"schema":"https://github.com/citation-style-language/schema/raw/master/csl-citation.json"}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Mao et al. (2015)</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{"citationItems":[{"id":"ITEM-1","itemData":{"DOI":"10.1016/j.biortech.2005.02.013","ISBN":"09608524","ISSN":"09608524","PMID":"15990292","abstract":"A laboratory reactor was designed to study the effects of operating parameters (air suction rate, seeding and agitation) on the composting process of a synthetic food waste made of dog food. Experimental results showed that the synthetic food waste could be composted within 4 days and the final compost passed the maturity tests. In most cases except those with 32% of seeding, the process involved two major stages of composting. The two peak temperatures between 50 and 60??C occurred at 8-12th hour and 50-65th hour, respectively. Operating parameters that converted the most volatile solids and carbons in the feedstock were as follows: 1.6 l air/kg dry solid-min of air suction rate, 32% of seeding and 50% of agitation time. ?? 2005 Elsevier Ltd. All rights reserved.","author":[{"dropping-particle":"","family":"Chang","given":"James I.","non-dropping-particle":"","parse-names":false,"suffix":""},{"dropping-particle":"","family":"Tsai","given":"J. J.","non-dropping-particle":"","parse-names":false,"suffix":""},{"dropping-particle":"","family":"Wu","given":"K. H.","non-dropping-particle":"","parse-names":false,"suffix":""}],"container-title":"Bioresource Technology","id":"ITEM-1","issue":"1","issued":{"date-parts":[["2006"]]},"page":"116-122","title":"Thermophilic composting of food waste","type":"article-journal","volume":"97"},"uris":["http://www.mendeley.com/documents/?uuid=82a6af50-1555-4181-936c-c0828d75ea9f"]}],"mendeley":{"formattedCitation":"(Chang et al., 2006)","manualFormatting":"Chang et al. (2006)","plainTextFormattedCitation":"(Chang et al., 2006)","previouslyFormattedCitation":"(Chang et al., 2006)"},"properties":{"noteIndex":0},"schema":"https://github.com/citation-style-language/schema/raw/master/csl-citation.json"}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s-ES" w:eastAsia="en-US"/>
              </w:rPr>
              <w:t>Chang et al. (2006)</w:t>
            </w:r>
            <w:r w:rsidRPr="00C81B1E">
              <w:rPr>
                <w:rFonts w:eastAsia="Calibri"/>
                <w:lang w:val="en-GB" w:eastAsia="en-US"/>
              </w:rPr>
              <w:fldChar w:fldCharType="end"/>
            </w:r>
            <w:r w:rsidRPr="00C81B1E">
              <w:rPr>
                <w:rFonts w:eastAsia="Calibri"/>
                <w:lang w:val="es-ES" w:eastAsia="en-US"/>
              </w:rPr>
              <w:t xml:space="preserve">, TT: </w:t>
            </w:r>
            <w:r w:rsidRPr="00C81B1E">
              <w:rPr>
                <w:rFonts w:eastAsia="Calibri"/>
                <w:lang w:val="en-GB" w:eastAsia="en-US"/>
              </w:rPr>
              <w:fldChar w:fldCharType="begin" w:fldLock="1"/>
            </w:r>
            <w:r w:rsidRPr="00C81B1E">
              <w:rPr>
                <w:rFonts w:eastAsia="Calibri"/>
                <w:lang w:val="es-ES" w:eastAsia="en-US"/>
              </w:rPr>
              <w:instrText>ADDIN CSL_CITATION {"citationItems":[{"id":"ITEM-1","itemData":{"author":[{"dropping-particle":"","family":"Lohri","given":"Christian Riu","non-dropping-particle":"","parse-names":false,"suffix":""},{"dropping-particle":"","family":"Sweeney","given":"Dan","non-dropping-particle":"","parse-names":false,"suffix":""},{"dropping-particle":"","family":"Rajabu","given":"Hassan Mtoro","non-dropping-particle":"","parse-names":false,"suffix":""}],"id":"ITEM-1","issued":{"date-parts":[["2015"]]},"title":"Carbonizing urban biowaste for low-cost char production in developing countries - A review of knowledge, practices and technologies","type":"article-journal"},"uris":["http://www.mendeley.com/documents/?uuid=d1edbab1-e9d1-4e11-b2ec-6fc3d54e4435"]}],"mendeley":{"formattedCitation":"(Lohri et al., 2015)","manualFormatting":"Lohri et al. (2015)","plainTextFormattedCitation":"(Lohri et al., 2015)","previouslyFormattedCitation":"(Lohri et al., 2015)"},"properties":{"noteIndex":0},"schema":"https://github.com/citation-style-language/schema/raw/master/csl-citation.json"}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s-ES" w:eastAsia="en-US"/>
              </w:rPr>
              <w:t>Lohri et al. (2015)</w:t>
            </w:r>
            <w:r w:rsidRPr="00C81B1E">
              <w:rPr>
                <w:rFonts w:eastAsia="Calibri"/>
                <w:lang w:val="en-GB" w:eastAsia="en-US"/>
              </w:rPr>
              <w:fldChar w:fldCharType="end"/>
            </w:r>
          </w:p>
        </w:tc>
      </w:tr>
      <w:tr w:rsidR="00C81B1E" w:rsidRPr="00C81B1E" w14:paraId="389C9F04" w14:textId="77777777" w:rsidTr="00C81B1E">
        <w:trPr>
          <w:trHeight w:val="255"/>
        </w:trPr>
        <w:tc>
          <w:tcPr>
            <w:tcW w:w="1716" w:type="dxa"/>
            <w:tcBorders>
              <w:top w:val="single" w:sz="4" w:space="0" w:color="7F7F7F"/>
              <w:bottom w:val="single" w:sz="4" w:space="0" w:color="7F7F7F"/>
            </w:tcBorders>
            <w:shd w:val="clear" w:color="auto" w:fill="auto"/>
            <w:noWrap/>
            <w:vAlign w:val="center"/>
            <w:hideMark/>
          </w:tcPr>
          <w:p w14:paraId="30A7570A"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Temperature</w:t>
            </w:r>
          </w:p>
        </w:tc>
        <w:tc>
          <w:tcPr>
            <w:tcW w:w="1843" w:type="dxa"/>
            <w:tcBorders>
              <w:top w:val="single" w:sz="4" w:space="0" w:color="7F7F7F"/>
              <w:bottom w:val="single" w:sz="4" w:space="0" w:color="7F7F7F"/>
            </w:tcBorders>
            <w:shd w:val="clear" w:color="auto" w:fill="auto"/>
            <w:noWrap/>
            <w:vAlign w:val="center"/>
            <w:hideMark/>
          </w:tcPr>
          <w:p w14:paraId="1EC2F06E" w14:textId="77777777" w:rsidR="00C7764C" w:rsidRPr="00C81B1E" w:rsidRDefault="00C7764C" w:rsidP="00C81B1E">
            <w:pPr>
              <w:pStyle w:val="MDPI42tablebody"/>
              <w:rPr>
                <w:rFonts w:eastAsia="Calibri"/>
                <w:lang w:val="en-GB" w:eastAsia="en-US"/>
              </w:rPr>
            </w:pPr>
            <w:r w:rsidRPr="00C81B1E">
              <w:rPr>
                <w:rFonts w:eastAsia="Calibri"/>
                <w:lang w:val="en-GB" w:eastAsia="en-US"/>
              </w:rPr>
              <w:t>°C</w:t>
            </w:r>
          </w:p>
        </w:tc>
        <w:tc>
          <w:tcPr>
            <w:tcW w:w="992" w:type="dxa"/>
            <w:tcBorders>
              <w:top w:val="single" w:sz="4" w:space="0" w:color="7F7F7F"/>
              <w:bottom w:val="single" w:sz="4" w:space="0" w:color="7F7F7F"/>
            </w:tcBorders>
            <w:shd w:val="clear" w:color="auto" w:fill="auto"/>
            <w:noWrap/>
            <w:vAlign w:val="center"/>
            <w:hideMark/>
          </w:tcPr>
          <w:p w14:paraId="378E5E9D"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 TT</w:t>
            </w:r>
          </w:p>
        </w:tc>
        <w:tc>
          <w:tcPr>
            <w:tcW w:w="4536" w:type="dxa"/>
            <w:vMerge w:val="restart"/>
            <w:tcBorders>
              <w:top w:val="single" w:sz="4" w:space="0" w:color="7F7F7F"/>
              <w:bottom w:val="single" w:sz="4" w:space="0" w:color="7F7F7F"/>
            </w:tcBorders>
            <w:shd w:val="clear" w:color="auto" w:fill="auto"/>
            <w:noWrap/>
            <w:vAlign w:val="center"/>
            <w:hideMark/>
          </w:tcPr>
          <w:p w14:paraId="6BD07EC8"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AD: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{"citationItems":[{"id":"ITEM-1","itemData":{"DOI":"10.1016/j.rser.2015.02.032","ISBN":"1364-0321","ISSN":"13640321","abstract":"With the rising demand for renewable energy and environmental protection, anaerobic digestion of biogas technology has attracted considerable attention within the scientific community. This paper presents a comprehensive review of research achievements on anaerobic digestion developments for biogas production. The review includes a discussion of factors affecting efficiency (temperature, pH, C/N ratio, OLR and retention time), accelerants (greenery biomass, biological pure culture and inorganic additives), reactors (conventional anaerobic reactors, sludge retention reactors and anaerobic membrane reactors) and biogas AD processes (lignocellulose waste, municipal solid waste, food waste, livestock manure and waste activated sludge) based on substrate characteristics and discusses the application of each forementioned aspect. The factors affecting efficiency are crucial to anaerobic digestion, because they play a major role in biogas production and determine the metabolic conditions for microorganism growth. As an additive, an accelerant is not only regarded as a nutrient resource, but can also improve biodegradability. The focus of reactor design is the sufficient utilization of a substrate by changing the feeding method and enhancing the attachment to biomass. The optimal digestion process balances the optimal digest conditions with the cost-optimal input/output ratio. Additionally, establishment of theoretical and technological studies should emphasize practicality based on laboratory-scale experiments because further development of biogas plants would allow for a transition from household to medium- and large-scale projects; therefore, improving stability and efficiency are recommended for advancing AD research.","author":[{"dropping-particle":"","family":"Mao","given":"Chunlan","non-dropping-particle":"","parse-names":false,"suffix":""},{"dropping-particle":"","family":"Feng","given":"Yongzhong","non-dropping-particle":"","parse-names":false,"suffix":""},{"dropping-particle":"","family":"Wang","given":"Xiaojiao","non-dropping-particle":"","parse-names":false,"suffix":""},{"dropping-particle":"","family":"Ren","given":"Guangxin","non-dropping-particle":"","parse-names":false,"suffix":""}],"container-title":"Renewable and Sustainable Energy Reviews","id":"ITEM-1","issued":{"date-parts":[["2015"]]},"page":"540-555","publisher":"Elsevier","title":"Review on research achievements of biogas from anaerobic digestion","type":"article-journal","volume":"45"},"uris":["http://www.mendeley.com/documents/?uuid=8f980546-dcd5-4d27-9e23-93fa618ec396"]}],"mendeley":{"formattedCitation":"(Mao et al., 2015)","manualFormatting":"Mao et al. (2015)","plainTextFormattedCitation":"(Mao et al., 2015)","previouslyFormattedCitation":"(Mao et al., 2015)"},"properties":{"noteIndex":0},"schema":"https://github.com/citation-style-language/schema/raw/master/csl-citation.json"}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Mao et al. (2015)</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{"citationItems":[{"id":"ITEM-1","itemData":{"abstract":"Composting is controlled decomposition, the natural breakdown process of organic residues. Composting transforms raw organic waste materials into biologically stable, humic substances that make excellent soil amendments. Compost is easier to handle than manure and other raw organic materials, stores well and is odor-free.","author":[{"dropping-particle":"","family":"Cooperband","given":"Leslie","non-dropping-particle":"","parse-names":false,"suffix":""}],"id":"ITEM-1","issued":{"date-parts":[["2002"]]},"title":"The art and science of composting. A resource for farmers and compost producers","type":"report"},"uris":["http://www.mendeley.com/documents/?uuid=36644cb7-2d3a-4846-831f-18a99a16be63"]}],"mendeley":{"formattedCitation":"(Cooperband, 2002)","manualFormatting":"Cooperband (2002)","plainTextFormattedCitation":"(Cooperband, 2002)","previouslyFormattedCitation":"(Cooperband, 2002)"},"properties":{"noteIndex":0},"schema":"https://github.com/citation-style-language/schema/raw/master/csl-citation.json"}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Cooperband (2002)</w:t>
            </w:r>
            <w:r w:rsidRPr="00C81B1E">
              <w:rPr>
                <w:rFonts w:eastAsia="Calibri"/>
                <w:lang w:val="en-GB" w:eastAsia="en-US"/>
              </w:rPr>
              <w:fldChar w:fldCharType="end"/>
            </w:r>
            <w:r w:rsidRPr="00C81B1E">
              <w:rPr>
                <w:rFonts w:eastAsia="Calibri"/>
                <w:lang w:val="en-GB" w:eastAsia="en-US"/>
              </w:rPr>
              <w:t xml:space="preserve">, TT: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{"citationItems":[{"id":"ITEM-1","itemData":{"DOI":"10.1016/j.enconman.2009.12.025","ISBN":"0196-8904","ISSN":"01968904","abstract":"Energy recovery from food waste was studied using the food service at the US Naval Academy as a case study. Post-consumer food waste was captured over a period of ten days to estimate individual waste per meal and total waste per month. The food waste was analyzed for chemical composition and water content using ultimate and proximate analysis, and for energy content, and compared with the same analyses of wood (a more typical biomass fuel). Three different samples of food waste showed relative uniformity of properties despite being sampled on different days, with different menus. Food waste had lower oxygen content, higher nitrogen and ash content, and higher energy content than wood. The food waste in this study had approximately 70% water content. Temperatures and emissions from combustion of wood pellets, dried pelletized food waste, and dried non-pelletized food waste were measured and compared using a modified residential pellet stove. Temperatures were higher for food waste due to the higher energy content. Emissions of NO, HC, and soot were slightly higher for food waste. Despite the large water content, thermodynamic analysis showed that regenerative dehydration, in which waste energy from the combustion system is used to remove water from the incoming wet fuel, is possible. An excess enthalpy ratio is defined to formalize the comparison of waste sensible enthalpy with the energy required for dehydration. Analysis of fuel-lean combustion and fuel-rich gasification shows that little, if any, external energy would necessarily be required to remove the water from the incoming fuel. An equilibrium model was used to simulate waste food gasification by extending the simulation to high water content levels. Probable ranges for successful food waste gasification are identified. Energy recovery of waste food could result in cost savings by offsetting traditional fuel-use (e.g. natural gas for heating) and by reducing disposal costs.","author":[{"dropping-particle":"","family":"Caton","given":"P. a.","non-dropping-particle":"","parse-names":false,"suffix":""},{"dropping-particle":"","family":"Carr","given":"M. a.","non-dropping-particle":"","parse-names":false,"suffix":""},{"dropping-particle":"","family":"Kim","given":"S. S.","non-dropping-particle":"","parse-names":false,"suffix":""},{"dropping-particle":"","family":"Beautyman","given":"M. J.","non-dropping-particle":"","parse-names":false,"suffix":""}],"container-title":"Energy Conversion and Management","id":"ITEM-1","issue":"6","issued":{"date-parts":[["2010"]]},"page":"1157-1169","publisher":"Elsevier Ltd","title":"Energy recovery from waste food by combustion or gasification with the potential for regenerative dehydration: A case study","type":"article-journal","volume":"51"},"uris":["http://www.mendeley.com/documents/?uuid=4e1869b1-94de-4948-9bd3-b0a18b67b3b4"]}],"mendeley":{"formattedCitation":"(Caton et al., 2010)","manualFormatting":"Caton et al. (2010)","plainTextFormattedCitation":"(Caton et al., 2010)","previouslyFormattedCitation":"(Caton et al., 2010)"},"properties":{"noteIndex":0},"schema":"https://github.com/citation-style-language/schema/raw/master/csl-citation.json"}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Caton et al. (2010)</w:t>
            </w:r>
            <w:r w:rsidRPr="00C81B1E">
              <w:rPr>
                <w:rFonts w:eastAsia="Calibri"/>
                <w:lang w:val="en-GB" w:eastAsia="en-US"/>
              </w:rPr>
              <w:fldChar w:fldCharType="end"/>
            </w:r>
          </w:p>
        </w:tc>
      </w:tr>
      <w:tr w:rsidR="00C81B1E" w:rsidRPr="00C81B1E" w14:paraId="3033A5F6" w14:textId="77777777" w:rsidTr="00C81B1E">
        <w:trPr>
          <w:trHeight w:val="255"/>
        </w:trPr>
        <w:tc>
          <w:tcPr>
            <w:tcW w:w="1716" w:type="dxa"/>
            <w:shd w:val="clear" w:color="auto" w:fill="auto"/>
            <w:noWrap/>
            <w:vAlign w:val="center"/>
            <w:hideMark/>
          </w:tcPr>
          <w:p w14:paraId="6B8D26B4"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Process time</w:t>
            </w:r>
          </w:p>
        </w:tc>
        <w:tc>
          <w:tcPr>
            <w:tcW w:w="1843" w:type="dxa"/>
            <w:shd w:val="clear" w:color="auto" w:fill="auto"/>
            <w:noWrap/>
            <w:vAlign w:val="center"/>
            <w:hideMark/>
          </w:tcPr>
          <w:p w14:paraId="2112C7D2" w14:textId="77777777" w:rsidR="00C7764C" w:rsidRPr="00C81B1E" w:rsidRDefault="00C7764C" w:rsidP="00C81B1E">
            <w:pPr>
              <w:pStyle w:val="MDPI42tablebody"/>
              <w:rPr>
                <w:rFonts w:eastAsia="Calibri"/>
                <w:lang w:val="en-GB" w:eastAsia="en-US"/>
              </w:rPr>
            </w:pPr>
            <w:r w:rsidRPr="00C81B1E">
              <w:rPr>
                <w:rFonts w:eastAsia="Calibri"/>
                <w:lang w:val="en-GB" w:eastAsia="en-US"/>
              </w:rPr>
              <w:t>Days / hours</w:t>
            </w:r>
          </w:p>
        </w:tc>
        <w:tc>
          <w:tcPr>
            <w:tcW w:w="992" w:type="dxa"/>
            <w:shd w:val="clear" w:color="auto" w:fill="auto"/>
            <w:noWrap/>
            <w:vAlign w:val="center"/>
            <w:hideMark/>
          </w:tcPr>
          <w:p w14:paraId="688883A6"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 TT</w:t>
            </w:r>
          </w:p>
        </w:tc>
        <w:tc>
          <w:tcPr>
            <w:tcW w:w="4536" w:type="dxa"/>
            <w:vMerge/>
            <w:shd w:val="clear" w:color="auto" w:fill="auto"/>
            <w:noWrap/>
            <w:vAlign w:val="center"/>
            <w:hideMark/>
          </w:tcPr>
          <w:p w14:paraId="582F78A1" w14:textId="77777777" w:rsidR="00C7764C" w:rsidRPr="00C81B1E" w:rsidRDefault="00C7764C" w:rsidP="00C81B1E">
            <w:pPr>
              <w:pStyle w:val="MDPI42tablebody"/>
              <w:rPr>
                <w:rFonts w:eastAsia="Calibri"/>
                <w:lang w:val="en-GB" w:eastAsia="en-US"/>
              </w:rPr>
            </w:pPr>
          </w:p>
        </w:tc>
      </w:tr>
      <w:tr w:rsidR="00C81B1E" w:rsidRPr="00C81B1E" w14:paraId="3E565613" w14:textId="77777777" w:rsidTr="00C81B1E">
        <w:trPr>
          <w:trHeight w:val="255"/>
        </w:trPr>
        <w:tc>
          <w:tcPr>
            <w:tcW w:w="1716" w:type="dxa"/>
            <w:tcBorders>
              <w:top w:val="single" w:sz="4" w:space="0" w:color="7F7F7F"/>
              <w:bottom w:val="single" w:sz="4" w:space="0" w:color="7F7F7F"/>
            </w:tcBorders>
            <w:shd w:val="clear" w:color="auto" w:fill="auto"/>
            <w:noWrap/>
            <w:vAlign w:val="center"/>
            <w:hideMark/>
          </w:tcPr>
          <w:p w14:paraId="4872904E"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Treatment method</w:t>
            </w:r>
          </w:p>
        </w:tc>
        <w:tc>
          <w:tcPr>
            <w:tcW w:w="1843" w:type="dxa"/>
            <w:tcBorders>
              <w:top w:val="single" w:sz="4" w:space="0" w:color="7F7F7F"/>
              <w:bottom w:val="single" w:sz="4" w:space="0" w:color="7F7F7F"/>
            </w:tcBorders>
            <w:shd w:val="clear" w:color="auto" w:fill="auto"/>
            <w:noWrap/>
            <w:vAlign w:val="center"/>
            <w:hideMark/>
          </w:tcPr>
          <w:p w14:paraId="6E16D42E"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Batch / Continuous / </w:t>
            </w:r>
            <w:r w:rsidRPr="00C81B1E">
              <w:rPr>
                <w:rFonts w:eastAsia="Calibri"/>
                <w:lang w:val="en-GB" w:eastAsia="en-US"/>
              </w:rPr>
              <w:lastRenderedPageBreak/>
              <w:t>Semi-continuous</w:t>
            </w:r>
          </w:p>
        </w:tc>
        <w:tc>
          <w:tcPr>
            <w:tcW w:w="992" w:type="dxa"/>
            <w:tcBorders>
              <w:top w:val="single" w:sz="4" w:space="0" w:color="7F7F7F"/>
              <w:bottom w:val="single" w:sz="4" w:space="0" w:color="7F7F7F"/>
            </w:tcBorders>
            <w:shd w:val="clear" w:color="auto" w:fill="auto"/>
            <w:noWrap/>
            <w:vAlign w:val="center"/>
            <w:hideMark/>
          </w:tcPr>
          <w:p w14:paraId="7CD6CC5D" w14:textId="77777777" w:rsidR="00C7764C" w:rsidRPr="00C81B1E" w:rsidRDefault="00C7764C" w:rsidP="00C81B1E">
            <w:pPr>
              <w:pStyle w:val="MDPI42tablebody"/>
              <w:rPr>
                <w:rFonts w:eastAsia="Calibri"/>
                <w:lang w:val="en-GB" w:eastAsia="en-US"/>
              </w:rPr>
            </w:pPr>
            <w:r w:rsidRPr="00C81B1E">
              <w:rPr>
                <w:rFonts w:eastAsia="Calibri"/>
                <w:lang w:val="en-GB" w:eastAsia="en-US"/>
              </w:rPr>
              <w:lastRenderedPageBreak/>
              <w:t>AD, C, TT</w:t>
            </w:r>
          </w:p>
        </w:tc>
        <w:tc>
          <w:tcPr>
            <w:tcW w:w="4536" w:type="dxa"/>
            <w:tcBorders>
              <w:top w:val="single" w:sz="4" w:space="0" w:color="7F7F7F"/>
              <w:bottom w:val="single" w:sz="4" w:space="0" w:color="7F7F7F"/>
            </w:tcBorders>
            <w:shd w:val="clear" w:color="auto" w:fill="auto"/>
            <w:noWrap/>
            <w:vAlign w:val="center"/>
            <w:hideMark/>
          </w:tcPr>
          <w:p w14:paraId="576AFC1A" w14:textId="77777777" w:rsidR="00C7764C" w:rsidRPr="00C81B1E" w:rsidRDefault="00C7764C" w:rsidP="00C81B1E">
            <w:pPr>
              <w:pStyle w:val="MDPI42tablebody"/>
              <w:rPr>
                <w:rFonts w:eastAsia="Calibri"/>
                <w:lang w:val="es-ES" w:eastAsia="en-US"/>
              </w:rPr>
            </w:pPr>
            <w:r w:rsidRPr="00C81B1E">
              <w:rPr>
                <w:rFonts w:eastAsia="Calibri"/>
                <w:lang w:val="en-GB" w:eastAsia="en-US"/>
              </w:rPr>
              <w:t xml:space="preserve">AD: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{"citationItems":[{"id":"ITEM-1","itemData":{"DOI":"10.1016/j.rser.2015.02.032","ISBN":"1364-0321","ISSN":"13640321","abstract":"With the rising demand for renewable energy and environmental protection, anaerobic digestion of biogas technology has attracted considerable attention within the scientific community. This paper presents a comprehensive review of research achievements on anaerobic digestion developments for biogas production. The review includes a discussion of factors affecting efficiency (temperature, pH, C/N ratio, OLR and retention time), accelerants (greenery biomass, biological pure culture and inorganic additives), reactors (conventional anaerobic reactors, sludge retention reactors and anaerobic membrane reactors) and biogas AD processes (lignocellulose waste, municipal solid waste, food waste, livestock manure and waste activated sludge) based on substrate characteristics and discusses the application of each forementioned aspect. The factors affecting efficiency are crucial to anaerobic digestion, because they play a major role in biogas production and determine the metabolic conditions for microorganism growth. As an additive, an accelerant is not only regarded as a nutrient resource, but can also improve biodegradability. The focus of reactor design is the sufficient utilization of a substrate by changing the feeding method and enhancing the attachment to biomass. The optimal digestion process balances the optimal digest conditions with the cost-optimal input/output ratio. Additionally, establishment of theoretical and technological studies should emphasize practicality based on laboratory-scale experiments because further development of biogas plants would allow for a transition from household to medium- and large-scale projects; therefore, improving stability and efficiency are recommended for advancing AD research.","author":[{"dropping-particle":"","family":"Mao","given":"Chunlan","non-dropping-particle":"","parse-names":false,"suffix":""},{"dropping-particle":"","family":"Feng","given":"Yongzhong","non-dropping-particle":"","parse-names":false,"suffix":""},{"dropping-particle":"","family":"Wang","given":"Xiaojiao","non-dropping-particle":"","parse-names":false,"suffix":""},{"dropping-particle":"","family":"Ren","given":"Guangxin","non-dropping-particle":"","parse-names":false,"suffix":""}],"container-title":"Renewable and Sustainable Energy Reviews","id":"ITEM-1","issued":{"date-parts":[["2015"]]},"page":"540-555","publisher":"Elsevier","title":"Review on research achievements of biogas from anaerobic digestion","type":"article-journal","volume":"45"},"uris":["http://www.mendeley.com/documents/?uuid=8f980546-dcd5-4d27-9e23-93fa618ec396"]}],"mendeley":{"formattedCitation":"(Mao et al., 2015)","manualFormatting":"Mao et al. (2015)","plainTextFormattedCitation":"(Mao et al., 2015)","previouslyFormattedCitation":"(Mao et al., 2015)"},"properties":{"noteIndex":0},"schema":"https://github.com/citation-style-language/schema/raw/master/csl-citation.json"}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Mao et al. (2015)</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{"citationItems":[{"id":"ITEM-1","itemData":{"DOI":"10.1016/S0032-9592(03)00233-4","ISBN":"0032-9592","ISSN":"00329592","abstract":"Evaluation of fed-batch composing, with three different moisture conditions, for Korean food wastes was conducted using the water extractable total organic carbon content (TOCw) of mixed materials. Composting with about 50% initial moisture content was slightly more effective than composting with about 60% initial moisture content and of that where the moisture content was constantly controlled at about 50%. These different efficiencies were shown well by various indices of the composting rates, especially those based on variations of the TOCw in the mixed materials. The TOCw content represents the easily biodegradable components of organic waste, rather than the volatile or dry solids contents. The rates of the TOCw degradation showed relatively good correlations with the rates of the total wet weight reduction, as well as the rate of CO2 evolution, during the composting process. Therefore, it could also be used as a more appropriate index for the evaluation of this kind of high-rate composting process. Additionally, variations in the TOCw clearly followed the Arrhenius equation and its degradation could be estimated quantitatively using a first order reaction model. Moreover, the percentage of TOCw degradation in each cycle could be predicted based on the similarity of variations in the TOCw of each cycle in a fed-batch composting process. ?? 2003 Elsevier Ltd. All rights reserved.","author":[{"dropping-particle":"","family":"Kwon","given":"Sung Hwan","non-dropping-particle":"","parse-names":false,"suffix":""},{"dropping-particle":"","family":"Lee","given":"Dong Hoon","non-dropping-particle":"","parse-names":false,"suffix":""}],"container-title":"Process Biochemistry","id":"ITEM-1","issue":"10","issued":{"date-parts":[["2004"]]},"page":"1183-1194","title":"Evaluation of Korean food waste composting with fed-batch operations I: Using water extractable total organic carbon contents (TOCw)","type":"article-journal","volume":"39"},"uris":["http://www.mendeley.com/documents/?uuid=f4f64f88-6e5a-42a8-b756-cbedf6fd58b2"]}],"mendeley":{"formattedCitation":"(Kwon and Lee, 2004)","manualFormatting":"Kwon &amp; Lee (2004)","plainTextFormattedCitation":"(Kwon and Lee, 2004)","previouslyFormattedCitation":"(Kwon and Lee, 2004)"},"properties":{"noteIndex":0},"schema":"https://github.com/citation-style-language/schema/raw/master/csl-citation.json"}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s-ES" w:eastAsia="en-US"/>
              </w:rPr>
              <w:t>Kwon &amp; Lee (2004)</w:t>
            </w:r>
            <w:r w:rsidRPr="00C81B1E">
              <w:rPr>
                <w:rFonts w:eastAsia="Calibri"/>
                <w:lang w:val="en-GB" w:eastAsia="en-US"/>
              </w:rPr>
              <w:fldChar w:fldCharType="end"/>
            </w:r>
            <w:r w:rsidRPr="00C81B1E">
              <w:rPr>
                <w:rFonts w:eastAsia="Calibri"/>
                <w:lang w:val="es-ES" w:eastAsia="en-US"/>
              </w:rPr>
              <w:t xml:space="preserve">, </w:t>
            </w:r>
            <w:r w:rsidRPr="00C81B1E">
              <w:rPr>
                <w:rFonts w:eastAsia="Calibri"/>
                <w:lang w:val="en-GB" w:eastAsia="en-US"/>
              </w:rPr>
              <w:fldChar w:fldCharType="begin" w:fldLock="1"/>
            </w:r>
            <w:r w:rsidRPr="00C81B1E">
              <w:rPr>
                <w:rFonts w:eastAsia="Calibri"/>
                <w:lang w:val="es-ES" w:eastAsia="en-US"/>
              </w:rPr>
              <w:instrText>ADDIN CSL_CITATION {"citationItems":[{"id":"ITEM-1","itemData":{"ISSN":"00992240","PMID":"16345194","abstract":"A compost production system was employed to supply uniform material for controlled experiments of factorial design. Over a 96-h composting period, the cumulative amount of CO(2) evolved was maximal at 56 to 60 degrees C, an aeration rate that left an O(2) residual of 10 or 18% in the exhaust gas and a moisture content of 60% wet weight. Carbon dioxide evolution was submaximal at 64 degrees C and higher.","author":[{"dropping-particle":"","family":"Suler","given":"D. J.","non-dropping-particle":"","parse-names":false,"suffix":""},{"dropping-particle":"","family":"Finstein","given":"M. S.","non-dropping-particle":"","parse-names":false,"suffix":""}],"container-title":"Applied and Environmental Microbiology","id":"ITEM-1","issue":"2","issued":{"date-parts":[["1977"]]},"page":"345-350","title":"Effect of temperature, aeration, and moisture on CO2 formation in bench scale, continuously thermophilic composting of solid waste","type":"article-journal","volume":"33"},"uris":["http://www.mendeley.com/documents/?uuid=ba219214-8fe0-4eb5-94e1-96fea62b2160"]}],"mendeley":{"formattedCitation":"(Suler and Finstein, 1977)","manualFormatting":"Suler &amp; Finstein (1977)","plainTextFormattedCitation":"(Suler and Finstein, 1977)","previouslyFormattedCitation":"(Suler and Finstein, 1977)"},"properties":{"noteIndex":0},"schema":"https://github.com/citation-style-language/schema/raw/master/csl-citation.json"}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s-ES" w:eastAsia="en-US"/>
              </w:rPr>
              <w:t>Suler &amp; Finstein (1977)</w:t>
            </w:r>
            <w:r w:rsidRPr="00C81B1E">
              <w:rPr>
                <w:rFonts w:eastAsia="Calibri"/>
                <w:lang w:val="en-GB" w:eastAsia="en-US"/>
              </w:rPr>
              <w:fldChar w:fldCharType="end"/>
            </w:r>
            <w:r w:rsidRPr="00C81B1E">
              <w:rPr>
                <w:rFonts w:eastAsia="Calibri"/>
                <w:lang w:val="es-ES" w:eastAsia="en-US"/>
              </w:rPr>
              <w:t xml:space="preserve">, TT: </w:t>
            </w:r>
            <w:r w:rsidRPr="00C81B1E">
              <w:rPr>
                <w:rFonts w:eastAsia="Calibri"/>
                <w:lang w:val="en-GB" w:eastAsia="en-US"/>
              </w:rPr>
              <w:fldChar w:fldCharType="begin" w:fldLock="1"/>
            </w:r>
            <w:r w:rsidRPr="00C81B1E">
              <w:rPr>
                <w:rFonts w:eastAsia="Calibri"/>
                <w:lang w:val="es-ES" w:eastAsia="en-US"/>
              </w:rPr>
              <w:instrText>ADDIN CSL_CITATION {"citationItems":[{"id":"ITEM-1","itemData":{"author":[{"dropping-particle":"","family":"Lohri","given":"Christian Riu","non-dropping-particle":"","parse-names":false,"suffix":""},{"dropping-particle":"","family":"Sweeney","given":"Dan","non-dropping-particle":"","parse-names":false,"suffix":""},{"dropping-particle":"","family":"Rajabu","given":"Hassan Mtoro","non-dropping-particle":"","parse-names":false,"suffix":""}],"id":"ITEM-1","issued":{"date-parts":[["2015"]]},"title":"Carbonizing urban biowaste for low-cost char production in developing countries - A review of knowledge, practices and technologies","type":"article-journal"},"uris":["http://www.mendeley.com/documents/?uuid=d1edbab1-e9d1-4e11-b2ec-6fc3d54e4435"]}],"mendeley":{"formattedCitation":"(Lohri et al., 2015)","manualFormatting":"Lohri et al. (2015)","plainTextFormattedCitation":"(Lohri et al., 2015)","previouslyFormattedCitation":"(Lohri et al., 2015)"},"properties":{"noteIndex":0},"schema":"https://github.com/citation-style-language/schema/raw/master/csl-citation.json"}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s-ES" w:eastAsia="en-US"/>
              </w:rPr>
              <w:t>Lohri et al. (2015)</w:t>
            </w:r>
            <w:r w:rsidRPr="00C81B1E">
              <w:rPr>
                <w:rFonts w:eastAsia="Calibri"/>
                <w:lang w:val="en-GB" w:eastAsia="en-US"/>
              </w:rPr>
              <w:fldChar w:fldCharType="end"/>
            </w:r>
          </w:p>
        </w:tc>
      </w:tr>
      <w:tr w:rsidR="00C81B1E" w:rsidRPr="00C81B1E" w14:paraId="60ACE61D" w14:textId="77777777" w:rsidTr="00C81B1E">
        <w:trPr>
          <w:trHeight w:val="255"/>
        </w:trPr>
        <w:tc>
          <w:tcPr>
            <w:tcW w:w="1716" w:type="dxa"/>
            <w:shd w:val="clear" w:color="auto" w:fill="auto"/>
            <w:noWrap/>
            <w:vAlign w:val="center"/>
            <w:hideMark/>
          </w:tcPr>
          <w:p w14:paraId="1130EE92"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Pre-treatment</w:t>
            </w:r>
          </w:p>
        </w:tc>
        <w:tc>
          <w:tcPr>
            <w:tcW w:w="1843" w:type="dxa"/>
            <w:shd w:val="clear" w:color="auto" w:fill="auto"/>
            <w:noWrap/>
            <w:vAlign w:val="center"/>
            <w:hideMark/>
          </w:tcPr>
          <w:p w14:paraId="1D3D1E73" w14:textId="77777777" w:rsidR="00C7764C" w:rsidRPr="00C81B1E" w:rsidRDefault="00C7764C" w:rsidP="00C81B1E">
            <w:pPr>
              <w:pStyle w:val="MDPI42tablebody"/>
              <w:rPr>
                <w:rFonts w:eastAsia="Calibri"/>
                <w:lang w:val="en-GB" w:eastAsia="en-US"/>
              </w:rPr>
            </w:pPr>
            <w:r w:rsidRPr="00C81B1E">
              <w:rPr>
                <w:rFonts w:eastAsia="Calibri"/>
                <w:lang w:val="en-GB" w:eastAsia="en-US"/>
              </w:rPr>
              <w:t>Yes (type) / No</w:t>
            </w:r>
          </w:p>
        </w:tc>
        <w:tc>
          <w:tcPr>
            <w:tcW w:w="992" w:type="dxa"/>
            <w:shd w:val="clear" w:color="auto" w:fill="auto"/>
            <w:noWrap/>
            <w:vAlign w:val="center"/>
            <w:hideMark/>
          </w:tcPr>
          <w:p w14:paraId="4CC5D939"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 TT</w:t>
            </w:r>
          </w:p>
        </w:tc>
        <w:tc>
          <w:tcPr>
            <w:tcW w:w="4536" w:type="dxa"/>
            <w:shd w:val="clear" w:color="auto" w:fill="auto"/>
            <w:noWrap/>
            <w:vAlign w:val="center"/>
            <w:hideMark/>
          </w:tcPr>
          <w:p w14:paraId="5D2B496E"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AD: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{"citationItems":[{"id":"ITEM-1","itemData":{"DOI":"10.1016/j.rser.2014.05.038","ISBN":"1364-0321","ISSN":"13640321","abstract":"The uncontrolled discharge of large amounts of food waste (FW) causes severe environmental pollution in many countries. Within different possible treatment routes, anaerobic digestion (AD) of FW into biogas, is a proven and effective solution for FW treatment and valorization. The present paper reviews the characteristics of FW, the principles of AD, the process parameters, and two approaches (pretreatment and co-digestion) for enhancing AD of food waste. Among the successive digestion reactions, hydrolysis is considered to be the rate-limiting step. To enhance the performance of AD, several physical, thermo-chemical, biological or combined pretreatments are reviewed. Moreover, a promising way for improving the performance of AD is the co-digestion of FW with other organic substrates, as confirmed by numerous studies, where a higher buffer capacity and an optimum nutrient balance enhance the biogas/methane yields of the co-digestion system. © 2014 Elsevier Ltd. All rights reserved.","author":[{"dropping-particle":"","family":"Zhang","given":"Cunsheng","non-dropping-particle":"","parse-names":false,"suffix":""},{"dropping-particle":"","family":"Su","given":"Haijia","non-dropping-particle":"","parse-names":false,"suffix":""},{"dropping-particle":"","family":"Baeyens","given":"Jan","non-dropping-particle":"","parse-names":false,"suffix":""},{"dropping-particle":"","family":"Tan","given":"Tianwei","non-dropping-particle":"","parse-names":false,"suffix":""}],"container-title":"Renewable and Sustainable Energy Reviews","id":"ITEM-1","issued":{"date-parts":[["2014"]]},"page":"383-392","publisher":"Elsevier","title":"Reviewing the anaerobic digestion of food waste for biogas production","type":"article-journal","volume":"38"},"uris":["http://www.mendeley.com/documents/?uuid=9fa6afa0-93be-4329-940d-3765aacc6233"]}],"mendeley":{"formattedCitation":"(Zhang et al., 2014)","manualFormatting":"Zhang et al. (2014)","plainTextFormattedCitation":"(Zhang et al., 2014)","previouslyFormattedCitation":"(Zhang et al., 2014)"},"properties":{"noteIndex":0},"schema":"https://github.com/citation-style-language/schema/raw/master/csl-citation.json"}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Zhang et al. (2014)</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biortech.2014.12.094","ISSN":"09608524","author":[{"dropping-particle":"","family":"Nakasaki","given":"Kiyohiko","non-dropping-particle":"","parse-names":false,"suffix":""},{"dropping-particle":"","family":"Mimoto","given":"Hiroshi","non-dropping-particle":"","parse-names":false,"suffix":""},{"dropping-particle":"","family":"Tran","given":"Quyen Ngoc Minh","non-dropping-particle":"","parse-names":false,"suffix":""},{"dropping-particle":"","family":"Oinuma","given":"Akiko","non-dropping-particle":"","parse-names":false,"suffix":""}],"container-title":"Bioresource Technology","id":"ITEM-1","issued":{"date-parts":[["2015"]]},"page":"40-46","publisher":"Elsevier Ltd","title":"Composting of food waste subjected to hydrothermal pretreatment and inoculated with Paecilomyces sp. FA13","type":"article-journal","volume":"180"},"uris":["http://www.mendeley.com/documents/?uuid=161a4a33-6093-4168-b1a2-0a782621a01b"]}],"mendeley":{"formattedCitation":"(Nakasaki et al., 2015)","manualFormatting":"Nakasaki et al. (2015)","plainTextFormattedCitation":"(Nakasaki et al., 2015)","previouslyFormattedCitation":"(Nakasaki et al., 2015)"},"properties":{"noteIndex":0},"schema":"https://github.com/citation-style-language/schema/raw/master/csl-citation.json"}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Nakasaki et al. (2015)</w:t>
            </w:r>
            <w:r w:rsidRPr="00C81B1E">
              <w:rPr>
                <w:rFonts w:eastAsia="Calibri"/>
                <w:lang w:val="en-GB" w:eastAsia="en-US"/>
              </w:rPr>
              <w:fldChar w:fldCharType="end"/>
            </w:r>
            <w:r w:rsidRPr="00C81B1E">
              <w:rPr>
                <w:rFonts w:eastAsia="Calibri"/>
                <w:lang w:val="en-GB" w:eastAsia="en-US"/>
              </w:rPr>
              <w:t xml:space="preserve">, TT: </w:t>
            </w:r>
            <w:r w:rsidRPr="00C81B1E">
              <w:rPr>
                <w:rFonts w:eastAsia="Calibri"/>
                <w:lang w:val="en-GB" w:eastAsia="en-US"/>
              </w:rPr>
              <w:fldChar w:fldCharType="begin" w:fldLock="1"/>
            </w:r>
            <w:r w:rsidRPr="00C81B1E">
              <w:rPr>
                <w:rFonts w:eastAsia="Calibri"/>
                <w:lang w:val="en-GB" w:eastAsia="en-US"/>
              </w:rPr>
              <w:instrText>ADDIN CSL_CITATION {"citationItems":[{"id":"ITEM-1","itemData":{"author":[{"dropping-particle":"","family":"Lohri","given":"Christian Riu","non-dropping-particle":"","parse-names":false,"suffix":""},{"dropping-particle":"","family":"Sweeney","given":"Dan","non-dropping-particle":"","parse-names":false,"suffix":""},{"dropping-particle":"","family":"Rajabu","given":"Hassan Mtoro","non-dropping-particle":"","parse-names":false,"suffix":""}],"id":"ITEM-1","issued":{"date-parts":[["2015"]]},"title":"Carbonizing urban biowaste for low-cost char production in developing countries - A review of knowledge, practices and technologies","type":"article-journal"},"uris":["http://www.mendeley.com/documents/?uuid=d1edbab1-e9d1-4e11-b2ec-6fc3d54e4435"]}],"mendeley":{"formattedCitation":"(Lohri et al., 2015)","manualFormatting":"Lohri et al. (2015)","plainTextFormattedCitation":"(Lohri et al., 2015)","previouslyFormattedCitation":"(Lohri et al., 2015)"},"properties":{"noteIndex":0},"schema":"https://github.com/citation-style-language/schema/raw/master/csl-citation.json"}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Lohri et al. (2015)</w:t>
            </w:r>
            <w:r w:rsidRPr="00C81B1E">
              <w:rPr>
                <w:rFonts w:eastAsia="Calibri"/>
                <w:lang w:val="en-GB" w:eastAsia="en-US"/>
              </w:rPr>
              <w:fldChar w:fldCharType="end"/>
            </w:r>
          </w:p>
        </w:tc>
      </w:tr>
      <w:tr w:rsidR="00C81B1E" w:rsidRPr="00C81B1E" w14:paraId="46B887AA" w14:textId="77777777" w:rsidTr="00C81B1E">
        <w:trPr>
          <w:trHeight w:val="255"/>
        </w:trPr>
        <w:tc>
          <w:tcPr>
            <w:tcW w:w="1716" w:type="dxa"/>
            <w:tcBorders>
              <w:top w:val="single" w:sz="4" w:space="0" w:color="7F7F7F"/>
              <w:bottom w:val="single" w:sz="4" w:space="0" w:color="7F7F7F"/>
            </w:tcBorders>
            <w:shd w:val="clear" w:color="auto" w:fill="auto"/>
            <w:noWrap/>
            <w:vAlign w:val="center"/>
            <w:hideMark/>
          </w:tcPr>
          <w:p w14:paraId="6404C89D"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Additives / Catalysts</w:t>
            </w:r>
          </w:p>
        </w:tc>
        <w:tc>
          <w:tcPr>
            <w:tcW w:w="1843" w:type="dxa"/>
            <w:tcBorders>
              <w:top w:val="single" w:sz="4" w:space="0" w:color="7F7F7F"/>
              <w:bottom w:val="single" w:sz="4" w:space="0" w:color="7F7F7F"/>
            </w:tcBorders>
            <w:shd w:val="clear" w:color="auto" w:fill="auto"/>
            <w:noWrap/>
            <w:vAlign w:val="center"/>
            <w:hideMark/>
          </w:tcPr>
          <w:p w14:paraId="26912653" w14:textId="77777777" w:rsidR="00C7764C" w:rsidRPr="00C81B1E" w:rsidRDefault="00C7764C" w:rsidP="00C81B1E">
            <w:pPr>
              <w:pStyle w:val="MDPI42tablebody"/>
              <w:rPr>
                <w:rFonts w:eastAsia="Calibri"/>
                <w:lang w:val="en-GB" w:eastAsia="en-US"/>
              </w:rPr>
            </w:pPr>
            <w:r w:rsidRPr="00C81B1E">
              <w:rPr>
                <w:rFonts w:eastAsia="Calibri"/>
                <w:lang w:val="en-GB" w:eastAsia="en-US"/>
              </w:rPr>
              <w:t>Yes (type and concentration) / No</w:t>
            </w:r>
          </w:p>
        </w:tc>
        <w:tc>
          <w:tcPr>
            <w:tcW w:w="992" w:type="dxa"/>
            <w:tcBorders>
              <w:top w:val="single" w:sz="4" w:space="0" w:color="7F7F7F"/>
              <w:bottom w:val="single" w:sz="4" w:space="0" w:color="7F7F7F"/>
            </w:tcBorders>
            <w:shd w:val="clear" w:color="auto" w:fill="auto"/>
            <w:noWrap/>
            <w:vAlign w:val="center"/>
            <w:hideMark/>
          </w:tcPr>
          <w:p w14:paraId="2977F839"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 TT</w:t>
            </w:r>
          </w:p>
        </w:tc>
        <w:tc>
          <w:tcPr>
            <w:tcW w:w="4536" w:type="dxa"/>
            <w:tcBorders>
              <w:top w:val="single" w:sz="4" w:space="0" w:color="7F7F7F"/>
              <w:bottom w:val="single" w:sz="4" w:space="0" w:color="7F7F7F"/>
            </w:tcBorders>
            <w:shd w:val="clear" w:color="auto" w:fill="auto"/>
            <w:noWrap/>
            <w:vAlign w:val="center"/>
            <w:hideMark/>
          </w:tcPr>
          <w:p w14:paraId="7A7A73C7"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AD: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{"citationItems":[{"id":"ITEM-1","itemData":{"DOI":"10.1016/j.rser.2015.02.032","ISBN":"1364-0321","ISSN":"13640321","abstract":"With the rising demand for renewable energy and environmental protection, anaerobic digestion of biogas technology has attracted considerable attention within the scientific community. This paper presents a comprehensive review of research achievements on anaerobic digestion developments for biogas production. The review includes a discussion of factors affecting efficiency (temperature, pH, C/N ratio, OLR and retention time), accelerants (greenery biomass, biological pure culture and inorganic additives), reactors (conventional anaerobic reactors, sludge retention reactors and anaerobic membrane reactors) and biogas AD processes (lignocellulose waste, municipal solid waste, food waste, livestock manure and waste activated sludge) based on substrate characteristics and discusses the application of each forementioned aspect. The factors affecting efficiency are crucial to anaerobic digestion, because they play a major role in biogas production and determine the metabolic conditions for microorganism growth. As an additive, an accelerant is not only regarded as a nutrient resource, but can also improve biodegradability. The focus of reactor design is the sufficient utilization of a substrate by changing the feeding method and enhancing the attachment to biomass. The optimal digestion process balances the optimal digest conditions with the cost-optimal input/output ratio. Additionally, establishment of theoretical and technological studies should emphasize practicality based on laboratory-scale experiments because further development of biogas plants would allow for a transition from household to medium- and large-scale projects; therefore, improving stability and efficiency are recommended for advancing AD research.","author":[{"dropping-particle":"","family":"Mao","given":"Chunlan","non-dropping-particle":"","parse-names":false,"suffix":""},{"dropping-particle":"","family":"Feng","given":"Yongzhong","non-dropping-particle":"","parse-names":false,"suffix":""},{"dropping-particle":"","family":"Wang","given":"Xiaojiao","non-dropping-particle":"","parse-names":false,"suffix":""},{"dropping-particle":"","family":"Ren","given":"Guangxin","non-dropping-particle":"","parse-names":false,"suffix":""}],"container-title":"Renewable and Sustainable Energy Reviews","id":"ITEM-1","issued":{"date-parts":[["2015"]]},"page":"540-555","publisher":"Elsevier","title":"Review on research achievements of biogas from anaerobic digestion","type":"article-journal","volume":"45"},"uris":["http://www.mendeley.com/documents/?uuid=8f980546-dcd5-4d27-9e23-93fa618ec396"]}],"mendeley":{"formattedCitation":"(Mao et al., 2015)","manualFormatting":"Mao et al. (2015)","plainTextFormattedCitation":"(Mao et al., 2015)","previouslyFormattedCitation":"(Mao et al., 2015)"},"properties":{"noteIndex":0},"schema":"https://github.com/citation-style-language/schema/raw/master/csl-citation.json"}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Mao et al. (2015)</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{"citationItems":[{"id":"ITEM-1","itemData":{"DOI":"10.1023/B:WATE.0000019932.04020.b6","ISBN":"0049-6979","ISSN":"00496979","abstract":"Because of its agronomic benefits, farm-scale composting is an efficient means of recycling agricultural waste. Composting process is an aerobic degradation of fresh organic matter in mature compost. Nevertheless, according to the literature, composting may induce some environmental problems. The environmental impacts of composting will be described, along with an assessment of farm-scale composting practices which play a major role in pollution. The main environmental components potentially affected by composting pollution are air and water. Various gases released by composting, such as NH3, CH4 and N2O, can impact air quality and are therefore studied because they all have environmental impacts and can be controlled by composting management. The effect on water quality can be evaluated by considering loss of NO3-, NH4+, organic compounds and PO43-. Technical evaluation criteria for the impact of farm-scale composting on the air are determined from the physical and chemical characteristics of the raw materials, the use of additives, the turning method and frequency and the duration of the composting operations. Regarding water, the weather conditions at the beginning of the composting operation, the location of the heap, the protection against rain, the water addition during the process, the use of covers and the recovery of leaching and runoff water are also taken into account. The two main practices which control the air and water pollution from composting are: the choice of the raw material which influences gas emissions and the choice of composting location which have an high effect on losses by leaching and runoff. © 2004 Kluwer Academic Publishers.","author":[{"dropping-particle":"","family":"Peigne","given":"Josephine","non-dropping-particle":"","parse-names":false,"suffix":""},{"dropping-particle":"","family":"Girardin","given":"Philippe","non-dropping-particle":"","parse-names":false,"suffix":""}],"container-title":"Water, Air, and Soil Pollution","id":"ITEM-1","issued":{"date-parts":[["2004"]]},"page":"45-68","title":"Environmental impacts of farm-scale composting practices","type":"article-journal","volume":"153"},"uris":["http://www.mendeley.com/documents/?uuid=1cac405a-2c5f-4ec5-905c-fffa125841e9"]}],"mendeley":{"formattedCitation":"(Peigne and Girardin, 2004)","manualFormatting":"Peigne &amp; Girardin (2004)","plainTextFormattedCitation":"(Peigne and Girardin, 2004)","previouslyFormattedCitation":"(Peigne and Girardin, 2004)"},"properties":{"noteIndex":0},"schema":"https://github.com/citation-style-language/schema/raw/master/csl-citation.json"}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Peigne &amp; Girardin (2004)</w:t>
            </w:r>
            <w:r w:rsidRPr="00C81B1E">
              <w:rPr>
                <w:rFonts w:eastAsia="Calibri"/>
                <w:lang w:val="en-GB" w:eastAsia="en-US"/>
              </w:rPr>
              <w:fldChar w:fldCharType="end"/>
            </w:r>
            <w:r w:rsidRPr="00C81B1E">
              <w:rPr>
                <w:rFonts w:eastAsia="Calibri"/>
                <w:lang w:val="en-GB" w:eastAsia="en-US"/>
              </w:rPr>
              <w:t xml:space="preserve">, TT: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{"citationItems":[{"id":"ITEM-1","itemData":{"DOI":"10.1016/j.apenergy.2009.08.032","ISBN":"0306-2619","ISSN":"03062619","abstract":"Characteristics of syngas from the pyrolysis and gasification of food waste has been investigated. Characteristic differences in syngas properties and overall yields from pyrolysis and gasification were determined at two distinct high temperatures of 800 and 900 ??C. Pyrolysis and gasification behavior were evaluated in terms of syngas flow rate, hydrogen flow rate, output power, total syngas yield, total hydrogen yield, total energy yield, and apparent thermal efficiency. Gasification was more beneficial than pyrolysis based on investigated criteria, but longer time was needed to finish the gasification process. Longer time of gasification is attributed to slow reactions between the residual char and gasifying agent. Consequently, the char gasification kinetics was investigated. Inorganic constituents of food char were found to have a catalytic effect. Char reactivity increased with increased degree of conversion. In the conversion range from 0.1 to 0.9 the increase in reactivity was accompanied by an increase in pre-exponential factor, which suggested an increase in gasifying agent adsorption rate to char surface. However, in the conversion range from 0.93 to 0.98 the increase in reactivity was accompanied by a decrease in activation energy. A compensation effect was observed in this range of conversion of 0.93-0.98. ?? 2009 Elsevier Ltd. All rights reserved.","author":[{"dropping-particle":"","family":"Ahmed","given":"I. I.","non-dropping-particle":"","parse-names":false,"suffix":""},{"dropping-particle":"","family":"Gupta","given":"A. K.","non-dropping-particle":"","parse-names":false,"suffix":""}],"container-title":"Applied Energy","id":"ITEM-1","issue":"1","issued":{"date-parts":[["2010"]]},"page":"101-108","publisher":"Elsevier Ltd","title":"Pyrolysis and gasification of food waste: Syngas characteristics and char gasification kinetics","type":"article-journal","volume":"87"},"uris":["http://www.mendeley.com/documents/?uuid=ba947297-756d-4216-9a69-33c8820cc240"]}],"mendeley":{"formattedCitation":"(Ahmed and Gupta, 2010)","manualFormatting":"Ahmed &amp; Gupta (2010)","plainTextFormattedCitation":"(Ahmed and Gupta, 2010)","previouslyFormattedCitation":"(Ahmed and Gupta, 2010)"},"properties":{"noteIndex":0},"schema":"https://github.com/citation-style-language/schema/raw/master/csl-citation.json"}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Ahmed &amp; Gupta (2010)</w:t>
            </w:r>
            <w:r w:rsidRPr="00C81B1E">
              <w:rPr>
                <w:rFonts w:eastAsia="Calibri"/>
                <w:lang w:val="en-GB" w:eastAsia="en-US"/>
              </w:rPr>
              <w:fldChar w:fldCharType="end"/>
            </w:r>
          </w:p>
        </w:tc>
      </w:tr>
      <w:tr w:rsidR="00C81B1E" w:rsidRPr="00C81B1E" w14:paraId="31DBF737" w14:textId="77777777" w:rsidTr="00C81B1E">
        <w:trPr>
          <w:trHeight w:val="255"/>
        </w:trPr>
        <w:tc>
          <w:tcPr>
            <w:tcW w:w="1716" w:type="dxa"/>
            <w:shd w:val="clear" w:color="auto" w:fill="auto"/>
            <w:noWrap/>
            <w:vAlign w:val="center"/>
            <w:hideMark/>
          </w:tcPr>
          <w:p w14:paraId="30394DAA"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Co-products</w:t>
            </w:r>
          </w:p>
        </w:tc>
        <w:tc>
          <w:tcPr>
            <w:tcW w:w="1843" w:type="dxa"/>
            <w:shd w:val="clear" w:color="auto" w:fill="auto"/>
            <w:noWrap/>
            <w:vAlign w:val="center"/>
            <w:hideMark/>
          </w:tcPr>
          <w:p w14:paraId="2165427C" w14:textId="77777777" w:rsidR="00C7764C" w:rsidRPr="00C81B1E" w:rsidRDefault="00C7764C" w:rsidP="00C81B1E">
            <w:pPr>
              <w:pStyle w:val="MDPI42tablebody"/>
              <w:rPr>
                <w:rFonts w:eastAsia="Calibri"/>
                <w:lang w:val="en-GB" w:eastAsia="en-US"/>
              </w:rPr>
            </w:pPr>
            <w:r w:rsidRPr="00C81B1E">
              <w:rPr>
                <w:rFonts w:eastAsia="Calibri"/>
                <w:lang w:val="en-GB" w:eastAsia="en-US"/>
              </w:rPr>
              <w:t>Type and quantity of co-product</w:t>
            </w:r>
          </w:p>
        </w:tc>
        <w:tc>
          <w:tcPr>
            <w:tcW w:w="992" w:type="dxa"/>
            <w:shd w:val="clear" w:color="auto" w:fill="auto"/>
            <w:noWrap/>
            <w:vAlign w:val="center"/>
            <w:hideMark/>
          </w:tcPr>
          <w:p w14:paraId="44B44CB7"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 TT</w:t>
            </w:r>
          </w:p>
        </w:tc>
        <w:tc>
          <w:tcPr>
            <w:tcW w:w="4536" w:type="dxa"/>
            <w:shd w:val="clear" w:color="auto" w:fill="auto"/>
            <w:noWrap/>
            <w:vAlign w:val="center"/>
            <w:hideMark/>
          </w:tcPr>
          <w:p w14:paraId="53EFCEC3"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AD: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{"citationItems":[{"id":"ITEM-1","itemData":{"DOI":"10.1016/j.rser.2015.02.032","ISBN":"1364-0321","ISSN":"13640321","abstract":"With the rising demand for renewable energy and environmental protection, anaerobic digestion of biogas technology has attracted considerable attention within the scientific community. This paper presents a comprehensive review of research achievements on anaerobic digestion developments for biogas production. The review includes a discussion of factors affecting efficiency (temperature, pH, C/N ratio, OLR and retention time), accelerants (greenery biomass, biological pure culture and inorganic additives), reactors (conventional anaerobic reactors, sludge retention reactors and anaerobic membrane reactors) and biogas AD processes (lignocellulose waste, municipal solid waste, food waste, livestock manure and waste activated sludge) based on substrate characteristics and discusses the application of each forementioned aspect. The factors affecting efficiency are crucial to anaerobic digestion, because they play a major role in biogas production and determine the metabolic conditions for microorganism growth. As an additive, an accelerant is not only regarded as a nutrient resource, but can also improve biodegradability. The focus of reactor design is the sufficient utilization of a substrate by changing the feeding method and enhancing the attachment to biomass. The optimal digestion process balances the optimal digest conditions with the cost-optimal input/output ratio. Additionally, establishment of theoretical and technological studies should emphasize practicality based on laboratory-scale experiments because further development of biogas plants would allow for a transition from household to medium- and large-scale projects; therefore, improving stability and efficiency are recommended for advancing AD research.","author":[{"dropping-particle":"","family":"Mao","given":"Chunlan","non-dropping-particle":"","parse-names":false,"suffix":""},{"dropping-particle":"","family":"Feng","given":"Yongzhong","non-dropping-particle":"","parse-names":false,"suffix":""},{"dropping-particle":"","family":"Wang","given":"Xiaojiao","non-dropping-particle":"","parse-names":false,"suffix":""},{"dropping-particle":"","family":"Ren","given":"Guangxin","non-dropping-particle":"","parse-names":false,"suffix":""}],"container-title":"Renewable and Sustainable Energy Reviews","id":"ITEM-1","issued":{"date-parts":[["2015"]]},"page":"540-555","publisher":"Elsevier","title":"Review on research achievements of biogas from anaerobic digestion","type":"article-journal","volume":"45"},"uris":["http://www.mendeley.com/documents/?uuid=8f980546-dcd5-4d27-9e23-93fa618ec396"]}],"mendeley":{"formattedCitation":"(Mao et al., 2015)","manualFormatting":"Mao et al. (2015)","plainTextFormattedCitation":"(Mao et al., 2015)","previouslyFormattedCitation":"(Mao et al., 2015)"},"properties":{"noteIndex":0},"schema":"https://github.com/citation-style-language/schema/raw/master/csl-citation.json"}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Mao et al. (2015)</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{"citationItems":[{"id":"ITEM-1","itemData":{"abstract":"Composting is controlled decomposition, the natural breakdown process of organic residues. Composting transforms raw organic waste materials into biologically stable, humic substances that make excellent soil amendments. Compost is easier to handle than manure and other raw organic materials, stores well and is odor-free.","author":[{"dropping-particle":"","family":"Cooperband","given":"Leslie","non-dropping-particle":"","parse-names":false,"suffix":""}],"id":"ITEM-1","issued":{"date-parts":[["2002"]]},"title":"The art and science of composting. A resource for farmers and compost producers","type":"report"},"uris":["http://www.mendeley.com/documents/?uuid=36644cb7-2d3a-4846-831f-18a99a16be63"]}],"mendeley":{"formattedCitation":"(Cooperband, 2002)","manualFormatting":"Cooperband (2002)","plainTextFormattedCitation":"(Cooperband, 2002)","previouslyFormattedCitation":"(Cooperband, 2002)"},"properties":{"noteIndex":0},"schema":"https://github.com/citation-style-language/schema/raw/master/csl-citation.json"}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Cooperband (2002)</w:t>
            </w:r>
            <w:r w:rsidRPr="00C81B1E">
              <w:rPr>
                <w:rFonts w:eastAsia="Calibri"/>
                <w:lang w:val="en-GB" w:eastAsia="en-US"/>
              </w:rPr>
              <w:fldChar w:fldCharType="end"/>
            </w:r>
            <w:r w:rsidRPr="00C81B1E">
              <w:rPr>
                <w:rFonts w:eastAsia="Calibri"/>
                <w:lang w:val="en-GB" w:eastAsia="en-US"/>
              </w:rPr>
              <w:t xml:space="preserve">, TT: </w:t>
            </w:r>
            <w:r w:rsidRPr="00C81B1E">
              <w:rPr>
                <w:rFonts w:eastAsia="Calibri"/>
                <w:lang w:val="en-GB" w:eastAsia="en-US"/>
              </w:rPr>
              <w:fldChar w:fldCharType="begin" w:fldLock="1"/>
            </w:r>
            <w:r w:rsidRPr="00C81B1E">
              <w:rPr>
                <w:rFonts w:eastAsia="Calibri"/>
                <w:lang w:val="en-GB" w:eastAsia="en-US"/>
              </w:rPr>
              <w:instrText>ADDIN CSL_CITATION {"citationItems":[{"id":"ITEM-1","itemData":{"DOI":"10.1177/0734242X16652965","ISSN":"0734-242X","abstract":"Trying to respond to the latest policy needs, the work presented in this article aims at developing a life-cycle based framework methodology to quantitatively evaluate the environmental and economic sustainability of European food waste management options. The methodology is structured into six steps aimed at defining boundaries and scope of the evaluation, evaluating environmental and economic impacts and identifying best performing options. The methodology is able to accommodate additional assessment criteria, for example the social dimension of sustainability, thus moving towards a comprehensive sustainability assessment framework. A numerical case study is also developed to provide an example of application of the proposed methodology to an average European context. Different options for food waste treatment are compared, including landfilling, composting, anaerobic digestion and incineration. The environmental dimension is evaluated with the software EASETECH, while the economic assessment is conducted based on different indicators expressing the costs associated with food waste management. Results show that the proposed methodology allows for a straightforward identification of the most sustainable options for food waste, thus can provide factual support to decision/policy making. However, it was also observed that results markedly depend on a number of user-defined assumptions, for example on the choice of the indicators to express the environmental and economic performance. © The Author(s) 2016.","author":[{"dropping-particle":"","family":"Manfredi","given":"S.","non-dropping-particle":"","parse-names":false,"suffix":""},{"dropping-particle":"","family":"Cristobal","given":"J.","non-dropping-particle":"","parse-names":false,"suffix":""}],"container-title":"Waste Management &amp; Research","id":"ITEM-1","issue":"9","issued":{"date-parts":[["2016"]]},"page":"1-12","title":"Towards more sustainable management of European food waste: Methodological approach and numerical application","type":"article-journal","volume":"34"},"uris":["http://www.mendeley.com/documents/?uuid=4b081298-fc3c-44eb-b037-20fb4c32924a"]}],"mendeley":{"formattedCitation":"(Manfredi and Cristobal, 2016)","manualFormatting":"Manfredi &amp; Cristobal (2016)","plainTextFormattedCitation":"(Manfredi and Cristobal, 2016)","previouslyFormattedCitation":"(Manfredi and Cristobal, 2016)"},"properties":{"noteIndex":0},"schema":"https://github.com/citation-style-language/schema/raw/master/csl-citation.json"}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Manfredi &amp; Cristobal (2016)</w:t>
            </w:r>
            <w:r w:rsidRPr="00C81B1E">
              <w:rPr>
                <w:rFonts w:eastAsia="Calibri"/>
                <w:lang w:val="en-GB" w:eastAsia="en-US"/>
              </w:rPr>
              <w:fldChar w:fldCharType="end"/>
            </w:r>
          </w:p>
        </w:tc>
      </w:tr>
      <w:tr w:rsidR="00C81B1E" w:rsidRPr="00C81B1E" w14:paraId="3694D9F1" w14:textId="77777777" w:rsidTr="00C81B1E">
        <w:trPr>
          <w:trHeight w:val="255"/>
        </w:trPr>
        <w:tc>
          <w:tcPr>
            <w:tcW w:w="1716" w:type="dxa"/>
            <w:tcBorders>
              <w:top w:val="single" w:sz="4" w:space="0" w:color="7F7F7F"/>
              <w:bottom w:val="single" w:sz="4" w:space="0" w:color="7F7F7F"/>
            </w:tcBorders>
            <w:shd w:val="clear" w:color="auto" w:fill="auto"/>
            <w:noWrap/>
            <w:vAlign w:val="center"/>
            <w:hideMark/>
          </w:tcPr>
          <w:p w14:paraId="5EA7D3CB"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Inoculum / Seeding</w:t>
            </w:r>
          </w:p>
        </w:tc>
        <w:tc>
          <w:tcPr>
            <w:tcW w:w="1843" w:type="dxa"/>
            <w:tcBorders>
              <w:top w:val="single" w:sz="4" w:space="0" w:color="7F7F7F"/>
              <w:bottom w:val="single" w:sz="4" w:space="0" w:color="7F7F7F"/>
            </w:tcBorders>
            <w:shd w:val="clear" w:color="auto" w:fill="auto"/>
            <w:noWrap/>
            <w:vAlign w:val="center"/>
            <w:hideMark/>
          </w:tcPr>
          <w:p w14:paraId="6774F247" w14:textId="77777777" w:rsidR="00C7764C" w:rsidRPr="00C81B1E" w:rsidRDefault="00C7764C" w:rsidP="00C81B1E">
            <w:pPr>
              <w:pStyle w:val="MDPI42tablebody"/>
              <w:rPr>
                <w:rFonts w:eastAsia="Calibri"/>
                <w:lang w:val="en-GB" w:eastAsia="en-US"/>
              </w:rPr>
            </w:pPr>
            <w:r w:rsidRPr="00C81B1E">
              <w:rPr>
                <w:rFonts w:eastAsia="Calibri"/>
                <w:lang w:val="en-GB" w:eastAsia="en-US"/>
              </w:rPr>
              <w:t>Type and % mass</w:t>
            </w:r>
          </w:p>
        </w:tc>
        <w:tc>
          <w:tcPr>
            <w:tcW w:w="992" w:type="dxa"/>
            <w:tcBorders>
              <w:top w:val="single" w:sz="4" w:space="0" w:color="7F7F7F"/>
              <w:bottom w:val="single" w:sz="4" w:space="0" w:color="7F7F7F"/>
            </w:tcBorders>
            <w:shd w:val="clear" w:color="auto" w:fill="auto"/>
            <w:noWrap/>
            <w:vAlign w:val="center"/>
            <w:hideMark/>
          </w:tcPr>
          <w:p w14:paraId="0C7F7E57"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w:t>
            </w:r>
          </w:p>
        </w:tc>
        <w:tc>
          <w:tcPr>
            <w:tcW w:w="4536" w:type="dxa"/>
            <w:tcBorders>
              <w:top w:val="single" w:sz="4" w:space="0" w:color="7F7F7F"/>
              <w:bottom w:val="single" w:sz="4" w:space="0" w:color="7F7F7F"/>
            </w:tcBorders>
            <w:shd w:val="clear" w:color="auto" w:fill="auto"/>
            <w:noWrap/>
            <w:vAlign w:val="center"/>
            <w:hideMark/>
          </w:tcPr>
          <w:p w14:paraId="121E7C57"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AD: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{"citationItems":[{"id":"ITEM-1","itemData":{"DOI":"10.1016/j.jece.2014.07.024","ISSN":"22133437","abstract":"Food waste with high decomposition potential can be successfully digested anaerobically for the production of biogas. As the fossil-fuel reserves decline anaerobic digestion can be a better alternative as a renewable energy source. The byproducts such as biogas with 50–60% methane content can be efficiently used for electricity production and the final digested sludge as a fertilizer. Even though anaerobic digestion is a proven technology, still there exist some technical difficulties (organic loading rate, solid retention time, biogas composition, specific gas production) and scientific understandings (carbon to nitrogen ratio, volatile fatty acids production, pH variation, nutrient concentration) in operating reactors for solid organic wastes. First the paper gives an overview of certain fundamental aspects of anaerobic digestion considered important for the digestion of food waste and its biochemical reactions. Then it describes food waste as the substrate for anaerobic digestion and its optimal conditions for the increased activity of biogas production. Finally it has been reviewed about the performance of the different pre-treatment methods and anaerobic reactor configurations in the digestion of food waste for increasing methane content in the biogas.","author":[{"dropping-particle":"","family":"Kondusamy","given":"Dhamodharan","non-dropping-particle":"","parse-names":false,"suffix":""},{"dropping-particle":"","family":"Kalamdhad","given":"Ajay S.","non-dropping-particle":"","parse-names":false,"suffix":""}],"container-title":"Journal of Environmental Chemical Engineering","id":"ITEM-1","issue":"3","issued":{"date-parts":[["2014","9"]]},"page":"1821-1830","title":"Pre-treatment and anaerobic digestion of food waste for high rate methane production – A review","type":"article-journal","volume":"2"},"uris":["http://www.mendeley.com/documents/?uuid=e9beb031-9c8c-4795-ade7-780b98fd4c82"]}],"mendeley":{"formattedCitation":"(Kondusamy and Kalamdhad, 2014)","manualFormatting":"Kondusamy &amp; Kalamdhad (2014)","plainTextFormattedCitation":"(Kondusamy and Kalamdhad, 2014)","previouslyFormattedCitation":"(Kondusamy and Kalamdhad, 2014)"},"properties":{"noteIndex":0},"schema":"https://github.com/citation-style-language/schema/raw/master/csl-citation.json"}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Kondusamy &amp; Kalamdhad (2014)</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{"citationItems":[{"id":"ITEM-1","itemData":{"DOI":"10.1016/j.biortech.2005.02.013","ISBN":"09608524","ISSN":"09608524","PMID":"15990292","abstract":"A laboratory reactor was designed to study the effects of operating parameters (air suction rate, seeding and agitation) on the composting process of a synthetic food waste made of dog food. Experimental results showed that the synthetic food waste could be composted within 4 days and the final compost passed the maturity tests. In most cases except those with 32% of seeding, the process involved two major stages of composting. The two peak temperatures between 50 and 60??C occurred at 8-12th hour and 50-65th hour, respectively. Operating parameters that converted the most volatile solids and carbons in the feedstock were as follows: 1.6 l air/kg dry solid-min of air suction rate, 32% of seeding and 50% of agitation time. ?? 2005 Elsevier Ltd. All rights reserved.","author":[{"dropping-particle":"","family":"Chang","given":"James I.","non-dropping-particle":"","parse-names":false,"suffix":""},{"dropping-particle":"","family":"Tsai","given":"J. J.","non-dropping-particle":"","parse-names":false,"suffix":""},{"dropping-particle":"","family":"Wu","given":"K. H.","non-dropping-particle":"","parse-names":false,"suffix":""}],"container-title":"Bioresource Technology","id":"ITEM-1","issue":"1","issued":{"date-parts":[["2006"]]},"page":"116-122","title":"Thermophilic composting of food waste","type":"article-journal","volume":"97"},"uris":["http://www.mendeley.com/documents/?uuid=82a6af50-1555-4181-936c-c0828d75ea9f"]}],"mendeley":{"formattedCitation":"(Chang et al., 2006)","manualFormatting":"Chang et al. (2006)","plainTextFormattedCitation":"(Chang et al., 2006)","previouslyFormattedCitation":"(Chang et al., 2006)"},"properties":{"noteIndex":0},"schema":"https://github.com/citation-style-language/schema/raw/master/csl-citation.json"}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Chang et al. (2006)</w:t>
            </w:r>
            <w:r w:rsidRPr="00C81B1E">
              <w:rPr>
                <w:rFonts w:eastAsia="Calibri"/>
                <w:lang w:val="en-GB" w:eastAsia="en-US"/>
              </w:rPr>
              <w:fldChar w:fldCharType="end"/>
            </w:r>
          </w:p>
        </w:tc>
      </w:tr>
      <w:tr w:rsidR="00C81B1E" w:rsidRPr="00C81B1E" w14:paraId="4BEC5765" w14:textId="77777777" w:rsidTr="00C81B1E">
        <w:trPr>
          <w:trHeight w:val="255"/>
        </w:trPr>
        <w:tc>
          <w:tcPr>
            <w:tcW w:w="1716" w:type="dxa"/>
            <w:shd w:val="clear" w:color="auto" w:fill="auto"/>
            <w:noWrap/>
            <w:vAlign w:val="center"/>
            <w:hideMark/>
          </w:tcPr>
          <w:p w14:paraId="0779BF35"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Agitation / Stirring</w:t>
            </w:r>
          </w:p>
        </w:tc>
        <w:tc>
          <w:tcPr>
            <w:tcW w:w="1843" w:type="dxa"/>
            <w:shd w:val="clear" w:color="auto" w:fill="auto"/>
            <w:noWrap/>
            <w:vAlign w:val="center"/>
            <w:hideMark/>
          </w:tcPr>
          <w:p w14:paraId="64A900C2" w14:textId="77777777" w:rsidR="00C7764C" w:rsidRPr="00C81B1E" w:rsidRDefault="00C7764C" w:rsidP="00C81B1E">
            <w:pPr>
              <w:pStyle w:val="MDPI42tablebody"/>
              <w:rPr>
                <w:rFonts w:eastAsia="Calibri"/>
                <w:lang w:val="en-GB" w:eastAsia="en-US"/>
              </w:rPr>
            </w:pPr>
            <w:r w:rsidRPr="00C81B1E">
              <w:rPr>
                <w:rFonts w:eastAsia="Calibri"/>
                <w:lang w:val="en-GB" w:eastAsia="en-US"/>
              </w:rPr>
              <w:t>Yes (type and speed / periodicity) / No</w:t>
            </w:r>
          </w:p>
        </w:tc>
        <w:tc>
          <w:tcPr>
            <w:tcW w:w="992" w:type="dxa"/>
            <w:shd w:val="clear" w:color="auto" w:fill="auto"/>
            <w:noWrap/>
            <w:vAlign w:val="center"/>
            <w:hideMark/>
          </w:tcPr>
          <w:p w14:paraId="428F0EA2"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w:t>
            </w:r>
          </w:p>
        </w:tc>
        <w:tc>
          <w:tcPr>
            <w:tcW w:w="4536" w:type="dxa"/>
            <w:shd w:val="clear" w:color="auto" w:fill="auto"/>
            <w:noWrap/>
            <w:vAlign w:val="center"/>
            <w:hideMark/>
          </w:tcPr>
          <w:p w14:paraId="053135DF"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AD: </w:t>
            </w:r>
            <w:r w:rsidRPr="00C81B1E">
              <w:rPr>
                <w:rFonts w:eastAsia="Calibri"/>
                <w:lang w:val="en-GB" w:eastAsia="en-US"/>
              </w:rPr>
              <w:fldChar w:fldCharType="begin" w:fldLock="1"/>
            </w:r>
            <w:r w:rsidRPr="00C81B1E">
              <w:rPr>
                <w:rFonts w:eastAsia="Calibri"/>
                <w:lang w:val="en-GB" w:eastAsia="en-US"/>
              </w:rPr>
              <w:instrText>ADDIN CSL_CITATION {"citationItems":[{"id":"ITEM-1","itemData":{"DOI":"10.1080/15435075.2014.909355","ISSN":"1543-5075","author":[{"dropping-particle":"","family":"Leung","given":"Dennis Y. C.","non-dropping-particle":"","parse-names":false,"suffix":""},{"dropping-particle":"","family":"Wang","given":"Jing","non-dropping-particle":"","parse-names":false,"suffix":""}],"container-title":"International Journal of Green Energy","id":"ITEM-1","issue":"2","issued":{"date-parts":[["2016"]]},"page":"119-131","title":"An overview on biogas generation from anaerobic digestion of food waste","type":"article-journal","volume":"13"},"uris":["http://www.mendeley.com/documents/?uuid=b015d72a-0982-4f0a-8271-64681dad551d"]}],"mendeley":{"formattedCitation":"(Leung and Wang, 2016)","manualFormatting":"Leung &amp; Wang (2016)","plainTextFormattedCitation":"(Leung and Wang, 2016)","previouslyFormattedCitation":"(Leung and Wang, 2016)"},"properties":{"noteIndex":0},"schema":"https://github.com/citation-style-language/schema/raw/master/csl-citation.json"}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Leung &amp; Wang (2016)</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{"citationItems":[{"id":"ITEM-1","itemData":{"abstract":"Composting is controlled decomposition, the natural breakdown process of organic residues. Composting transforms raw organic waste materials into biologically stable, humic substances that make excellent soil amendments. Compost is easier to handle than manure and other raw organic materials, stores well and is odor-free.","author":[{"dropping-particle":"","family":"Cooperband","given":"Leslie","non-dropping-particle":"","parse-names":false,"suffix":""}],"id":"ITEM-1","issued":{"date-parts":[["2002"]]},"title":"The art and science of composting. A resource for farmers and compost producers","type":"report"},"uris":["http://www.mendeley.com/documents/?uuid=36644cb7-2d3a-4846-831f-18a99a16be63"]}],"mendeley":{"formattedCitation":"(Cooperband, 2002)","manualFormatting":"Cooperband (2002)","plainTextFormattedCitation":"(Cooperband, 2002)","previouslyFormattedCitation":"(Cooperband, 2002)"},"properties":{"noteIndex":0},"schema":"https://github.com/citation-style-language/schema/raw/master/csl-citation.json"}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Cooperband (2002)</w:t>
            </w:r>
            <w:r w:rsidRPr="00C81B1E">
              <w:rPr>
                <w:rFonts w:eastAsia="Calibri"/>
                <w:lang w:val="en-GB" w:eastAsia="en-US"/>
              </w:rPr>
              <w:fldChar w:fldCharType="end"/>
            </w:r>
          </w:p>
        </w:tc>
      </w:tr>
      <w:tr w:rsidR="00C81B1E" w:rsidRPr="00C81B1E" w14:paraId="5621EDD5" w14:textId="77777777" w:rsidTr="00C81B1E">
        <w:trPr>
          <w:trHeight w:val="255"/>
        </w:trPr>
        <w:tc>
          <w:tcPr>
            <w:tcW w:w="1716" w:type="dxa"/>
            <w:tcBorders>
              <w:top w:val="single" w:sz="4" w:space="0" w:color="7F7F7F"/>
              <w:bottom w:val="single" w:sz="4" w:space="0" w:color="7F7F7F"/>
            </w:tcBorders>
            <w:shd w:val="clear" w:color="auto" w:fill="auto"/>
            <w:noWrap/>
            <w:vAlign w:val="center"/>
            <w:hideMark/>
          </w:tcPr>
          <w:p w14:paraId="44E19E0D"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pH</w:t>
            </w:r>
          </w:p>
        </w:tc>
        <w:tc>
          <w:tcPr>
            <w:tcW w:w="1843" w:type="dxa"/>
            <w:tcBorders>
              <w:top w:val="single" w:sz="4" w:space="0" w:color="7F7F7F"/>
              <w:bottom w:val="single" w:sz="4" w:space="0" w:color="7F7F7F"/>
            </w:tcBorders>
            <w:shd w:val="clear" w:color="auto" w:fill="auto"/>
            <w:noWrap/>
            <w:vAlign w:val="center"/>
            <w:hideMark/>
          </w:tcPr>
          <w:p w14:paraId="1E7922D4" w14:textId="77777777" w:rsidR="00C7764C" w:rsidRPr="00C81B1E" w:rsidRDefault="00C7764C" w:rsidP="00C81B1E">
            <w:pPr>
              <w:pStyle w:val="MDPI42tablebody"/>
              <w:rPr>
                <w:rFonts w:eastAsia="Calibri"/>
                <w:lang w:val="en-GB" w:eastAsia="en-US"/>
              </w:rPr>
            </w:pPr>
            <w:r w:rsidRPr="00C81B1E">
              <w:rPr>
                <w:rFonts w:eastAsia="Calibri"/>
                <w:lang w:val="en-GB" w:eastAsia="en-US"/>
              </w:rPr>
              <w:t>0-14</w:t>
            </w:r>
          </w:p>
        </w:tc>
        <w:tc>
          <w:tcPr>
            <w:tcW w:w="992" w:type="dxa"/>
            <w:tcBorders>
              <w:top w:val="single" w:sz="4" w:space="0" w:color="7F7F7F"/>
              <w:bottom w:val="single" w:sz="4" w:space="0" w:color="7F7F7F"/>
            </w:tcBorders>
            <w:shd w:val="clear" w:color="auto" w:fill="auto"/>
            <w:noWrap/>
            <w:vAlign w:val="center"/>
            <w:hideMark/>
          </w:tcPr>
          <w:p w14:paraId="2839EB25"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w:t>
            </w:r>
          </w:p>
        </w:tc>
        <w:tc>
          <w:tcPr>
            <w:tcW w:w="4536" w:type="dxa"/>
            <w:tcBorders>
              <w:top w:val="single" w:sz="4" w:space="0" w:color="7F7F7F"/>
              <w:bottom w:val="single" w:sz="4" w:space="0" w:color="7F7F7F"/>
            </w:tcBorders>
            <w:shd w:val="clear" w:color="auto" w:fill="auto"/>
            <w:noWrap/>
            <w:vAlign w:val="center"/>
            <w:hideMark/>
          </w:tcPr>
          <w:p w14:paraId="50FEB2E5"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AD: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{"citationItems":[{"id":"ITEM-1","itemData":{"DOI":"10.1016/j.rser.2015.02.032","ISBN":"1364-0321","ISSN":"13640321","abstract":"With the rising demand for renewable energy and environmental protection, anaerobic digestion of biogas technology has attracted considerable attention within the scientific community. This paper presents a comprehensive review of research achievements on anaerobic digestion developments for biogas production. The review includes a discussion of factors affecting efficiency (temperature, pH, C/N ratio, OLR and retention time), accelerants (greenery biomass, biological pure culture and inorganic additives), reactors (conventional anaerobic reactors, sludge retention reactors and anaerobic membrane reactors) and biogas AD processes (lignocellulose waste, municipal solid waste, food waste, livestock manure and waste activated sludge) based on substrate characteristics and discusses the application of each forementioned aspect. The factors affecting efficiency are crucial to anaerobic digestion, because they play a major role in biogas production and determine the metabolic conditions for microorganism growth. As an additive, an accelerant is not only regarded as a nutrient resource, but can also improve biodegradability. The focus of reactor design is the sufficient utilization of a substrate by changing the feeding method and enhancing the attachment to biomass. The optimal digestion process balances the optimal digest conditions with the cost-optimal input/output ratio. Additionally, establishment of theoretical and technological studies should emphasize practicality based on laboratory-scale experiments because further development of biogas plants would allow for a transition from household to medium- and large-scale projects; therefore, improving stability and efficiency are recommended for advancing AD research.","author":[{"dropping-particle":"","family":"Mao","given":"Chunlan","non-dropping-particle":"","parse-names":false,"suffix":""},{"dropping-particle":"","family":"Feng","given":"Yongzhong","non-dropping-particle":"","parse-names":false,"suffix":""},{"dropping-particle":"","family":"Wang","given":"Xiaojiao","non-dropping-particle":"","parse-names":false,"suffix":""},{"dropping-particle":"","family":"Ren","given":"Guangxin","non-dropping-particle":"","parse-names":false,"suffix":""}],"container-title":"Renewable and Sustainable Energy Reviews","id":"ITEM-1","issued":{"date-parts":[["2015"]]},"page":"540-555","publisher":"Elsevier","title":"Review on research achievements of biogas from anaerobic digestion","type":"article-journal","volume":"45"},"uris":["http://www.mendeley.com/documents/?uuid=8f980546-dcd5-4d27-9e23-93fa618ec396"]}],"mendeley":{"formattedCitation":"(Mao et al., 2015)","manualFormatting":"Mao et al. (2015)","plainTextFormattedCitation":"(Mao et al., 2015)","previouslyFormattedCitation":"(Mao et al., 2015)"},"properties":{"noteIndex":0},"schema":"https://github.com/citation-style-language/schema/raw/master/csl-citation.json"}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Mao et al. (2015)</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{"citationItems":[{"id":"ITEM-1","itemData":{"abstract":"Composting is controlled decomposition, the natural breakdown process of organic residues. Composting transforms raw organic waste materials into biologically stable, humic substances that make excellent soil amendments. Compost is easier to handle than manure and other raw organic materials, stores well and is odor-free.","author":[{"dropping-particle":"","family":"Cooperband","given":"Leslie","non-dropping-particle":"","parse-names":false,"suffix":""}],"id":"ITEM-1","issued":{"date-parts":[["2002"]]},"title":"The art and science of composting. A resource for farmers and compost producers","type":"report"},"uris":["http://www.mendeley.com/documents/?uuid=36644cb7-2d3a-4846-831f-18a99a16be63"]}],"mendeley":{"formattedCitation":"(Cooperband, 2002)","manualFormatting":"Cooperband (2002)","plainTextFormattedCitation":"(Cooperband, 2002)","previouslyFormattedCitation":"(Cooperband, 2002)"},"properties":{"noteIndex":0},"schema":"https://github.com/citation-style-language/schema/raw/master/csl-citation.json"}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Cooperband (2002)</w:t>
            </w:r>
            <w:r w:rsidRPr="00C81B1E">
              <w:rPr>
                <w:rFonts w:eastAsia="Calibri"/>
                <w:lang w:val="en-GB" w:eastAsia="en-US"/>
              </w:rPr>
              <w:fldChar w:fldCharType="end"/>
            </w:r>
          </w:p>
        </w:tc>
      </w:tr>
      <w:tr w:rsidR="00C81B1E" w:rsidRPr="00C81B1E" w14:paraId="62C88F71" w14:textId="77777777" w:rsidTr="00C81B1E">
        <w:trPr>
          <w:trHeight w:val="285"/>
        </w:trPr>
        <w:tc>
          <w:tcPr>
            <w:tcW w:w="1716" w:type="dxa"/>
            <w:shd w:val="clear" w:color="auto" w:fill="auto"/>
            <w:noWrap/>
            <w:vAlign w:val="center"/>
            <w:hideMark/>
          </w:tcPr>
          <w:p w14:paraId="6EADDAC5"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Organic loading rate (OLR)</w:t>
            </w:r>
          </w:p>
        </w:tc>
        <w:tc>
          <w:tcPr>
            <w:tcW w:w="1843" w:type="dxa"/>
            <w:shd w:val="clear" w:color="auto" w:fill="auto"/>
            <w:noWrap/>
            <w:vAlign w:val="center"/>
            <w:hideMark/>
          </w:tcPr>
          <w:p w14:paraId="1EAEA1F8" w14:textId="77777777" w:rsidR="00C7764C" w:rsidRPr="00C81B1E" w:rsidRDefault="00C7764C" w:rsidP="00C81B1E">
            <w:pPr>
              <w:pStyle w:val="MDPI42tablebody"/>
              <w:rPr>
                <w:rFonts w:eastAsia="Calibri"/>
                <w:lang w:val="en-GB" w:eastAsia="en-US"/>
              </w:rPr>
            </w:pPr>
            <w:r w:rsidRPr="00C81B1E">
              <w:rPr>
                <w:rFonts w:eastAsia="Calibri"/>
                <w:lang w:val="en-GB" w:eastAsia="en-US"/>
              </w:rPr>
              <w:t>kg VS/m</w:t>
            </w:r>
            <w:r w:rsidRPr="00C81B1E">
              <w:rPr>
                <w:rFonts w:eastAsia="Calibri"/>
                <w:vertAlign w:val="superscript"/>
                <w:lang w:val="en-GB" w:eastAsia="en-US"/>
              </w:rPr>
              <w:t>3</w:t>
            </w:r>
            <w:r w:rsidRPr="00C81B1E">
              <w:rPr>
                <w:rFonts w:eastAsia="Calibri"/>
                <w:lang w:val="en-GB" w:eastAsia="en-US"/>
              </w:rPr>
              <w:t xml:space="preserve"> day</w:t>
            </w:r>
          </w:p>
        </w:tc>
        <w:tc>
          <w:tcPr>
            <w:tcW w:w="992" w:type="dxa"/>
            <w:shd w:val="clear" w:color="auto" w:fill="auto"/>
            <w:noWrap/>
            <w:vAlign w:val="center"/>
            <w:hideMark/>
          </w:tcPr>
          <w:p w14:paraId="2C8857E0" w14:textId="77777777" w:rsidR="00C7764C" w:rsidRPr="00C81B1E" w:rsidRDefault="00C7764C" w:rsidP="00C81B1E">
            <w:pPr>
              <w:pStyle w:val="MDPI42tablebody"/>
              <w:rPr>
                <w:rFonts w:eastAsia="Calibri"/>
                <w:lang w:val="en-GB" w:eastAsia="en-US"/>
              </w:rPr>
            </w:pPr>
            <w:r w:rsidRPr="00C81B1E">
              <w:rPr>
                <w:rFonts w:eastAsia="Calibri"/>
                <w:lang w:val="en-GB" w:eastAsia="en-US"/>
              </w:rPr>
              <w:t>AD</w:t>
            </w:r>
          </w:p>
        </w:tc>
        <w:tc>
          <w:tcPr>
            <w:tcW w:w="4536" w:type="dxa"/>
            <w:vMerge w:val="restart"/>
            <w:shd w:val="clear" w:color="auto" w:fill="auto"/>
            <w:noWrap/>
            <w:vAlign w:val="center"/>
            <w:hideMark/>
          </w:tcPr>
          <w:p w14:paraId="059FE95F" w14:textId="77777777" w:rsidR="00C7764C" w:rsidRPr="00C81B1E" w:rsidRDefault="00C7764C" w:rsidP="00C81B1E">
            <w:pPr>
              <w:pStyle w:val="MDPI42tablebody"/>
              <w:rPr>
                <w:rFonts w:eastAsia="Calibri"/>
                <w:lang w:val="en-GB" w:eastAsia="en-US"/>
              </w:rPr>
            </w:pPr>
            <w:r w:rsidRPr="00C81B1E">
              <w:rPr>
                <w:rFonts w:eastAsia="Calibri"/>
                <w:lang w:val="en-GB" w:eastAsia="en-US"/>
              </w:rPr>
              <w:fldChar w:fldCharType="begin" w:fldLock="1"/>
            </w:r>
            <w:r w:rsidRPr="00C81B1E">
              <w:rPr>
                <w:rFonts w:eastAsia="Calibri"/>
                <w:lang w:val="en-GB" w:eastAsia="en-US"/>
              </w:rPr>
              <w:instrText>ADDIN CSL_CITATION {"citationItems":[{"id":"ITEM-1","itemData":{"DOI":"10.1016/j.rser.2015.02.032","ISBN":"1364-0321","ISSN":"13640321","abstract":"With the rising demand for renewable energy and environmental protection, anaerobic digestion of biogas technology has attracted considerable attention within the scientific community. This paper presents a comprehensive review of research achievements on anaerobic digestion developments for biogas production. The review includes a discussion of factors affecting efficiency (temperature, pH, C/N ratio, OLR and retention time), accelerants (greenery biomass, biological pure culture and inorganic additives), reactors (conventional anaerobic reactors, sludge retention reactors and anaerobic membrane reactors) and biogas AD processes (lignocellulose waste, municipal solid waste, food waste, livestock manure and waste activated sludge) based on substrate characteristics and discusses the application of each forementioned aspect. The factors affecting efficiency are crucial to anaerobic digestion, because they play a major role in biogas production and determine the metabolic conditions for microorganism growth. As an additive, an accelerant is not only regarded as a nutrient resource, but can also improve biodegradability. The focus of reactor design is the sufficient utilization of a substrate by changing the feeding method and enhancing the attachment to biomass. The optimal digestion process balances the optimal digest conditions with the cost-optimal input/output ratio. Additionally, establishment of theoretical and technological studies should emphasize practicality based on laboratory-scale experiments because further development of biogas plants would allow for a transition from household to medium- and large-scale projects; therefore, improving stability and efficiency are recommended for advancing AD research.","author":[{"dropping-particle":"","family":"Mao","given":"Chunlan","non-dropping-particle":"","parse-names":false,"suffix":""},{"dropping-particle":"","family":"Feng","given":"Yongzhong","non-dropping-particle":"","parse-names":false,"suffix":""},{"dropping-particle":"","family":"Wang","given":"Xiaojiao","non-dropping-particle":"","parse-names":false,"suffix":""},{"dropping-particle":"","family":"Ren","given":"Guangxin","non-dropping-particle":"","parse-names":false,"suffix":""}],"container-title":"Renewable and Sustainable Energy Reviews","id":"ITEM-1","issued":{"date-parts":[["2015"]]},"page":"540-555","publisher":"Elsevier","title":"Review on research achievements of biogas from anaerobic digestion","type":"article-journal","volume":"45"},"uris":["http://www.mendeley.com/documents/?uuid=8f980546-dcd5-4d27-9e23-93fa618ec396"]}],"mendeley":{"formattedCitation":"(Mao et al., 2015)","manualFormatting":"Mao et al. (2015)","plainTextFormattedCitation":"(Mao et al., 2015)","previouslyFormattedCitation":"(Mao et al., 2015)"},"properties":{"noteIndex":0},"schema":"https://github.com/citation-style-language/schema/raw/master/csl-citation.json"}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Mao et al. (2015)</w:t>
            </w:r>
            <w:r w:rsidRPr="00C81B1E">
              <w:rPr>
                <w:rFonts w:eastAsia="Calibri"/>
                <w:lang w:val="en-GB" w:eastAsia="en-US"/>
              </w:rPr>
              <w:fldChar w:fldCharType="end"/>
            </w:r>
          </w:p>
        </w:tc>
      </w:tr>
      <w:tr w:rsidR="00C81B1E" w:rsidRPr="00C81B1E" w14:paraId="31DE5827" w14:textId="77777777" w:rsidTr="00C81B1E">
        <w:trPr>
          <w:trHeight w:val="255"/>
        </w:trPr>
        <w:tc>
          <w:tcPr>
            <w:tcW w:w="1716" w:type="dxa"/>
            <w:tcBorders>
              <w:top w:val="single" w:sz="4" w:space="0" w:color="7F7F7F"/>
              <w:bottom w:val="single" w:sz="4" w:space="0" w:color="7F7F7F"/>
            </w:tcBorders>
            <w:shd w:val="clear" w:color="auto" w:fill="auto"/>
            <w:noWrap/>
            <w:vAlign w:val="center"/>
            <w:hideMark/>
          </w:tcPr>
          <w:p w14:paraId="4333C927"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Hydraulic retention time (HRT)</w:t>
            </w:r>
          </w:p>
        </w:tc>
        <w:tc>
          <w:tcPr>
            <w:tcW w:w="1843" w:type="dxa"/>
            <w:tcBorders>
              <w:top w:val="single" w:sz="4" w:space="0" w:color="7F7F7F"/>
              <w:bottom w:val="single" w:sz="4" w:space="0" w:color="7F7F7F"/>
            </w:tcBorders>
            <w:shd w:val="clear" w:color="auto" w:fill="auto"/>
            <w:noWrap/>
            <w:vAlign w:val="center"/>
            <w:hideMark/>
          </w:tcPr>
          <w:p w14:paraId="34B8B49C" w14:textId="77777777" w:rsidR="00C7764C" w:rsidRPr="00C81B1E" w:rsidRDefault="00C7764C" w:rsidP="00C81B1E">
            <w:pPr>
              <w:pStyle w:val="MDPI42tablebody"/>
              <w:rPr>
                <w:rFonts w:eastAsia="Calibri"/>
                <w:lang w:val="en-GB" w:eastAsia="en-US"/>
              </w:rPr>
            </w:pPr>
            <w:r w:rsidRPr="00C81B1E">
              <w:rPr>
                <w:rFonts w:eastAsia="Calibri"/>
                <w:lang w:val="en-GB" w:eastAsia="en-US"/>
              </w:rPr>
              <w:t>Days</w:t>
            </w:r>
          </w:p>
        </w:tc>
        <w:tc>
          <w:tcPr>
            <w:tcW w:w="992" w:type="dxa"/>
            <w:tcBorders>
              <w:top w:val="single" w:sz="4" w:space="0" w:color="7F7F7F"/>
              <w:bottom w:val="single" w:sz="4" w:space="0" w:color="7F7F7F"/>
            </w:tcBorders>
            <w:shd w:val="clear" w:color="auto" w:fill="auto"/>
            <w:noWrap/>
            <w:vAlign w:val="center"/>
            <w:hideMark/>
          </w:tcPr>
          <w:p w14:paraId="2CF59D8A" w14:textId="77777777" w:rsidR="00C7764C" w:rsidRPr="00C81B1E" w:rsidRDefault="00C7764C" w:rsidP="00C81B1E">
            <w:pPr>
              <w:pStyle w:val="MDPI42tablebody"/>
              <w:rPr>
                <w:rFonts w:eastAsia="Calibri"/>
                <w:lang w:val="en-GB" w:eastAsia="en-US"/>
              </w:rPr>
            </w:pPr>
            <w:r w:rsidRPr="00C81B1E">
              <w:rPr>
                <w:rFonts w:eastAsia="Calibri"/>
                <w:lang w:val="en-GB" w:eastAsia="en-US"/>
              </w:rPr>
              <w:t>AD</w:t>
            </w:r>
          </w:p>
        </w:tc>
        <w:tc>
          <w:tcPr>
            <w:tcW w:w="4536" w:type="dxa"/>
            <w:vMerge/>
            <w:tcBorders>
              <w:top w:val="single" w:sz="4" w:space="0" w:color="7F7F7F"/>
              <w:bottom w:val="single" w:sz="4" w:space="0" w:color="7F7F7F"/>
            </w:tcBorders>
            <w:shd w:val="clear" w:color="auto" w:fill="auto"/>
            <w:noWrap/>
            <w:vAlign w:val="center"/>
            <w:hideMark/>
          </w:tcPr>
          <w:p w14:paraId="65A97AF1" w14:textId="77777777" w:rsidR="00C7764C" w:rsidRPr="00C81B1E" w:rsidRDefault="00C7764C" w:rsidP="00C81B1E">
            <w:pPr>
              <w:pStyle w:val="MDPI42tablebody"/>
              <w:rPr>
                <w:rFonts w:eastAsia="Calibri"/>
                <w:lang w:val="en-GB" w:eastAsia="en-US"/>
              </w:rPr>
            </w:pPr>
          </w:p>
        </w:tc>
      </w:tr>
      <w:tr w:rsidR="00C81B1E" w:rsidRPr="00C81B1E" w14:paraId="42B4D327" w14:textId="77777777" w:rsidTr="00C81B1E">
        <w:trPr>
          <w:trHeight w:val="255"/>
        </w:trPr>
        <w:tc>
          <w:tcPr>
            <w:tcW w:w="1716" w:type="dxa"/>
            <w:shd w:val="clear" w:color="auto" w:fill="auto"/>
            <w:noWrap/>
            <w:vAlign w:val="center"/>
            <w:hideMark/>
          </w:tcPr>
          <w:p w14:paraId="39E89986"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Composting of digestate</w:t>
            </w:r>
          </w:p>
        </w:tc>
        <w:tc>
          <w:tcPr>
            <w:tcW w:w="1843" w:type="dxa"/>
            <w:shd w:val="clear" w:color="auto" w:fill="auto"/>
            <w:noWrap/>
            <w:vAlign w:val="center"/>
            <w:hideMark/>
          </w:tcPr>
          <w:p w14:paraId="2B567CDA" w14:textId="77777777" w:rsidR="00C7764C" w:rsidRPr="00C81B1E" w:rsidRDefault="00C7764C" w:rsidP="00C81B1E">
            <w:pPr>
              <w:pStyle w:val="MDPI42tablebody"/>
              <w:rPr>
                <w:rFonts w:eastAsia="Calibri"/>
                <w:lang w:val="en-GB" w:eastAsia="en-US"/>
              </w:rPr>
            </w:pPr>
            <w:r w:rsidRPr="00C81B1E">
              <w:rPr>
                <w:rFonts w:eastAsia="Calibri"/>
                <w:lang w:val="en-GB" w:eastAsia="en-US"/>
              </w:rPr>
              <w:t>Yes (type) / No</w:t>
            </w:r>
          </w:p>
        </w:tc>
        <w:tc>
          <w:tcPr>
            <w:tcW w:w="992" w:type="dxa"/>
            <w:shd w:val="clear" w:color="auto" w:fill="auto"/>
            <w:noWrap/>
            <w:vAlign w:val="center"/>
            <w:hideMark/>
          </w:tcPr>
          <w:p w14:paraId="30008280" w14:textId="77777777" w:rsidR="00C7764C" w:rsidRPr="00C81B1E" w:rsidRDefault="00C7764C" w:rsidP="00C81B1E">
            <w:pPr>
              <w:pStyle w:val="MDPI42tablebody"/>
              <w:rPr>
                <w:rFonts w:eastAsia="Calibri"/>
                <w:lang w:val="en-GB" w:eastAsia="en-US"/>
              </w:rPr>
            </w:pPr>
            <w:r w:rsidRPr="00C81B1E">
              <w:rPr>
                <w:rFonts w:eastAsia="Calibri"/>
                <w:lang w:val="en-GB" w:eastAsia="en-US"/>
              </w:rPr>
              <w:t>AD</w:t>
            </w:r>
          </w:p>
        </w:tc>
        <w:tc>
          <w:tcPr>
            <w:tcW w:w="4536" w:type="dxa"/>
            <w:shd w:val="clear" w:color="auto" w:fill="auto"/>
            <w:noWrap/>
            <w:vAlign w:val="center"/>
            <w:hideMark/>
          </w:tcPr>
          <w:p w14:paraId="1E9B3108" w14:textId="77777777" w:rsidR="00C7764C" w:rsidRPr="00C81B1E" w:rsidRDefault="00C7764C" w:rsidP="00C81B1E">
            <w:pPr>
              <w:pStyle w:val="MDPI42tablebody"/>
              <w:rPr>
                <w:rFonts w:eastAsia="Calibri"/>
                <w:lang w:val="en-GB" w:eastAsia="en-US"/>
              </w:rPr>
            </w:pPr>
            <w:r w:rsidRPr="00C81B1E">
              <w:rPr>
                <w:rFonts w:eastAsia="Calibri"/>
                <w:lang w:val="en-GB" w:eastAsia="en-US"/>
              </w:rPr>
              <w:fldChar w:fldCharType="begin" w:fldLock="1"/>
            </w:r>
            <w:r w:rsidRPr="00C81B1E">
              <w:rPr>
                <w:rFonts w:eastAsia="Calibri"/>
                <w:lang w:val="en-GB" w:eastAsia="en-US"/>
              </w:rPr>
              <w:instrText>ADDIN CSL_CITATION {"citationItems":[{"id":"ITEM-1","itemData":{"DOI":"10.1016/j.jece.2014.07.024","ISSN":"22133437","abstract":"Food waste with high decomposition potential can be successfully digested anaerobically for the production of biogas. As the fossil-fuel reserves decline anaerobic digestion can be a better alternative as a renewable energy source. The byproducts such as biogas with 50–60% methane content can be efficiently used for electricity production and the final digested sludge as a fertilizer. Even though anaerobic digestion is a proven technology, still there exist some technical difficulties (organic loading rate, solid retention time, biogas composition, specific gas production) and scientific understandings (carbon to nitrogen ratio, volatile fatty acids production, pH variation, nutrient concentration) in operating reactors for solid organic wastes. First the paper gives an overview of certain fundamental aspects of anaerobic digestion considered important for the digestion of food waste and its biochemical reactions. Then it describes food waste as the substrate for anaerobic digestion and its optimal conditions for the increased activity of biogas production. Finally it has been reviewed about the performance of the different pre-treatment methods and anaerobic reactor configurations in the digestion of food waste for increasing methane content in the biogas.","author":[{"dropping-particle":"","family":"Kondusamy","given":"Dhamodharan","non-dropping-particle":"","parse-names":false,"suffix":""},{"dropping-particle":"","family":"Kalamdhad","given":"Ajay S.","non-dropping-particle":"","parse-names":false,"suffix":""}],"container-title":"Journal of Environmental Chemical Engineering","id":"ITEM-1","issue":"3","issued":{"date-parts":[["2014","9"]]},"page":"1821-1830","title":"Pre-treatment and anaerobic digestion of food waste for high rate methane production – A review","type":"article-journal","volume":"2"},"uris":["http://www.mendeley.com/documents/?uuid=e9beb031-9c8c-4795-ade7-780b98fd4c82"]}],"mendeley":{"formattedCitation":"(Kondusamy and Kalamdhad, 2014)","manualFormatting":"Kondusamy &amp; Kalamdhad (2014)","plainTextFormattedCitation":"(Kondusamy and Kalamdhad, 2014)","previouslyFormattedCitation":"(Kondusamy and Kalamdhad, 2014)"},"properties":{"noteIndex":0},"schema":"https://github.com/citation-style-language/schema/raw/master/csl-citation.json"}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Kondusamy &amp; Kalamdhad (2014)</w:t>
            </w:r>
            <w:r w:rsidRPr="00C81B1E">
              <w:rPr>
                <w:rFonts w:eastAsia="Calibri"/>
                <w:lang w:val="en-GB" w:eastAsia="en-US"/>
              </w:rPr>
              <w:fldChar w:fldCharType="end"/>
            </w:r>
          </w:p>
        </w:tc>
      </w:tr>
      <w:tr w:rsidR="00C81B1E" w:rsidRPr="00C81B1E" w14:paraId="0A5CE612" w14:textId="77777777" w:rsidTr="00C81B1E">
        <w:trPr>
          <w:trHeight w:val="255"/>
        </w:trPr>
        <w:tc>
          <w:tcPr>
            <w:tcW w:w="1716" w:type="dxa"/>
            <w:tcBorders>
              <w:top w:val="single" w:sz="4" w:space="0" w:color="7F7F7F"/>
              <w:bottom w:val="single" w:sz="4" w:space="0" w:color="7F7F7F"/>
            </w:tcBorders>
            <w:shd w:val="clear" w:color="auto" w:fill="auto"/>
            <w:noWrap/>
            <w:vAlign w:val="center"/>
            <w:hideMark/>
          </w:tcPr>
          <w:p w14:paraId="2E155171"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Oxygen concentration / Air ratio</w:t>
            </w:r>
          </w:p>
        </w:tc>
        <w:tc>
          <w:tcPr>
            <w:tcW w:w="1843" w:type="dxa"/>
            <w:tcBorders>
              <w:top w:val="single" w:sz="4" w:space="0" w:color="7F7F7F"/>
              <w:bottom w:val="single" w:sz="4" w:space="0" w:color="7F7F7F"/>
            </w:tcBorders>
            <w:shd w:val="clear" w:color="auto" w:fill="auto"/>
            <w:noWrap/>
            <w:vAlign w:val="center"/>
            <w:hideMark/>
          </w:tcPr>
          <w:p w14:paraId="02E22077" w14:textId="77777777" w:rsidR="00C7764C" w:rsidRPr="00C81B1E" w:rsidRDefault="00C7764C" w:rsidP="00C81B1E">
            <w:pPr>
              <w:pStyle w:val="MDPI42tablebody"/>
              <w:rPr>
                <w:rFonts w:eastAsia="Calibri"/>
                <w:lang w:val="en-GB" w:eastAsia="en-US"/>
              </w:rPr>
            </w:pPr>
            <w:r w:rsidRPr="00C81B1E">
              <w:rPr>
                <w:rFonts w:eastAsia="Calibri"/>
                <w:lang w:val="en-GB" w:eastAsia="en-US"/>
              </w:rPr>
              <w:t>%</w:t>
            </w:r>
          </w:p>
        </w:tc>
        <w:tc>
          <w:tcPr>
            <w:tcW w:w="992" w:type="dxa"/>
            <w:tcBorders>
              <w:top w:val="single" w:sz="4" w:space="0" w:color="7F7F7F"/>
              <w:bottom w:val="single" w:sz="4" w:space="0" w:color="7F7F7F"/>
            </w:tcBorders>
            <w:shd w:val="clear" w:color="auto" w:fill="auto"/>
            <w:noWrap/>
            <w:vAlign w:val="center"/>
            <w:hideMark/>
          </w:tcPr>
          <w:p w14:paraId="3804227D" w14:textId="77777777" w:rsidR="00C7764C" w:rsidRPr="00C81B1E" w:rsidRDefault="00C7764C" w:rsidP="00C81B1E">
            <w:pPr>
              <w:pStyle w:val="MDPI42tablebody"/>
              <w:rPr>
                <w:rFonts w:eastAsia="Calibri"/>
                <w:lang w:val="en-GB" w:eastAsia="en-US"/>
              </w:rPr>
            </w:pPr>
            <w:r w:rsidRPr="00C81B1E">
              <w:rPr>
                <w:rFonts w:eastAsia="Calibri"/>
                <w:lang w:val="en-GB" w:eastAsia="en-US"/>
              </w:rPr>
              <w:t>C, TT</w:t>
            </w:r>
          </w:p>
        </w:tc>
        <w:tc>
          <w:tcPr>
            <w:tcW w:w="4536" w:type="dxa"/>
            <w:tcBorders>
              <w:top w:val="single" w:sz="4" w:space="0" w:color="7F7F7F"/>
              <w:bottom w:val="single" w:sz="4" w:space="0" w:color="7F7F7F"/>
            </w:tcBorders>
            <w:shd w:val="clear" w:color="auto" w:fill="auto"/>
            <w:noWrap/>
            <w:vAlign w:val="center"/>
            <w:hideMark/>
          </w:tcPr>
          <w:p w14:paraId="11ABE42A"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C: </w:t>
            </w:r>
            <w:r w:rsidRPr="00C81B1E">
              <w:rPr>
                <w:rFonts w:eastAsia="Calibri"/>
                <w:lang w:val="en-GB" w:eastAsia="en-US"/>
              </w:rPr>
              <w:fldChar w:fldCharType="begin" w:fldLock="1"/>
            </w:r>
            <w:r w:rsidRPr="00C81B1E">
              <w:rPr>
                <w:rFonts w:eastAsia="Calibri"/>
                <w:lang w:val="en-GB" w:eastAsia="en-US"/>
              </w:rPr>
              <w:instrText>ADDIN CSL_CITATION {"citationItems":[{"id":"ITEM-1","itemData":{"abstract":"Composting is controlled decomposition, the natural breakdown process of organic residues. Composting transforms raw organic waste materials into biologically stable, humic substances that make excellent soil amendments. Compost is easier to handle than manure and other raw organic materials, stores well and is odor-free.","author":[{"dropping-particle":"","family":"Cooperband","given":"Leslie","non-dropping-particle":"","parse-names":false,"suffix":""}],"id":"ITEM-1","issued":{"date-parts":[["2002"]]},"title":"The art and science of composting. A resource for farmers and compost producers","type":"report"},"uris":["http://www.mendeley.com/documents/?uuid=36644cb7-2d3a-4846-831f-18a99a16be63"]}],"mendeley":{"formattedCitation":"(Cooperband, 2002)","manualFormatting":"Cooperband (2002)","plainTextFormattedCitation":"(Cooperband, 2002)","previouslyFormattedCitation":"(Cooperband, 2002)"},"properties":{"noteIndex":0},"schema":"https://github.com/citation-style-language/schema/raw/master/csl-citation.json"}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Cooperband (2002)</w:t>
            </w:r>
            <w:r w:rsidRPr="00C81B1E">
              <w:rPr>
                <w:rFonts w:eastAsia="Calibri"/>
                <w:lang w:val="en-GB" w:eastAsia="en-US"/>
              </w:rPr>
              <w:fldChar w:fldCharType="end"/>
            </w:r>
            <w:r w:rsidRPr="00C81B1E">
              <w:rPr>
                <w:rFonts w:eastAsia="Calibri"/>
                <w:lang w:val="en-GB" w:eastAsia="en-US"/>
              </w:rPr>
              <w:t xml:space="preserve">, TT: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{"citationItems":[{"id":"ITEM-1","itemData":{"DOI":"10.1016/j.enconman.2009.12.025","ISBN":"0196-8904","ISSN":"01968904","abstract":"Energy recovery from food waste was studied using the food service at the US Naval Academy as a case study. Post-consumer food waste was captured over a period of ten days to estimate individual waste per meal and total waste per month. The food waste was analyzed for chemical composition and water content using ultimate and proximate analysis, and for energy content, and compared with the same analyses of wood (a more typical biomass fuel). Three different samples of food waste showed relative uniformity of properties despite being sampled on different days, with different menus. Food waste had lower oxygen content, higher nitrogen and ash content, and higher energy content than wood. The food waste in this study had approximately 70% water content. Temperatures and emissions from combustion of wood pellets, dried pelletized food waste, and dried non-pelletized food waste were measured and compared using a modified residential pellet stove. Temperatures were higher for food waste due to the higher energy content. Emissions of NO, HC, and soot were slightly higher for food waste. Despite the large water content, thermodynamic analysis showed that regenerative dehydration, in which waste energy from the combustion system is used to remove water from the incoming wet fuel, is possible. An excess enthalpy ratio is defined to formalize the comparison of waste sensible enthalpy with the energy required for dehydration. Analysis of fuel-lean combustion and fuel-rich gasification shows that little, if any, external energy would necessarily be required to remove the water from the incoming fuel. An equilibrium model was used to simulate waste food gasification by extending the simulation to high water content levels. Probable ranges for successful food waste gasification are identified. Energy recovery of waste food could result in cost savings by offsetting traditional fuel-use (e.g. natural gas for heating) and by reducing disposal costs.","author":[{"dropping-particle":"","family":"Caton","given":"P. a.","non-dropping-particle":"","parse-names":false,"suffix":""},{"dropping-particle":"","family":"Carr","given":"M. a.","non-dropping-particle":"","parse-names":false,"suffix":""},{"dropping-particle":"","family":"Kim","given":"S. S.","non-dropping-particle":"","parse-names":false,"suffix":""},{"dropping-particle":"","family":"Beautyman","given":"M. J.","non-dropping-particle":"","parse-names":false,"suffix":""}],"container-title":"Energy Conversion and Management","id":"ITEM-1","issue":"6","issued":{"date-parts":[["2010"]]},"page":"1157-1169","publisher":"Elsevier Ltd","title":"Energy recovery from waste food by combustion or gasification with the potential for regenerative dehydration: A case study","type":"article-journal","volume":"51"},"uris":["http://www.mendeley.com/documents/?uuid=4e1869b1-94de-4948-9bd3-b0a18b67b3b4"]}],"mendeley":{"formattedCitation":"(Caton et al., 2010)","manualFormatting":"Caton et al. (2010)","plainTextFormattedCitation":"(Caton et al., 2010)","previouslyFormattedCitation":"(Caton et al., 2010)"},"properties":{"noteIndex":0},"schema":"https://github.com/citation-style-language/schema/raw/master/csl-citation.json"}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Caton et al. (2010)</w:t>
            </w:r>
            <w:r w:rsidRPr="00C81B1E">
              <w:rPr>
                <w:rFonts w:eastAsia="Calibri"/>
                <w:lang w:val="en-GB" w:eastAsia="en-US"/>
              </w:rPr>
              <w:fldChar w:fldCharType="end"/>
            </w:r>
          </w:p>
        </w:tc>
      </w:tr>
      <w:tr w:rsidR="00C81B1E" w:rsidRPr="00C81B1E" w14:paraId="0EE48AEB" w14:textId="77777777" w:rsidTr="00C81B1E">
        <w:trPr>
          <w:trHeight w:val="255"/>
        </w:trPr>
        <w:tc>
          <w:tcPr>
            <w:tcW w:w="1716" w:type="dxa"/>
            <w:shd w:val="clear" w:color="auto" w:fill="auto"/>
            <w:noWrap/>
            <w:vAlign w:val="center"/>
            <w:hideMark/>
          </w:tcPr>
          <w:p w14:paraId="28F2E69B"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Pile size</w:t>
            </w:r>
          </w:p>
        </w:tc>
        <w:tc>
          <w:tcPr>
            <w:tcW w:w="1843" w:type="dxa"/>
            <w:shd w:val="clear" w:color="auto" w:fill="auto"/>
            <w:noWrap/>
            <w:vAlign w:val="center"/>
            <w:hideMark/>
          </w:tcPr>
          <w:p w14:paraId="09858647" w14:textId="77777777" w:rsidR="00C7764C" w:rsidRPr="00C81B1E" w:rsidRDefault="00C7764C" w:rsidP="00C81B1E">
            <w:pPr>
              <w:pStyle w:val="MDPI42tablebody"/>
              <w:rPr>
                <w:rFonts w:eastAsia="Calibri"/>
                <w:lang w:val="en-GB" w:eastAsia="en-US"/>
              </w:rPr>
            </w:pPr>
            <w:r w:rsidRPr="00C81B1E">
              <w:rPr>
                <w:rFonts w:eastAsia="Calibri"/>
                <w:lang w:val="en-GB" w:eastAsia="en-US"/>
              </w:rPr>
              <w:t>cm high, m wide</w:t>
            </w:r>
          </w:p>
        </w:tc>
        <w:tc>
          <w:tcPr>
            <w:tcW w:w="992" w:type="dxa"/>
            <w:shd w:val="clear" w:color="auto" w:fill="auto"/>
            <w:noWrap/>
            <w:vAlign w:val="center"/>
            <w:hideMark/>
          </w:tcPr>
          <w:p w14:paraId="627D0D95" w14:textId="77777777" w:rsidR="00C7764C" w:rsidRPr="00C81B1E" w:rsidRDefault="00C7764C" w:rsidP="00C81B1E">
            <w:pPr>
              <w:pStyle w:val="MDPI42tablebody"/>
              <w:rPr>
                <w:rFonts w:eastAsia="Calibri"/>
                <w:lang w:val="en-GB" w:eastAsia="en-US"/>
              </w:rPr>
            </w:pPr>
            <w:r w:rsidRPr="00C81B1E">
              <w:rPr>
                <w:rFonts w:eastAsia="Calibri"/>
                <w:lang w:val="en-GB" w:eastAsia="en-US"/>
              </w:rPr>
              <w:t>C</w:t>
            </w:r>
          </w:p>
        </w:tc>
        <w:tc>
          <w:tcPr>
            <w:tcW w:w="4536" w:type="dxa"/>
            <w:shd w:val="clear" w:color="auto" w:fill="auto"/>
            <w:noWrap/>
            <w:vAlign w:val="center"/>
            <w:hideMark/>
          </w:tcPr>
          <w:p w14:paraId="727F0B61" w14:textId="77777777" w:rsidR="00C7764C" w:rsidRPr="00C81B1E" w:rsidRDefault="00C7764C" w:rsidP="00C81B1E">
            <w:pPr>
              <w:pStyle w:val="MDPI42tablebody"/>
              <w:rPr>
                <w:rFonts w:eastAsia="Calibri"/>
                <w:lang w:val="en-GB" w:eastAsia="en-US"/>
              </w:rPr>
            </w:pPr>
            <w:r w:rsidRPr="00C81B1E">
              <w:rPr>
                <w:rFonts w:eastAsia="Calibri"/>
                <w:lang w:val="en-GB" w:eastAsia="en-US"/>
              </w:rPr>
              <w:fldChar w:fldCharType="begin" w:fldLock="1"/>
            </w:r>
            <w:r w:rsidRPr="00C81B1E">
              <w:rPr>
                <w:rFonts w:eastAsia="Calibri"/>
                <w:lang w:val="en-GB" w:eastAsia="en-US"/>
              </w:rPr>
              <w:instrText>ADDIN CSL_CITATION {"citationItems":[{"id":"ITEM-1","itemData":{"abstract":"Composting is controlled decomposition, the natural breakdown process of organic residues. Composting transforms raw organic waste materials into biologically stable, humic substances that make excellent soil amendments. Compost is easier to handle than manure and other raw organic materials, stores well and is odor-free.","author":[{"dropping-particle":"","family":"Cooperband","given":"Leslie","non-dropping-particle":"","parse-names":false,"suffix":""}],"id":"ITEM-1","issued":{"date-parts":[["2002"]]},"title":"The art and science of composting. A resource for farmers and compost producers","type":"report"},"uris":["http://www.mendeley.com/documents/?uuid=36644cb7-2d3a-4846-831f-18a99a16be63"]}],"mendeley":{"formattedCitation":"(Cooperband, 2002)","manualFormatting":"Cooperband (2002)","plainTextFormattedCitation":"(Cooperband, 2002)","previouslyFormattedCitation":"(Cooperband, 2002)"},"properties":{"noteIndex":0},"schema":"https://github.com/citation-style-language/schema/raw/master/csl-citation.json"}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Cooperband (2002)</w:t>
            </w:r>
            <w:r w:rsidRPr="00C81B1E">
              <w:rPr>
                <w:rFonts w:eastAsia="Calibri"/>
                <w:lang w:val="en-GB" w:eastAsia="en-US"/>
              </w:rPr>
              <w:fldChar w:fldCharType="end"/>
            </w:r>
          </w:p>
        </w:tc>
      </w:tr>
      <w:tr w:rsidR="00C81B1E" w:rsidRPr="00C81B1E" w14:paraId="1AAD952F" w14:textId="77777777" w:rsidTr="00C81B1E">
        <w:trPr>
          <w:trHeight w:val="255"/>
        </w:trPr>
        <w:tc>
          <w:tcPr>
            <w:tcW w:w="1716" w:type="dxa"/>
            <w:tcBorders>
              <w:top w:val="single" w:sz="4" w:space="0" w:color="7F7F7F"/>
              <w:bottom w:val="single" w:sz="4" w:space="0" w:color="7F7F7F"/>
            </w:tcBorders>
            <w:shd w:val="clear" w:color="auto" w:fill="auto"/>
            <w:noWrap/>
            <w:vAlign w:val="center"/>
            <w:hideMark/>
          </w:tcPr>
          <w:p w14:paraId="70B20474"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Pressure</w:t>
            </w:r>
          </w:p>
        </w:tc>
        <w:tc>
          <w:tcPr>
            <w:tcW w:w="1843" w:type="dxa"/>
            <w:tcBorders>
              <w:top w:val="single" w:sz="4" w:space="0" w:color="7F7F7F"/>
              <w:bottom w:val="single" w:sz="4" w:space="0" w:color="7F7F7F"/>
            </w:tcBorders>
            <w:shd w:val="clear" w:color="auto" w:fill="auto"/>
            <w:noWrap/>
            <w:vAlign w:val="center"/>
            <w:hideMark/>
          </w:tcPr>
          <w:p w14:paraId="7861C0FC" w14:textId="55FC00D7" w:rsidR="00C7764C" w:rsidRPr="00C81B1E" w:rsidRDefault="003B4242" w:rsidP="00C81B1E">
            <w:pPr>
              <w:pStyle w:val="MDPI42tablebody"/>
              <w:rPr>
                <w:rFonts w:eastAsia="Calibri"/>
                <w:lang w:val="en-GB" w:eastAsia="en-US"/>
              </w:rPr>
            </w:pPr>
            <w:r>
              <w:rPr>
                <w:rFonts w:eastAsia="Calibri"/>
                <w:lang w:val="en-GB" w:eastAsia="en-US"/>
              </w:rPr>
              <w:t>b</w:t>
            </w:r>
            <w:r w:rsidR="00C7764C" w:rsidRPr="00C81B1E">
              <w:rPr>
                <w:rFonts w:eastAsia="Calibri"/>
                <w:lang w:val="en-GB" w:eastAsia="en-US"/>
              </w:rPr>
              <w:t>ar</w:t>
            </w:r>
          </w:p>
        </w:tc>
        <w:tc>
          <w:tcPr>
            <w:tcW w:w="992" w:type="dxa"/>
            <w:tcBorders>
              <w:top w:val="single" w:sz="4" w:space="0" w:color="7F7F7F"/>
              <w:bottom w:val="single" w:sz="4" w:space="0" w:color="7F7F7F"/>
            </w:tcBorders>
            <w:shd w:val="clear" w:color="auto" w:fill="auto"/>
            <w:noWrap/>
            <w:vAlign w:val="center"/>
            <w:hideMark/>
          </w:tcPr>
          <w:p w14:paraId="593584A6" w14:textId="77777777" w:rsidR="00C7764C" w:rsidRPr="00C81B1E" w:rsidRDefault="00C7764C" w:rsidP="00C81B1E">
            <w:pPr>
              <w:pStyle w:val="MDPI42tablebody"/>
              <w:rPr>
                <w:rFonts w:eastAsia="Calibri"/>
                <w:lang w:val="en-GB" w:eastAsia="en-US"/>
              </w:rPr>
            </w:pPr>
            <w:r w:rsidRPr="00C81B1E">
              <w:rPr>
                <w:rFonts w:eastAsia="Calibri"/>
                <w:lang w:val="en-GB" w:eastAsia="en-US"/>
              </w:rPr>
              <w:t>TT</w:t>
            </w:r>
          </w:p>
        </w:tc>
        <w:tc>
          <w:tcPr>
            <w:tcW w:w="4536" w:type="dxa"/>
            <w:tcBorders>
              <w:top w:val="single" w:sz="4" w:space="0" w:color="7F7F7F"/>
              <w:bottom w:val="single" w:sz="4" w:space="0" w:color="7F7F7F"/>
            </w:tcBorders>
            <w:shd w:val="clear" w:color="auto" w:fill="auto"/>
            <w:noWrap/>
            <w:vAlign w:val="center"/>
            <w:hideMark/>
          </w:tcPr>
          <w:p w14:paraId="752EACF1" w14:textId="77777777" w:rsidR="00C7764C" w:rsidRPr="00C81B1E" w:rsidRDefault="00C7764C" w:rsidP="00C81B1E">
            <w:pPr>
              <w:pStyle w:val="MDPI42tablebody"/>
              <w:rPr>
                <w:rFonts w:eastAsia="Calibri"/>
                <w:lang w:val="en-GB" w:eastAsia="en-US"/>
              </w:rPr>
            </w:pPr>
            <w:r w:rsidRPr="00C81B1E">
              <w:rPr>
                <w:rFonts w:eastAsia="Calibri"/>
                <w:lang w:val="en-GB" w:eastAsia="en-US"/>
              </w:rPr>
              <w:fldChar w:fldCharType="begin" w:fldLock="1"/>
            </w:r>
            <w:r w:rsidRPr="00C81B1E">
              <w:rPr>
                <w:rFonts w:eastAsia="Calibri"/>
                <w:lang w:val="en-GB" w:eastAsia="en-US"/>
              </w:rPr>
              <w:instrText>ADDIN CSL_CITATION {"citationItems":[{"id":"ITEM-1","itemData":{"author":[{"dropping-particle":"","family":"Lohri","given":"Christian Riu","non-dropping-particle":"","parse-names":false,"suffix":""},{"dropping-particle":"","family":"Sweeney","given":"Dan","non-dropping-particle":"","parse-names":false,"suffix":""},{"dropping-particle":"","family":"Rajabu","given":"Hassan Mtoro","non-dropping-particle":"","parse-names":false,"suffix":""}],"id":"ITEM-1","issued":{"date-parts":[["2015"]]},"title":"Carbonizing urban biowaste for low-cost char production in developing countries - A review of knowledge, practices and technologies","type":"article-journal"},"uris":["http://www.mendeley.com/documents/?uuid=d1edbab1-e9d1-4e11-b2ec-6fc3d54e4435"]}],"mendeley":{"formattedCitation":"(Lohri et al., 2015)","manualFormatting":"Lohri et al. (2015)","plainTextFormattedCitation":"(Lohri et al., 2015)","previouslyFormattedCitation":"(Lohri et al., 2015)"},"properties":{"noteIndex":0},"schema":"https://github.com/citation-style-language/schema/raw/master/csl-citation.json"}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Lohri et al. (2015)</w:t>
            </w:r>
            <w:r w:rsidRPr="00C81B1E">
              <w:rPr>
                <w:rFonts w:eastAsia="Calibri"/>
                <w:lang w:val="en-GB" w:eastAsia="en-US"/>
              </w:rPr>
              <w:fldChar w:fldCharType="end"/>
            </w:r>
          </w:p>
        </w:tc>
      </w:tr>
      <w:tr w:rsidR="00C81B1E" w:rsidRPr="00C81B1E" w14:paraId="5C0EC620" w14:textId="77777777" w:rsidTr="00C81B1E">
        <w:trPr>
          <w:trHeight w:val="270"/>
        </w:trPr>
        <w:tc>
          <w:tcPr>
            <w:tcW w:w="1716" w:type="dxa"/>
            <w:shd w:val="clear" w:color="auto" w:fill="auto"/>
            <w:noWrap/>
            <w:vAlign w:val="center"/>
            <w:hideMark/>
          </w:tcPr>
          <w:p w14:paraId="1040FAD4"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Steam injection</w:t>
            </w:r>
          </w:p>
        </w:tc>
        <w:tc>
          <w:tcPr>
            <w:tcW w:w="1843" w:type="dxa"/>
            <w:shd w:val="clear" w:color="auto" w:fill="auto"/>
            <w:noWrap/>
            <w:vAlign w:val="center"/>
            <w:hideMark/>
          </w:tcPr>
          <w:p w14:paraId="27E346D2" w14:textId="77777777" w:rsidR="00C7764C" w:rsidRPr="00C81B1E" w:rsidRDefault="00C7764C" w:rsidP="00C81B1E">
            <w:pPr>
              <w:pStyle w:val="MDPI42tablebody"/>
              <w:rPr>
                <w:rFonts w:eastAsia="Calibri"/>
                <w:lang w:val="en-GB" w:eastAsia="en-US"/>
              </w:rPr>
            </w:pPr>
            <w:r w:rsidRPr="00C81B1E">
              <w:rPr>
                <w:rFonts w:eastAsia="Calibri"/>
                <w:lang w:val="en-GB" w:eastAsia="en-US"/>
              </w:rPr>
              <w:t>Yes (quantity, temperature, pressure) / No</w:t>
            </w:r>
          </w:p>
        </w:tc>
        <w:tc>
          <w:tcPr>
            <w:tcW w:w="992" w:type="dxa"/>
            <w:shd w:val="clear" w:color="auto" w:fill="auto"/>
            <w:noWrap/>
            <w:vAlign w:val="center"/>
            <w:hideMark/>
          </w:tcPr>
          <w:p w14:paraId="5520BBC8" w14:textId="77777777" w:rsidR="00C7764C" w:rsidRPr="00C81B1E" w:rsidRDefault="00C7764C" w:rsidP="00C81B1E">
            <w:pPr>
              <w:pStyle w:val="MDPI42tablebody"/>
              <w:rPr>
                <w:rFonts w:eastAsia="Calibri"/>
                <w:lang w:val="en-GB" w:eastAsia="en-US"/>
              </w:rPr>
            </w:pPr>
            <w:r w:rsidRPr="00C81B1E">
              <w:rPr>
                <w:rFonts w:eastAsia="Calibri"/>
                <w:lang w:val="en-GB" w:eastAsia="en-US"/>
              </w:rPr>
              <w:t>TT</w:t>
            </w:r>
          </w:p>
        </w:tc>
        <w:tc>
          <w:tcPr>
            <w:tcW w:w="4536" w:type="dxa"/>
            <w:shd w:val="clear" w:color="auto" w:fill="auto"/>
            <w:noWrap/>
            <w:vAlign w:val="center"/>
            <w:hideMark/>
          </w:tcPr>
          <w:p w14:paraId="63D0CB29" w14:textId="77777777" w:rsidR="00C7764C" w:rsidRPr="00C81B1E" w:rsidRDefault="00C7764C" w:rsidP="00C81B1E">
            <w:pPr>
              <w:pStyle w:val="MDPI42tablebody"/>
              <w:rPr>
                <w:rFonts w:eastAsia="Calibri"/>
                <w:lang w:val="en-GB" w:eastAsia="en-US"/>
              </w:rPr>
            </w:pPr>
            <w:r w:rsidRPr="00C81B1E">
              <w:rPr>
                <w:rFonts w:eastAsia="Calibri"/>
                <w:lang w:val="en-GB" w:eastAsia="en-US"/>
              </w:rPr>
              <w:fldChar w:fldCharType="begin" w:fldLock="1"/>
            </w:r>
            <w:r w:rsidRPr="00C81B1E">
              <w:rPr>
                <w:rFonts w:eastAsia="Calibri"/>
                <w:lang w:val="en-GB" w:eastAsia="en-US"/>
              </w:rPr>
              <w:instrText>ADDIN CSL_CITATION {"citationItems":[{"id":"ITEM-1","itemData":{"DOI":"10.1016/j.biombioe.2011.06.005","ISBN":"0961-9534","ISSN":"09619534","abstract":"Steady state simulation model for gasification has been developed using Aspen Plus. The model can be used as a predictive tool for optimization of the gasifier performance.The Gasifier has been modeled in three stages. In first stage moisture content of biomass feed is reduced. In second stage biomass is decomposed into its elements by specifying yield distribution. In third stage gasification reactions have been modeled using Gibbs free energy minimization approach. The simulation results are compared with the experimental results obtained through hybrid biomass gasifier. In the simulation study, the operating parameters like Temperature, Equivalence Ratio (ER), Biomass Moisture Content and Steam Injection have been varied over wide range and the effect of these parameters on syngas composition, High Heating Value (HHV) and Cold Gas Efficiency (CGE) has been investigated. Temperature increases the production of CO and H2. Increasing ER decreases the production of CO and H2 which decreases the CGE. Biomass moisture content is an important parameter affecting the heating value of the gas. Steam injection favors hydrogen production. The performance of the simulated gasifier has been compared using experimental data for Municipal Solid Waste (MSW), Food Waste (FW) and Poultry Waste (PW). ?? 2011 Elsevier Ltd.","author":[{"dropping-particle":"","family":"Ramzan","given":"Naveed","non-dropping-particle":"","parse-names":false,"suffix":""},{"dropping-particle":"","family":"Ashraf","given":"Asma","non-dropping-particle":"","parse-names":false,"suffix":""},{"dropping-particle":"","family":"Naveed","given":"Shahid","non-dropping-particle":"","parse-names":false,"suffix":""},{"dropping-particle":"","family":"Malik","given":"Abdullah","non-dropping-particle":"","parse-names":false,"suffix":""}],"container-title":"Biomass and Bioenergy","id":"ITEM-1","issue":"9","issued":{"date-parts":[["2011"]]},"page":"3962-3969","publisher":"Elsevier Ltd","title":"Simulation of hybrid biomass gasification using Aspen plus: A comparative performance analysis for food, municipal solid and poultry waste","type":"article-journal","volume":"35"},"uris":["http://www.mendeley.com/documents/?uuid=33da61f1-d152-45e6-a60d-0161320f45f4"]}],"mendeley":{"formattedCitation":"(Ramzan et al., 2011)","manualFormatting":"Ramzan et al. (2011)","plainTextFormattedCitation":"(Ramzan et al., 2011)","previouslyFormattedCitation":"(Ramzan et al., 2011)"},"properties":{"noteIndex":0},"schema":"https://github.com/citation-style-language/schema/raw/master/csl-citation.json"}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Ramzan et al. (2011)</w:t>
            </w:r>
            <w:r w:rsidRPr="00C81B1E">
              <w:rPr>
                <w:rFonts w:eastAsia="Calibri"/>
                <w:lang w:val="en-GB" w:eastAsia="en-US"/>
              </w:rPr>
              <w:fldChar w:fldCharType="end"/>
            </w:r>
          </w:p>
        </w:tc>
      </w:tr>
    </w:tbl>
    <w:p w14:paraId="798DA53C" w14:textId="77777777" w:rsidR="00C7764C" w:rsidRPr="00C7764C" w:rsidRDefault="00C7764C" w:rsidP="00C7764C">
      <w:pPr>
        <w:spacing w:after="160" w:line="259" w:lineRule="auto"/>
        <w:rPr>
          <w:rFonts w:eastAsia="Calibri"/>
          <w:color w:val="auto"/>
          <w:sz w:val="16"/>
          <w:szCs w:val="16"/>
          <w:lang w:val="en-GB" w:eastAsia="en-US"/>
        </w:rPr>
      </w:pPr>
    </w:p>
    <w:p w14:paraId="4A08E6FB" w14:textId="77777777" w:rsidR="00C7764C" w:rsidRPr="00C7764C" w:rsidRDefault="00C7764C" w:rsidP="00BA2E09">
      <w:pPr>
        <w:pStyle w:val="MDPI41tablecaption"/>
        <w:rPr>
          <w:rFonts w:eastAsia="Calibri"/>
          <w:lang w:val="en-GB" w:eastAsia="en-US"/>
        </w:rPr>
      </w:pPr>
      <w:r w:rsidRPr="00C7764C">
        <w:rPr>
          <w:rFonts w:eastAsia="Calibri"/>
          <w:lang w:val="en-GB" w:eastAsia="en-US"/>
        </w:rPr>
        <w:t xml:space="preserve">Table </w:t>
      </w:r>
      <w:r w:rsidRPr="00C7764C">
        <w:rPr>
          <w:rFonts w:eastAsia="Calibri"/>
          <w:lang w:val="en-GB" w:eastAsia="en-US"/>
        </w:rPr>
        <w:fldChar w:fldCharType="begin"/>
      </w:r>
      <w:r w:rsidRPr="00C7764C">
        <w:rPr>
          <w:rFonts w:eastAsia="Calibri"/>
          <w:lang w:val="en-GB" w:eastAsia="en-US"/>
        </w:rPr>
        <w:instrText xml:space="preserve"> SEQ Table \* ARABIC </w:instrText>
      </w:r>
      <w:r w:rsidRPr="00C7764C">
        <w:rPr>
          <w:rFonts w:eastAsia="Calibri"/>
          <w:lang w:val="en-GB" w:eastAsia="en-US"/>
        </w:rPr>
        <w:fldChar w:fldCharType="separate"/>
      </w:r>
      <w:r w:rsidRPr="00C7764C">
        <w:rPr>
          <w:rFonts w:eastAsia="Calibri"/>
          <w:noProof/>
          <w:lang w:val="en-GB" w:eastAsia="en-US"/>
        </w:rPr>
        <w:t>5</w:t>
      </w:r>
      <w:r w:rsidRPr="00C7764C">
        <w:rPr>
          <w:rFonts w:eastAsia="Calibri"/>
          <w:lang w:val="en-GB" w:eastAsia="en-US"/>
        </w:rPr>
        <w:fldChar w:fldCharType="end"/>
      </w:r>
      <w:r w:rsidRPr="00C7764C">
        <w:rPr>
          <w:rFonts w:eastAsia="Calibri"/>
          <w:lang w:val="en-GB" w:eastAsia="en-US"/>
        </w:rPr>
        <w:t>. FWM performance factors</w:t>
      </w:r>
    </w:p>
    <w:tbl>
      <w:tblPr>
        <w:tblW w:w="8950" w:type="dxa"/>
        <w:tblBorders>
          <w:top w:val="single" w:sz="4" w:space="0" w:color="7F7F7F"/>
          <w:bottom w:val="single" w:sz="4" w:space="0" w:color="7F7F7F"/>
        </w:tblBorders>
        <w:tblLook w:val="04A0" w:firstRow="1" w:lastRow="0" w:firstColumn="1" w:lastColumn="0" w:noHBand="0" w:noVBand="1"/>
      </w:tblPr>
      <w:tblGrid>
        <w:gridCol w:w="3402"/>
        <w:gridCol w:w="1842"/>
        <w:gridCol w:w="1135"/>
        <w:gridCol w:w="2571"/>
      </w:tblGrid>
      <w:tr w:rsidR="00C81B1E" w:rsidRPr="00C81B1E" w14:paraId="26674104" w14:textId="77777777" w:rsidTr="00C81B1E">
        <w:trPr>
          <w:trHeight w:val="255"/>
        </w:trPr>
        <w:tc>
          <w:tcPr>
            <w:tcW w:w="3402" w:type="dxa"/>
            <w:tcBorders>
              <w:bottom w:val="single" w:sz="4" w:space="0" w:color="7F7F7F"/>
            </w:tcBorders>
            <w:shd w:val="clear" w:color="auto" w:fill="auto"/>
            <w:noWrap/>
            <w:vAlign w:val="center"/>
            <w:hideMark/>
          </w:tcPr>
          <w:p w14:paraId="52921282"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Factor</w:t>
            </w:r>
          </w:p>
        </w:tc>
        <w:tc>
          <w:tcPr>
            <w:tcW w:w="1842" w:type="dxa"/>
            <w:tcBorders>
              <w:bottom w:val="single" w:sz="4" w:space="0" w:color="7F7F7F"/>
            </w:tcBorders>
            <w:shd w:val="clear" w:color="auto" w:fill="auto"/>
            <w:noWrap/>
            <w:vAlign w:val="center"/>
            <w:hideMark/>
          </w:tcPr>
          <w:p w14:paraId="48DCF193"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Example or unit</w:t>
            </w:r>
          </w:p>
        </w:tc>
        <w:tc>
          <w:tcPr>
            <w:tcW w:w="1135" w:type="dxa"/>
            <w:tcBorders>
              <w:bottom w:val="single" w:sz="4" w:space="0" w:color="7F7F7F"/>
            </w:tcBorders>
            <w:shd w:val="clear" w:color="auto" w:fill="auto"/>
            <w:noWrap/>
            <w:vAlign w:val="center"/>
            <w:hideMark/>
          </w:tcPr>
          <w:p w14:paraId="5F2C60E7"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FWMS</w:t>
            </w:r>
          </w:p>
        </w:tc>
        <w:tc>
          <w:tcPr>
            <w:tcW w:w="2571" w:type="dxa"/>
            <w:tcBorders>
              <w:bottom w:val="single" w:sz="4" w:space="0" w:color="7F7F7F"/>
            </w:tcBorders>
            <w:shd w:val="clear" w:color="auto" w:fill="auto"/>
            <w:noWrap/>
            <w:vAlign w:val="center"/>
            <w:hideMark/>
          </w:tcPr>
          <w:p w14:paraId="448E6937"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Reference</w:t>
            </w:r>
          </w:p>
        </w:tc>
      </w:tr>
      <w:tr w:rsidR="00C81B1E" w:rsidRPr="00C81B1E" w14:paraId="3AB41E41" w14:textId="77777777" w:rsidTr="00C81B1E">
        <w:trPr>
          <w:trHeight w:val="255"/>
        </w:trPr>
        <w:tc>
          <w:tcPr>
            <w:tcW w:w="3402" w:type="dxa"/>
            <w:tcBorders>
              <w:top w:val="single" w:sz="4" w:space="0" w:color="7F7F7F"/>
              <w:bottom w:val="single" w:sz="4" w:space="0" w:color="7F7F7F"/>
            </w:tcBorders>
            <w:shd w:val="clear" w:color="auto" w:fill="auto"/>
            <w:noWrap/>
            <w:vAlign w:val="center"/>
            <w:hideMark/>
          </w:tcPr>
          <w:p w14:paraId="62360EB8"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Quantity of food redistributed</w:t>
            </w:r>
          </w:p>
        </w:tc>
        <w:tc>
          <w:tcPr>
            <w:tcW w:w="1842" w:type="dxa"/>
            <w:tcBorders>
              <w:top w:val="single" w:sz="4" w:space="0" w:color="7F7F7F"/>
              <w:bottom w:val="single" w:sz="4" w:space="0" w:color="7F7F7F"/>
            </w:tcBorders>
            <w:shd w:val="clear" w:color="auto" w:fill="auto"/>
            <w:noWrap/>
            <w:vAlign w:val="center"/>
            <w:hideMark/>
          </w:tcPr>
          <w:p w14:paraId="4EDF81A2" w14:textId="77777777" w:rsidR="00C7764C" w:rsidRPr="00C81B1E" w:rsidRDefault="00C7764C" w:rsidP="00C81B1E">
            <w:pPr>
              <w:pStyle w:val="MDPI42tablebody"/>
              <w:rPr>
                <w:rFonts w:eastAsia="Calibri"/>
                <w:lang w:val="en-GB" w:eastAsia="en-US"/>
              </w:rPr>
            </w:pPr>
            <w:r w:rsidRPr="00C81B1E">
              <w:rPr>
                <w:rFonts w:eastAsia="Calibri"/>
                <w:lang w:val="en-GB" w:eastAsia="en-US"/>
              </w:rPr>
              <w:t>kg/day</w:t>
            </w:r>
          </w:p>
        </w:tc>
        <w:tc>
          <w:tcPr>
            <w:tcW w:w="1135" w:type="dxa"/>
            <w:tcBorders>
              <w:top w:val="single" w:sz="4" w:space="0" w:color="7F7F7F"/>
              <w:bottom w:val="single" w:sz="4" w:space="0" w:color="7F7F7F"/>
            </w:tcBorders>
            <w:shd w:val="clear" w:color="auto" w:fill="auto"/>
            <w:noWrap/>
            <w:vAlign w:val="center"/>
            <w:hideMark/>
          </w:tcPr>
          <w:p w14:paraId="6F7D070E" w14:textId="77777777" w:rsidR="00C7764C" w:rsidRPr="00C81B1E" w:rsidRDefault="00C7764C" w:rsidP="00C81B1E">
            <w:pPr>
              <w:pStyle w:val="MDPI42tablebody"/>
              <w:rPr>
                <w:rFonts w:eastAsia="Calibri"/>
                <w:lang w:val="en-GB" w:eastAsia="en-US"/>
              </w:rPr>
            </w:pPr>
            <w:r w:rsidRPr="00C81B1E">
              <w:rPr>
                <w:rFonts w:eastAsia="Calibri"/>
                <w:lang w:val="en-GB" w:eastAsia="en-US"/>
              </w:rPr>
              <w:t>R</w:t>
            </w:r>
          </w:p>
        </w:tc>
        <w:tc>
          <w:tcPr>
            <w:tcW w:w="2571" w:type="dxa"/>
            <w:tcBorders>
              <w:top w:val="single" w:sz="4" w:space="0" w:color="7F7F7F"/>
              <w:bottom w:val="single" w:sz="4" w:space="0" w:color="7F7F7F"/>
            </w:tcBorders>
            <w:shd w:val="clear" w:color="auto" w:fill="auto"/>
            <w:noWrap/>
            <w:vAlign w:val="center"/>
            <w:hideMark/>
          </w:tcPr>
          <w:p w14:paraId="2A8490CF" w14:textId="77777777" w:rsidR="00C7764C" w:rsidRPr="00C81B1E" w:rsidRDefault="00C7764C" w:rsidP="00C81B1E">
            <w:pPr>
              <w:pStyle w:val="MDPI42tablebody"/>
              <w:rPr>
                <w:rFonts w:eastAsia="Calibri"/>
                <w:lang w:val="en-GB" w:eastAsia="en-US"/>
              </w:rPr>
            </w:pPr>
            <w:r w:rsidRPr="00C81B1E">
              <w:rPr>
                <w:rFonts w:eastAsia="Calibri"/>
                <w:lang w:val="en-GB" w:eastAsia="en-US"/>
              </w:rPr>
              <w:fldChar w:fldCharType="begin" w:fldLock="1"/>
            </w:r>
            <w:r w:rsidRPr="00C81B1E">
              <w:rPr>
                <w:rFonts w:eastAsia="Calibri"/>
                <w:lang w:val="en-GB" w:eastAsia="en-US"/>
              </w:rPr>
              <w:instrText>ADDIN CSL_CITATION {"citationItems":[{"id":"ITEM-1","itemData":{"DOI":"10.1016/j.wasman.2016.03.035","ISSN":"0956053X","PMID":"27026493","author":[{"dropping-particle":"","family":"Bilska","given":"Beata","non-dropping-particle":"","parse-names":false,"suffix":""},{"dropping-particle":"","family":"Wrzosek","given":"Małgorzata","non-dropping-particle":"","parse-names":false,"suffix":""},{"dropping-particle":"","family":"Kołożyn-Krajewska","given":"Danuta","non-dropping-particle":"","parse-names":false,"suffix":""},{"dropping-particle":"","family":"Krajewski","given":"Karol","non-dropping-particle":"","parse-names":false,"suffix":""}],"container-title":"Waste Management","id":"ITEM-1","issued":{"date-parts":[["2016"]]},"page":"269-277","title":"Risk of food losses and potential of food recovery for social purposes","type":"article-journal","volume":"52"},"uris":["http://www.mendeley.com/documents/?uuid=64d39440-d986-4dc3-8b6e-c0536a5a5d46"]}],"mendeley":{"formattedCitation":"(Bilska et al., 2016)","manualFormatting":"Bilska et al. (2016)","plainTextFormattedCitation":"(Bilska et al., 2016)","previouslyFormattedCitation":"(Bilska et al., 2016)"},"properties":{"noteIndex":0},"schema":"https://github.com/citation-style-language/schema/raw/master/csl-citation.json"}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Bilska et al. (2016)</w:t>
            </w:r>
            <w:r w:rsidRPr="00C81B1E">
              <w:rPr>
                <w:rFonts w:eastAsia="Calibri"/>
                <w:lang w:val="en-GB" w:eastAsia="en-US"/>
              </w:rPr>
              <w:fldChar w:fldCharType="end"/>
            </w:r>
          </w:p>
        </w:tc>
      </w:tr>
      <w:tr w:rsidR="00C81B1E" w:rsidRPr="00C81B1E" w14:paraId="32084E39" w14:textId="77777777" w:rsidTr="00C81B1E">
        <w:trPr>
          <w:trHeight w:val="255"/>
        </w:trPr>
        <w:tc>
          <w:tcPr>
            <w:tcW w:w="3402" w:type="dxa"/>
            <w:shd w:val="clear" w:color="auto" w:fill="auto"/>
            <w:noWrap/>
            <w:vAlign w:val="center"/>
            <w:hideMark/>
          </w:tcPr>
          <w:p w14:paraId="2AF98146"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Quantity animal feed produced</w:t>
            </w:r>
          </w:p>
        </w:tc>
        <w:tc>
          <w:tcPr>
            <w:tcW w:w="1842" w:type="dxa"/>
            <w:shd w:val="clear" w:color="auto" w:fill="auto"/>
            <w:noWrap/>
            <w:vAlign w:val="center"/>
            <w:hideMark/>
          </w:tcPr>
          <w:p w14:paraId="40E13638" w14:textId="77777777" w:rsidR="00C7764C" w:rsidRPr="00C81B1E" w:rsidRDefault="00C7764C" w:rsidP="00C81B1E">
            <w:pPr>
              <w:pStyle w:val="MDPI42tablebody"/>
              <w:rPr>
                <w:rFonts w:eastAsia="Calibri"/>
                <w:lang w:val="en-GB" w:eastAsia="en-US"/>
              </w:rPr>
            </w:pPr>
            <w:r w:rsidRPr="00C81B1E">
              <w:rPr>
                <w:rFonts w:eastAsia="Calibri"/>
                <w:lang w:val="en-GB" w:eastAsia="en-US"/>
              </w:rPr>
              <w:t>kg/day</w:t>
            </w:r>
          </w:p>
        </w:tc>
        <w:tc>
          <w:tcPr>
            <w:tcW w:w="1135" w:type="dxa"/>
            <w:shd w:val="clear" w:color="auto" w:fill="auto"/>
            <w:noWrap/>
            <w:vAlign w:val="center"/>
            <w:hideMark/>
          </w:tcPr>
          <w:p w14:paraId="1AE9C961" w14:textId="77777777" w:rsidR="00C7764C" w:rsidRPr="00C81B1E" w:rsidRDefault="00C7764C" w:rsidP="00C81B1E">
            <w:pPr>
              <w:pStyle w:val="MDPI42tablebody"/>
              <w:rPr>
                <w:rFonts w:eastAsia="Calibri"/>
                <w:lang w:val="en-GB" w:eastAsia="en-US"/>
              </w:rPr>
            </w:pPr>
            <w:r w:rsidRPr="00C81B1E">
              <w:rPr>
                <w:rFonts w:eastAsia="Calibri"/>
                <w:lang w:val="en-GB" w:eastAsia="en-US"/>
              </w:rPr>
              <w:t>AF</w:t>
            </w:r>
          </w:p>
        </w:tc>
        <w:tc>
          <w:tcPr>
            <w:tcW w:w="2571" w:type="dxa"/>
            <w:shd w:val="clear" w:color="auto" w:fill="auto"/>
            <w:noWrap/>
            <w:vAlign w:val="center"/>
            <w:hideMark/>
          </w:tcPr>
          <w:p w14:paraId="15DF4936" w14:textId="77777777" w:rsidR="00C7764C" w:rsidRPr="00C81B1E" w:rsidRDefault="00C7764C" w:rsidP="00C81B1E">
            <w:pPr>
              <w:pStyle w:val="MDPI42tablebody"/>
              <w:rPr>
                <w:rFonts w:eastAsia="Calibri"/>
                <w:lang w:val="en-GB" w:eastAsia="en-US"/>
              </w:rPr>
            </w:pPr>
            <w:r w:rsidRPr="00C81B1E">
              <w:rPr>
                <w:rFonts w:eastAsia="Calibri"/>
                <w:lang w:val="en-GB" w:eastAsia="en-US"/>
              </w:rPr>
              <w:fldChar w:fldCharType="begin" w:fldLock="1"/>
            </w:r>
            <w:r w:rsidRPr="00C81B1E">
              <w:rPr>
                <w:rFonts w:eastAsia="Calibri"/>
                <w:lang w:val="en-GB" w:eastAsia="en-US"/>
              </w:rPr>
              <w:instrText>ADDIN CSL_CITATION {"citationItems":[{"id":"ITEM-1","itemData":{"author":[{"dropping-particle":"","family":"Westendorf","given":"Michael L.","non-dropping-particle":"","parse-names":false,"suffix":""}],"edition":"First edit","editor":[{"dropping-particle":"","family":"Westendorf","given":"Michael L.","non-dropping-particle":"","parse-names":false,"suffix":""}],"id":"ITEM-1","issued":{"date-parts":[["2000"]]},"publisher":"Iowa State University Press","publisher-place":"Ames, Iowa","title":"Food waste to animal feed","type":"book"},"uris":["http://www.mendeley.com/documents/?uuid=abd2accf-f90a-4597-8a32-949d1dcff573"]}],"mendeley":{"formattedCitation":"(Westendorf, 2000)","manualFormatting":"Westendorf (2000)","plainTextFormattedCitation":"(Westendorf, 2000)","previouslyFormattedCitation":"(Westendorf, 2000)"},"properties":{"noteIndex":0},"schema":"https://github.com/citation-style-language/schema/raw/master/csl-citation.json"}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Westendorf (2000)</w:t>
            </w:r>
            <w:r w:rsidRPr="00C81B1E">
              <w:rPr>
                <w:rFonts w:eastAsia="Calibri"/>
                <w:lang w:val="en-GB" w:eastAsia="en-US"/>
              </w:rPr>
              <w:fldChar w:fldCharType="end"/>
            </w:r>
          </w:p>
        </w:tc>
      </w:tr>
      <w:tr w:rsidR="00C81B1E" w:rsidRPr="00C81B1E" w14:paraId="40333290" w14:textId="77777777" w:rsidTr="00C81B1E">
        <w:trPr>
          <w:trHeight w:val="255"/>
        </w:trPr>
        <w:tc>
          <w:tcPr>
            <w:tcW w:w="3402" w:type="dxa"/>
            <w:tcBorders>
              <w:top w:val="single" w:sz="4" w:space="0" w:color="7F7F7F"/>
              <w:bottom w:val="single" w:sz="4" w:space="0" w:color="7F7F7F"/>
            </w:tcBorders>
            <w:shd w:val="clear" w:color="auto" w:fill="auto"/>
            <w:noWrap/>
            <w:vAlign w:val="center"/>
            <w:hideMark/>
          </w:tcPr>
          <w:p w14:paraId="03AD9DA1"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Biogas production rate</w:t>
            </w:r>
          </w:p>
        </w:tc>
        <w:tc>
          <w:tcPr>
            <w:tcW w:w="1842" w:type="dxa"/>
            <w:tcBorders>
              <w:top w:val="single" w:sz="4" w:space="0" w:color="7F7F7F"/>
              <w:bottom w:val="single" w:sz="4" w:space="0" w:color="7F7F7F"/>
            </w:tcBorders>
            <w:shd w:val="clear" w:color="auto" w:fill="auto"/>
            <w:noWrap/>
            <w:vAlign w:val="center"/>
            <w:hideMark/>
          </w:tcPr>
          <w:p w14:paraId="3684D074" w14:textId="77777777" w:rsidR="00C7764C" w:rsidRPr="00C81B1E" w:rsidRDefault="00C7764C" w:rsidP="00C81B1E">
            <w:pPr>
              <w:pStyle w:val="MDPI42tablebody"/>
              <w:rPr>
                <w:rFonts w:eastAsia="Calibri"/>
                <w:lang w:val="en-GB" w:eastAsia="en-US"/>
              </w:rPr>
            </w:pPr>
            <w:r w:rsidRPr="00C81B1E">
              <w:rPr>
                <w:rFonts w:eastAsia="Calibri"/>
                <w:lang w:val="en-GB" w:eastAsia="en-US"/>
              </w:rPr>
              <w:t>l/day</w:t>
            </w:r>
          </w:p>
        </w:tc>
        <w:tc>
          <w:tcPr>
            <w:tcW w:w="1135" w:type="dxa"/>
            <w:tcBorders>
              <w:top w:val="single" w:sz="4" w:space="0" w:color="7F7F7F"/>
              <w:bottom w:val="single" w:sz="4" w:space="0" w:color="7F7F7F"/>
            </w:tcBorders>
            <w:shd w:val="clear" w:color="auto" w:fill="auto"/>
            <w:noWrap/>
            <w:vAlign w:val="center"/>
            <w:hideMark/>
          </w:tcPr>
          <w:p w14:paraId="203DB701" w14:textId="77777777" w:rsidR="00C7764C" w:rsidRPr="00C81B1E" w:rsidRDefault="00C7764C" w:rsidP="00C81B1E">
            <w:pPr>
              <w:pStyle w:val="MDPI42tablebody"/>
              <w:rPr>
                <w:rFonts w:eastAsia="Calibri"/>
                <w:lang w:val="en-GB" w:eastAsia="en-US"/>
              </w:rPr>
            </w:pPr>
            <w:r w:rsidRPr="00C81B1E">
              <w:rPr>
                <w:rFonts w:eastAsia="Calibri"/>
                <w:lang w:val="en-GB" w:eastAsia="en-US"/>
              </w:rPr>
              <w:t>AD</w:t>
            </w:r>
          </w:p>
        </w:tc>
        <w:tc>
          <w:tcPr>
            <w:tcW w:w="2571" w:type="dxa"/>
            <w:vMerge w:val="restart"/>
            <w:tcBorders>
              <w:top w:val="single" w:sz="4" w:space="0" w:color="7F7F7F"/>
              <w:bottom w:val="single" w:sz="4" w:space="0" w:color="7F7F7F"/>
            </w:tcBorders>
            <w:shd w:val="clear" w:color="auto" w:fill="auto"/>
            <w:noWrap/>
            <w:vAlign w:val="center"/>
            <w:hideMark/>
          </w:tcPr>
          <w:p w14:paraId="7AA25210" w14:textId="77777777" w:rsidR="00C7764C" w:rsidRPr="00C81B1E" w:rsidRDefault="00C7764C" w:rsidP="00C81B1E">
            <w:pPr>
              <w:pStyle w:val="MDPI42tablebody"/>
              <w:rPr>
                <w:rFonts w:eastAsia="Calibri"/>
                <w:lang w:val="en-GB" w:eastAsia="en-US"/>
              </w:rPr>
            </w:pPr>
            <w:r w:rsidRPr="00C81B1E">
              <w:rPr>
                <w:rFonts w:eastAsia="Calibri"/>
                <w:lang w:val="en-GB" w:eastAsia="en-US"/>
              </w:rPr>
              <w:fldChar w:fldCharType="begin" w:fldLock="1"/>
            </w:r>
            <w:r w:rsidRPr="00C81B1E">
              <w:rPr>
                <w:rFonts w:eastAsia="Calibri"/>
                <w:lang w:val="en-GB" w:eastAsia="en-US"/>
              </w:rPr>
              <w:instrText>ADDIN CSL_CITATION {"citationItems":[{"id":"ITEM-1","itemData":{"DOI":"10.3965/j.issn.1934-6344.2010.04.061-072","ISBN":"1530752264","ISSN":"19346344","abstract":"Five types of food wastes were investigated as feedstock for a potential centralized anaerobic digester system in the area of Sacramento, California to produce biogas energy. The wastes were from a soup processing plant, a cafeteria, a commercial kitchen, a fish farm, and grease trap collection service. Digestibilities of the food wastes, individually and in mixtures, were conducted at mesophilic (35C) and thermophilic (50C) temperatures and at two food to microorganism ratios (F/M) of 0.5 and 1.0, for 28 days. A continuously fed mesophilic single-stage anaerobic digester was evaluated using a mixture of the five food wastes at organic loading rates of 0.5 to 1.0 g VS/L/d. In the batch digestion tests, fish and grease trap wastes required longer time to complete the digestion and had higher biogas yields than the other wastes. The continuously-fed digester required the addition of sodium hydroxide to maintain pH at proper levels in the digester. Alkalinity of about 2,500 mg CaCO3/L and pH above 7 was maintained by adding 0.2 g NaOH/g VS. The results of this study indicated that it was necessary to use the chemicals, such as NaOH, to control the pH of the single-stage anaerobic digester treating the food waste. For commercial applications, the cost of chemicals and proper management of additional salts in the digester effluent need to be carefully considered. ABSTRACT FROM AUTHOR","author":[{"dropping-particle":"","family":"Chen","given":"Xiguang","non-dropping-particle":"","parse-names":false,"suffix":""},{"dropping-particle":"","family":"Romano","given":"Rowena T.","non-dropping-particle":"","parse-names":false,"suffix":""},{"dropping-particle":"","family":"Zhang","given":"Ruihong","non-dropping-particle":"","parse-names":false,"suffix":""}],"container-title":"International Journal of Agricultural &amp; Biological Engineering","id":"ITEM-1","issue":"4","issued":{"date-parts":[["2010"]]},"page":"61-72","title":"Anaerobic digestion of food wastes for biogas production","type":"article-journal","volume":"3"},"uris":["http://www.mendeley.com/documents/?uuid=2bdf5abc-1896-4dee-a157-4b77b16f898d"]}],"mendeley":{"formattedCitation":"(Chen et al., 2010)","manualFormatting":"Chen et al. (2010)","plainTextFormattedCitation":"(Chen et al., 2010)","previouslyFormattedCitation":"(Chen et al., 2010)"},"properties":{"noteIndex":0},"schema":"https://github.com/citation-style-language/schema/raw/master/csl-citation.json"}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Chen et al. (2010)</w:t>
            </w:r>
            <w:r w:rsidRPr="00C81B1E">
              <w:rPr>
                <w:rFonts w:eastAsia="Calibri"/>
                <w:lang w:val="en-GB" w:eastAsia="en-US"/>
              </w:rPr>
              <w:fldChar w:fldCharType="end"/>
            </w:r>
          </w:p>
        </w:tc>
      </w:tr>
      <w:tr w:rsidR="00C81B1E" w:rsidRPr="00C81B1E" w14:paraId="2EF012E6" w14:textId="77777777" w:rsidTr="00C81B1E">
        <w:trPr>
          <w:trHeight w:val="255"/>
        </w:trPr>
        <w:tc>
          <w:tcPr>
            <w:tcW w:w="3402" w:type="dxa"/>
            <w:shd w:val="clear" w:color="auto" w:fill="auto"/>
            <w:noWrap/>
            <w:vAlign w:val="center"/>
            <w:hideMark/>
          </w:tcPr>
          <w:p w14:paraId="072796CE"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[CH</w:t>
            </w:r>
            <w:r w:rsidRPr="000C1128">
              <w:rPr>
                <w:rFonts w:eastAsia="Calibri"/>
                <w:b/>
                <w:bCs/>
                <w:vertAlign w:val="subscript"/>
                <w:lang w:val="en-GB" w:eastAsia="en-US"/>
              </w:rPr>
              <w:t>4</w:t>
            </w:r>
            <w:r w:rsidRPr="00C81B1E">
              <w:rPr>
                <w:rFonts w:eastAsia="Calibri"/>
                <w:b/>
                <w:bCs/>
                <w:lang w:val="en-GB" w:eastAsia="en-US"/>
              </w:rPr>
              <w:t>] in biogas</w:t>
            </w:r>
          </w:p>
        </w:tc>
        <w:tc>
          <w:tcPr>
            <w:tcW w:w="1842" w:type="dxa"/>
            <w:shd w:val="clear" w:color="auto" w:fill="auto"/>
            <w:noWrap/>
            <w:vAlign w:val="center"/>
            <w:hideMark/>
          </w:tcPr>
          <w:p w14:paraId="14D1242C" w14:textId="77777777" w:rsidR="00C7764C" w:rsidRPr="00C81B1E" w:rsidRDefault="00C7764C" w:rsidP="00C81B1E">
            <w:pPr>
              <w:pStyle w:val="MDPI42tablebody"/>
              <w:rPr>
                <w:rFonts w:eastAsia="Calibri"/>
                <w:lang w:val="en-GB" w:eastAsia="en-US"/>
              </w:rPr>
            </w:pPr>
            <w:r w:rsidRPr="00C81B1E">
              <w:rPr>
                <w:rFonts w:eastAsia="Calibri"/>
                <w:lang w:val="en-GB" w:eastAsia="en-US"/>
              </w:rPr>
              <w:t>% volume</w:t>
            </w:r>
          </w:p>
        </w:tc>
        <w:tc>
          <w:tcPr>
            <w:tcW w:w="1135" w:type="dxa"/>
            <w:shd w:val="clear" w:color="auto" w:fill="auto"/>
            <w:noWrap/>
            <w:vAlign w:val="center"/>
            <w:hideMark/>
          </w:tcPr>
          <w:p w14:paraId="36655C77" w14:textId="77777777" w:rsidR="00C7764C" w:rsidRPr="00C81B1E" w:rsidRDefault="00C7764C" w:rsidP="00C81B1E">
            <w:pPr>
              <w:pStyle w:val="MDPI42tablebody"/>
              <w:rPr>
                <w:rFonts w:eastAsia="Calibri"/>
                <w:lang w:val="en-GB" w:eastAsia="en-US"/>
              </w:rPr>
            </w:pPr>
            <w:r w:rsidRPr="00C81B1E">
              <w:rPr>
                <w:rFonts w:eastAsia="Calibri"/>
                <w:lang w:val="en-GB" w:eastAsia="en-US"/>
              </w:rPr>
              <w:t>AD</w:t>
            </w:r>
          </w:p>
        </w:tc>
        <w:tc>
          <w:tcPr>
            <w:tcW w:w="2571" w:type="dxa"/>
            <w:vMerge/>
            <w:shd w:val="clear" w:color="auto" w:fill="auto"/>
            <w:noWrap/>
            <w:vAlign w:val="center"/>
          </w:tcPr>
          <w:p w14:paraId="699908B6" w14:textId="77777777" w:rsidR="00C7764C" w:rsidRPr="00C81B1E" w:rsidRDefault="00C7764C" w:rsidP="00C81B1E">
            <w:pPr>
              <w:pStyle w:val="MDPI42tablebody"/>
              <w:rPr>
                <w:rFonts w:eastAsia="Calibri"/>
                <w:lang w:val="en-GB" w:eastAsia="en-US"/>
              </w:rPr>
            </w:pPr>
          </w:p>
        </w:tc>
      </w:tr>
      <w:tr w:rsidR="00C81B1E" w:rsidRPr="00C81B1E" w14:paraId="7F437E29" w14:textId="77777777" w:rsidTr="00C81B1E">
        <w:trPr>
          <w:trHeight w:val="255"/>
        </w:trPr>
        <w:tc>
          <w:tcPr>
            <w:tcW w:w="3402" w:type="dxa"/>
            <w:tcBorders>
              <w:top w:val="single" w:sz="4" w:space="0" w:color="7F7F7F"/>
              <w:bottom w:val="single" w:sz="4" w:space="0" w:color="7F7F7F"/>
            </w:tcBorders>
            <w:shd w:val="clear" w:color="auto" w:fill="auto"/>
            <w:noWrap/>
            <w:vAlign w:val="center"/>
            <w:hideMark/>
          </w:tcPr>
          <w:p w14:paraId="4B11C0CB"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Digestate flow rate</w:t>
            </w:r>
          </w:p>
        </w:tc>
        <w:tc>
          <w:tcPr>
            <w:tcW w:w="1842" w:type="dxa"/>
            <w:tcBorders>
              <w:top w:val="single" w:sz="4" w:space="0" w:color="7F7F7F"/>
              <w:bottom w:val="single" w:sz="4" w:space="0" w:color="7F7F7F"/>
            </w:tcBorders>
            <w:shd w:val="clear" w:color="auto" w:fill="auto"/>
            <w:noWrap/>
            <w:vAlign w:val="center"/>
            <w:hideMark/>
          </w:tcPr>
          <w:p w14:paraId="031E1147" w14:textId="77777777" w:rsidR="00C7764C" w:rsidRPr="00C81B1E" w:rsidRDefault="00C7764C" w:rsidP="00C81B1E">
            <w:pPr>
              <w:pStyle w:val="MDPI42tablebody"/>
              <w:rPr>
                <w:rFonts w:eastAsia="Calibri"/>
                <w:lang w:val="en-GB" w:eastAsia="en-US"/>
              </w:rPr>
            </w:pPr>
            <w:r w:rsidRPr="00C81B1E">
              <w:rPr>
                <w:rFonts w:eastAsia="Calibri"/>
                <w:lang w:val="en-GB" w:eastAsia="en-US"/>
              </w:rPr>
              <w:t>l/day</w:t>
            </w:r>
          </w:p>
        </w:tc>
        <w:tc>
          <w:tcPr>
            <w:tcW w:w="1135" w:type="dxa"/>
            <w:tcBorders>
              <w:top w:val="single" w:sz="4" w:space="0" w:color="7F7F7F"/>
              <w:bottom w:val="single" w:sz="4" w:space="0" w:color="7F7F7F"/>
            </w:tcBorders>
            <w:shd w:val="clear" w:color="auto" w:fill="auto"/>
            <w:noWrap/>
            <w:vAlign w:val="center"/>
            <w:hideMark/>
          </w:tcPr>
          <w:p w14:paraId="338988FE" w14:textId="77777777" w:rsidR="00C7764C" w:rsidRPr="00C81B1E" w:rsidRDefault="00C7764C" w:rsidP="00C81B1E">
            <w:pPr>
              <w:pStyle w:val="MDPI42tablebody"/>
              <w:rPr>
                <w:rFonts w:eastAsia="Calibri"/>
                <w:lang w:val="en-GB" w:eastAsia="en-US"/>
              </w:rPr>
            </w:pPr>
            <w:r w:rsidRPr="00C81B1E">
              <w:rPr>
                <w:rFonts w:eastAsia="Calibri"/>
                <w:lang w:val="en-GB" w:eastAsia="en-US"/>
              </w:rPr>
              <w:t>AD</w:t>
            </w:r>
          </w:p>
        </w:tc>
        <w:tc>
          <w:tcPr>
            <w:tcW w:w="2571" w:type="dxa"/>
            <w:vMerge/>
            <w:tcBorders>
              <w:top w:val="single" w:sz="4" w:space="0" w:color="7F7F7F"/>
              <w:bottom w:val="single" w:sz="4" w:space="0" w:color="7F7F7F"/>
            </w:tcBorders>
            <w:shd w:val="clear" w:color="auto" w:fill="auto"/>
            <w:noWrap/>
            <w:vAlign w:val="center"/>
          </w:tcPr>
          <w:p w14:paraId="3E593498" w14:textId="77777777" w:rsidR="00C7764C" w:rsidRPr="00C81B1E" w:rsidRDefault="00C7764C" w:rsidP="00C81B1E">
            <w:pPr>
              <w:pStyle w:val="MDPI42tablebody"/>
              <w:rPr>
                <w:rFonts w:eastAsia="Calibri"/>
                <w:lang w:val="en-GB" w:eastAsia="en-US"/>
              </w:rPr>
            </w:pPr>
          </w:p>
        </w:tc>
      </w:tr>
      <w:tr w:rsidR="00C81B1E" w:rsidRPr="00C81B1E" w14:paraId="059FBCE9" w14:textId="77777777" w:rsidTr="00C81B1E">
        <w:trPr>
          <w:trHeight w:val="255"/>
        </w:trPr>
        <w:tc>
          <w:tcPr>
            <w:tcW w:w="3402" w:type="dxa"/>
            <w:shd w:val="clear" w:color="auto" w:fill="auto"/>
            <w:noWrap/>
            <w:vAlign w:val="center"/>
            <w:hideMark/>
          </w:tcPr>
          <w:p w14:paraId="5B4BEE05"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Digestate composition</w:t>
            </w:r>
          </w:p>
        </w:tc>
        <w:tc>
          <w:tcPr>
            <w:tcW w:w="1842" w:type="dxa"/>
            <w:shd w:val="clear" w:color="auto" w:fill="auto"/>
            <w:noWrap/>
            <w:vAlign w:val="center"/>
            <w:hideMark/>
          </w:tcPr>
          <w:p w14:paraId="0AF70ADD" w14:textId="77777777" w:rsidR="00C7764C" w:rsidRPr="00C81B1E" w:rsidRDefault="00C7764C" w:rsidP="00C81B1E">
            <w:pPr>
              <w:pStyle w:val="MDPI42tablebody"/>
              <w:rPr>
                <w:rFonts w:eastAsia="Calibri"/>
                <w:lang w:val="en-GB" w:eastAsia="en-US"/>
              </w:rPr>
            </w:pPr>
            <w:r w:rsidRPr="00C81B1E">
              <w:rPr>
                <w:rFonts w:eastAsia="Calibri"/>
                <w:lang w:val="en-GB" w:eastAsia="en-US"/>
              </w:rPr>
              <w:t>% mass</w:t>
            </w:r>
          </w:p>
        </w:tc>
        <w:tc>
          <w:tcPr>
            <w:tcW w:w="1135" w:type="dxa"/>
            <w:shd w:val="clear" w:color="auto" w:fill="auto"/>
            <w:noWrap/>
            <w:vAlign w:val="center"/>
            <w:hideMark/>
          </w:tcPr>
          <w:p w14:paraId="426879FB" w14:textId="77777777" w:rsidR="00C7764C" w:rsidRPr="00C81B1E" w:rsidRDefault="00C7764C" w:rsidP="00C81B1E">
            <w:pPr>
              <w:pStyle w:val="MDPI42tablebody"/>
              <w:rPr>
                <w:rFonts w:eastAsia="Calibri"/>
                <w:lang w:val="en-GB" w:eastAsia="en-US"/>
              </w:rPr>
            </w:pPr>
            <w:r w:rsidRPr="00C81B1E">
              <w:rPr>
                <w:rFonts w:eastAsia="Calibri"/>
                <w:lang w:val="en-GB" w:eastAsia="en-US"/>
              </w:rPr>
              <w:t>AD</w:t>
            </w:r>
          </w:p>
        </w:tc>
        <w:tc>
          <w:tcPr>
            <w:tcW w:w="2571" w:type="dxa"/>
            <w:vMerge/>
            <w:shd w:val="clear" w:color="auto" w:fill="auto"/>
            <w:noWrap/>
            <w:vAlign w:val="center"/>
          </w:tcPr>
          <w:p w14:paraId="3D1C66C7" w14:textId="77777777" w:rsidR="00C7764C" w:rsidRPr="00C81B1E" w:rsidRDefault="00C7764C" w:rsidP="00C81B1E">
            <w:pPr>
              <w:pStyle w:val="MDPI42tablebody"/>
              <w:rPr>
                <w:rFonts w:eastAsia="Calibri"/>
                <w:lang w:val="en-GB" w:eastAsia="en-US"/>
              </w:rPr>
            </w:pPr>
          </w:p>
        </w:tc>
      </w:tr>
      <w:tr w:rsidR="00C81B1E" w:rsidRPr="00C81B1E" w14:paraId="7ACFEA04" w14:textId="77777777" w:rsidTr="00C81B1E">
        <w:trPr>
          <w:trHeight w:val="255"/>
        </w:trPr>
        <w:tc>
          <w:tcPr>
            <w:tcW w:w="3402" w:type="dxa"/>
            <w:tcBorders>
              <w:top w:val="single" w:sz="4" w:space="0" w:color="7F7F7F"/>
              <w:bottom w:val="single" w:sz="4" w:space="0" w:color="7F7F7F"/>
            </w:tcBorders>
            <w:shd w:val="clear" w:color="auto" w:fill="auto"/>
            <w:noWrap/>
            <w:vAlign w:val="center"/>
            <w:hideMark/>
          </w:tcPr>
          <w:p w14:paraId="5C1ED73D"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Compost production rate</w:t>
            </w:r>
          </w:p>
        </w:tc>
        <w:tc>
          <w:tcPr>
            <w:tcW w:w="1842" w:type="dxa"/>
            <w:tcBorders>
              <w:top w:val="single" w:sz="4" w:space="0" w:color="7F7F7F"/>
              <w:bottom w:val="single" w:sz="4" w:space="0" w:color="7F7F7F"/>
            </w:tcBorders>
            <w:shd w:val="clear" w:color="auto" w:fill="auto"/>
            <w:noWrap/>
            <w:vAlign w:val="center"/>
            <w:hideMark/>
          </w:tcPr>
          <w:p w14:paraId="26341987" w14:textId="77777777" w:rsidR="00C7764C" w:rsidRPr="00C81B1E" w:rsidRDefault="00C7764C" w:rsidP="00C81B1E">
            <w:pPr>
              <w:pStyle w:val="MDPI42tablebody"/>
              <w:rPr>
                <w:rFonts w:eastAsia="Calibri"/>
                <w:lang w:val="en-GB" w:eastAsia="en-US"/>
              </w:rPr>
            </w:pPr>
            <w:r w:rsidRPr="00C81B1E">
              <w:rPr>
                <w:rFonts w:eastAsia="Calibri"/>
                <w:lang w:val="en-GB" w:eastAsia="en-US"/>
              </w:rPr>
              <w:t>kg/day</w:t>
            </w:r>
          </w:p>
        </w:tc>
        <w:tc>
          <w:tcPr>
            <w:tcW w:w="1135" w:type="dxa"/>
            <w:tcBorders>
              <w:top w:val="single" w:sz="4" w:space="0" w:color="7F7F7F"/>
              <w:bottom w:val="single" w:sz="4" w:space="0" w:color="7F7F7F"/>
            </w:tcBorders>
            <w:shd w:val="clear" w:color="auto" w:fill="auto"/>
            <w:noWrap/>
            <w:vAlign w:val="center"/>
            <w:hideMark/>
          </w:tcPr>
          <w:p w14:paraId="37C405C4" w14:textId="77777777" w:rsidR="00C7764C" w:rsidRPr="00C81B1E" w:rsidRDefault="00C7764C" w:rsidP="00C81B1E">
            <w:pPr>
              <w:pStyle w:val="MDPI42tablebody"/>
              <w:rPr>
                <w:rFonts w:eastAsia="Calibri"/>
                <w:lang w:val="en-GB" w:eastAsia="en-US"/>
              </w:rPr>
            </w:pPr>
            <w:r w:rsidRPr="00C81B1E">
              <w:rPr>
                <w:rFonts w:eastAsia="Calibri"/>
                <w:lang w:val="en-GB" w:eastAsia="en-US"/>
              </w:rPr>
              <w:t>C</w:t>
            </w:r>
          </w:p>
        </w:tc>
        <w:tc>
          <w:tcPr>
            <w:tcW w:w="2571" w:type="dxa"/>
            <w:vMerge w:val="restart"/>
            <w:tcBorders>
              <w:top w:val="single" w:sz="4" w:space="0" w:color="7F7F7F"/>
              <w:bottom w:val="single" w:sz="4" w:space="0" w:color="7F7F7F"/>
            </w:tcBorders>
            <w:shd w:val="clear" w:color="auto" w:fill="auto"/>
            <w:noWrap/>
            <w:vAlign w:val="center"/>
            <w:hideMark/>
          </w:tcPr>
          <w:p w14:paraId="761E131B" w14:textId="77777777" w:rsidR="00C7764C" w:rsidRPr="00C81B1E" w:rsidRDefault="00C7764C" w:rsidP="00C81B1E">
            <w:pPr>
              <w:pStyle w:val="MDPI42tablebody"/>
              <w:rPr>
                <w:rFonts w:eastAsia="Calibri"/>
                <w:lang w:val="en-GB" w:eastAsia="en-US"/>
              </w:rPr>
            </w:pPr>
            <w:r w:rsidRPr="00C81B1E">
              <w:rPr>
                <w:rFonts w:eastAsia="Calibri"/>
                <w:lang w:val="en-GB" w:eastAsia="en-US"/>
              </w:rPr>
              <w:fldChar w:fldCharType="begin" w:fldLock="1"/>
            </w:r>
            <w:r w:rsidRPr="00C81B1E">
              <w:rPr>
                <w:rFonts w:eastAsia="Calibri"/>
                <w:lang w:val="en-GB" w:eastAsia="en-US"/>
              </w:rPr>
              <w:instrText>ADDIN CSL_CITATION {"citationItems":[{"id":"ITEM-1","itemData":{"abstract":"Composting is controlled decomposition, the natural breakdown process of organic residues. Composting transforms raw organic waste materials into biologically stable, humic substances that make excellent soil amendments. Compost is easier to handle than manure and other raw organic materials, stores well and is odor-free.","author":[{"dropping-particle":"","family":"Cooperband","given":"Leslie","non-dropping-particle":"","parse-names":false,"suffix":""}],"id":"ITEM-1","issued":{"date-parts":[["2002"]]},"title":"The art and science of composting. A resource for farmers and compost producers","type":"report"},"uris":["http://www.mendeley.com/documents/?uuid=36644cb7-2d3a-4846-831f-18a99a16be63"]}],"mendeley":{"formattedCitation":"(Cooperband, 2002)","manualFormatting":"Cooperband (2002)","plainTextFormattedCitation":"(Cooperband, 2002)","previouslyFormattedCitation":"(Cooperband, 2002)"},"properties":{"noteIndex":0},"schema":"https://github.com/citation-style-language/schema/raw/master/csl-citation.json"}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Cooperband (2002)</w:t>
            </w:r>
            <w:r w:rsidRPr="00C81B1E">
              <w:rPr>
                <w:rFonts w:eastAsia="Calibri"/>
                <w:lang w:val="en-GB" w:eastAsia="en-US"/>
              </w:rPr>
              <w:fldChar w:fldCharType="end"/>
            </w:r>
          </w:p>
        </w:tc>
      </w:tr>
      <w:tr w:rsidR="00C81B1E" w:rsidRPr="00C81B1E" w14:paraId="4F63AD52" w14:textId="77777777" w:rsidTr="00C81B1E">
        <w:trPr>
          <w:trHeight w:val="255"/>
        </w:trPr>
        <w:tc>
          <w:tcPr>
            <w:tcW w:w="3402" w:type="dxa"/>
            <w:shd w:val="clear" w:color="auto" w:fill="auto"/>
            <w:noWrap/>
            <w:vAlign w:val="center"/>
            <w:hideMark/>
          </w:tcPr>
          <w:p w14:paraId="15519B5C"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Compost composition</w:t>
            </w:r>
          </w:p>
        </w:tc>
        <w:tc>
          <w:tcPr>
            <w:tcW w:w="1842" w:type="dxa"/>
            <w:shd w:val="clear" w:color="auto" w:fill="auto"/>
            <w:noWrap/>
            <w:vAlign w:val="center"/>
            <w:hideMark/>
          </w:tcPr>
          <w:p w14:paraId="76C1CE4B" w14:textId="77777777" w:rsidR="00C7764C" w:rsidRPr="00C81B1E" w:rsidRDefault="00C7764C" w:rsidP="00C81B1E">
            <w:pPr>
              <w:pStyle w:val="MDPI42tablebody"/>
              <w:rPr>
                <w:rFonts w:eastAsia="Calibri"/>
                <w:lang w:val="en-GB" w:eastAsia="en-US"/>
              </w:rPr>
            </w:pPr>
            <w:r w:rsidRPr="00C81B1E">
              <w:rPr>
                <w:rFonts w:eastAsia="Calibri"/>
                <w:lang w:val="en-GB" w:eastAsia="en-US"/>
              </w:rPr>
              <w:t>% mass</w:t>
            </w:r>
          </w:p>
        </w:tc>
        <w:tc>
          <w:tcPr>
            <w:tcW w:w="1135" w:type="dxa"/>
            <w:shd w:val="clear" w:color="auto" w:fill="auto"/>
            <w:noWrap/>
            <w:vAlign w:val="center"/>
            <w:hideMark/>
          </w:tcPr>
          <w:p w14:paraId="04140418" w14:textId="77777777" w:rsidR="00C7764C" w:rsidRPr="00C81B1E" w:rsidRDefault="00C7764C" w:rsidP="00C81B1E">
            <w:pPr>
              <w:pStyle w:val="MDPI42tablebody"/>
              <w:rPr>
                <w:rFonts w:eastAsia="Calibri"/>
                <w:lang w:val="en-GB" w:eastAsia="en-US"/>
              </w:rPr>
            </w:pPr>
            <w:r w:rsidRPr="00C81B1E">
              <w:rPr>
                <w:rFonts w:eastAsia="Calibri"/>
                <w:lang w:val="en-GB" w:eastAsia="en-US"/>
              </w:rPr>
              <w:t>C</w:t>
            </w:r>
          </w:p>
        </w:tc>
        <w:tc>
          <w:tcPr>
            <w:tcW w:w="2571" w:type="dxa"/>
            <w:vMerge/>
            <w:shd w:val="clear" w:color="auto" w:fill="auto"/>
            <w:noWrap/>
            <w:vAlign w:val="center"/>
            <w:hideMark/>
          </w:tcPr>
          <w:p w14:paraId="0EEDAF1D" w14:textId="77777777" w:rsidR="00C7764C" w:rsidRPr="00C81B1E" w:rsidRDefault="00C7764C" w:rsidP="00C81B1E">
            <w:pPr>
              <w:pStyle w:val="MDPI42tablebody"/>
              <w:rPr>
                <w:rFonts w:eastAsia="Calibri"/>
                <w:lang w:val="en-GB" w:eastAsia="en-US"/>
              </w:rPr>
            </w:pPr>
          </w:p>
        </w:tc>
      </w:tr>
      <w:tr w:rsidR="00C81B1E" w:rsidRPr="00C81B1E" w14:paraId="60B249E9" w14:textId="77777777" w:rsidTr="00C81B1E">
        <w:trPr>
          <w:trHeight w:val="285"/>
        </w:trPr>
        <w:tc>
          <w:tcPr>
            <w:tcW w:w="3402" w:type="dxa"/>
            <w:tcBorders>
              <w:top w:val="single" w:sz="4" w:space="0" w:color="7F7F7F"/>
              <w:bottom w:val="single" w:sz="4" w:space="0" w:color="7F7F7F"/>
            </w:tcBorders>
            <w:shd w:val="clear" w:color="auto" w:fill="auto"/>
            <w:noWrap/>
            <w:vAlign w:val="center"/>
            <w:hideMark/>
          </w:tcPr>
          <w:p w14:paraId="3DFD0F10"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Gas flow rate</w:t>
            </w:r>
          </w:p>
        </w:tc>
        <w:tc>
          <w:tcPr>
            <w:tcW w:w="1842" w:type="dxa"/>
            <w:tcBorders>
              <w:top w:val="single" w:sz="4" w:space="0" w:color="7F7F7F"/>
              <w:bottom w:val="single" w:sz="4" w:space="0" w:color="7F7F7F"/>
            </w:tcBorders>
            <w:shd w:val="clear" w:color="auto" w:fill="auto"/>
            <w:noWrap/>
            <w:vAlign w:val="center"/>
            <w:hideMark/>
          </w:tcPr>
          <w:p w14:paraId="30379E59" w14:textId="77777777" w:rsidR="00C7764C" w:rsidRPr="00C81B1E" w:rsidRDefault="00C7764C" w:rsidP="00C81B1E">
            <w:pPr>
              <w:pStyle w:val="MDPI42tablebody"/>
              <w:rPr>
                <w:rFonts w:eastAsia="Calibri"/>
                <w:lang w:val="en-GB" w:eastAsia="en-US"/>
              </w:rPr>
            </w:pPr>
            <w:r w:rsidRPr="00C81B1E">
              <w:rPr>
                <w:rFonts w:eastAsia="Calibri"/>
                <w:lang w:val="en-GB" w:eastAsia="en-US"/>
              </w:rPr>
              <w:t>Nm</w:t>
            </w:r>
            <w:r w:rsidRPr="000C1128">
              <w:rPr>
                <w:rFonts w:eastAsia="Calibri"/>
                <w:vertAlign w:val="superscript"/>
                <w:lang w:val="en-GB" w:eastAsia="en-US"/>
              </w:rPr>
              <w:t>3</w:t>
            </w:r>
            <w:r w:rsidRPr="00C81B1E">
              <w:rPr>
                <w:rFonts w:eastAsia="Calibri"/>
                <w:lang w:val="en-GB" w:eastAsia="en-US"/>
              </w:rPr>
              <w:t>/day</w:t>
            </w:r>
          </w:p>
        </w:tc>
        <w:tc>
          <w:tcPr>
            <w:tcW w:w="1135" w:type="dxa"/>
            <w:tcBorders>
              <w:top w:val="single" w:sz="4" w:space="0" w:color="7F7F7F"/>
              <w:bottom w:val="single" w:sz="4" w:space="0" w:color="7F7F7F"/>
            </w:tcBorders>
            <w:shd w:val="clear" w:color="auto" w:fill="auto"/>
            <w:noWrap/>
            <w:vAlign w:val="center"/>
            <w:hideMark/>
          </w:tcPr>
          <w:p w14:paraId="60C28563" w14:textId="77777777" w:rsidR="00C7764C" w:rsidRPr="00C81B1E" w:rsidRDefault="00C7764C" w:rsidP="00C81B1E">
            <w:pPr>
              <w:pStyle w:val="MDPI42tablebody"/>
              <w:rPr>
                <w:rFonts w:eastAsia="Calibri"/>
                <w:lang w:val="en-GB" w:eastAsia="en-US"/>
              </w:rPr>
            </w:pPr>
            <w:r w:rsidRPr="00C81B1E">
              <w:rPr>
                <w:rFonts w:eastAsia="Calibri"/>
                <w:lang w:val="en-GB" w:eastAsia="en-US"/>
              </w:rPr>
              <w:t>TT</w:t>
            </w:r>
          </w:p>
        </w:tc>
        <w:tc>
          <w:tcPr>
            <w:tcW w:w="2571" w:type="dxa"/>
            <w:vMerge w:val="restart"/>
            <w:tcBorders>
              <w:top w:val="single" w:sz="4" w:space="0" w:color="7F7F7F"/>
              <w:bottom w:val="single" w:sz="4" w:space="0" w:color="7F7F7F"/>
            </w:tcBorders>
            <w:shd w:val="clear" w:color="auto" w:fill="auto"/>
            <w:noWrap/>
            <w:vAlign w:val="center"/>
            <w:hideMark/>
          </w:tcPr>
          <w:p w14:paraId="218404A1" w14:textId="77777777" w:rsidR="00C7764C" w:rsidRPr="00C81B1E" w:rsidRDefault="00C7764C" w:rsidP="00C81B1E">
            <w:pPr>
              <w:pStyle w:val="MDPI42tablebody"/>
              <w:rPr>
                <w:rFonts w:eastAsia="Calibri"/>
                <w:lang w:val="en-GB" w:eastAsia="en-US"/>
              </w:rPr>
            </w:pPr>
            <w:r w:rsidRPr="00C81B1E">
              <w:rPr>
                <w:rFonts w:eastAsia="Calibri"/>
                <w:lang w:val="en-GB" w:eastAsia="en-US"/>
              </w:rPr>
              <w:fldChar w:fldCharType="begin" w:fldLock="1"/>
            </w:r>
            <w:r w:rsidRPr="00C81B1E">
              <w:rPr>
                <w:rFonts w:eastAsia="Calibri"/>
                <w:lang w:val="en-GB" w:eastAsia="en-US"/>
              </w:rPr>
              <w:instrText>ADDIN CSL_CITATION {"citationItems":[{"id":"ITEM-1","itemData":{"ISBN":"978-1-4471-2305-7","author":[{"dropping-particle":"","family":"Buragohain","given":"Buljit","non-dropping-particle":"","parse-names":false,"suffix":""},{"dropping-particle":"","family":"Mahanta","given":"Pinakeswar","non-dropping-particle":"","parse-names":false,"suffix":""},{"dropping-particle":"","family":"Moholkar","given":"Vijayanand Suryakant","non-dropping-particle":"","parse-names":false,"suffix":""}],"container-title":"Waste to Energy. Opportunities and Challenges for Developing and Transition Economies","editor":[{"dropping-particle":"","family":"Karagiannidis","given":"Avraam","non-dropping-particle":"","parse-names":false,"suffix":""}],"id":"ITEM-1","issued":{"date-parts":[["2012"]]},"page":"182-183","publisher":"Springer","title":"Thermodynamic Approach to Design and Optimization of Biomass Gasifier Utilizing Agro-Residues","type":"chapter"},"uris":["http://www.mendeley.com/documents/?uuid=12403ba5-0278-4138-a31a-ee9ffb1c3596"]}],"mendeley":{"formattedCitation":"(Buragohain et al., 2012)","manualFormatting":"Buragohain et al. (2012)","plainTextFormattedCitation":"(Buragohain et al., 2012)","previouslyFormattedCitation":"(Buragohain et al., 2012)"},"properties":{"noteIndex":0},"schema":"https://github.com/citation-style-language/schema/raw/master/csl-citation.json"}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Buragohain et al. (2012)</w:t>
            </w:r>
            <w:r w:rsidRPr="00C81B1E">
              <w:rPr>
                <w:rFonts w:eastAsia="Calibri"/>
                <w:lang w:val="en-GB" w:eastAsia="en-US"/>
              </w:rPr>
              <w:fldChar w:fldCharType="end"/>
            </w:r>
          </w:p>
        </w:tc>
      </w:tr>
      <w:tr w:rsidR="00C81B1E" w:rsidRPr="00C81B1E" w14:paraId="4A86C43D" w14:textId="77777777" w:rsidTr="00C81B1E">
        <w:trPr>
          <w:trHeight w:val="285"/>
        </w:trPr>
        <w:tc>
          <w:tcPr>
            <w:tcW w:w="3402" w:type="dxa"/>
            <w:shd w:val="clear" w:color="auto" w:fill="auto"/>
            <w:noWrap/>
            <w:vAlign w:val="center"/>
            <w:hideMark/>
          </w:tcPr>
          <w:p w14:paraId="32CA5D0A"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Lower heating value of gas</w:t>
            </w:r>
          </w:p>
        </w:tc>
        <w:tc>
          <w:tcPr>
            <w:tcW w:w="1842" w:type="dxa"/>
            <w:shd w:val="clear" w:color="auto" w:fill="auto"/>
            <w:noWrap/>
            <w:vAlign w:val="center"/>
            <w:hideMark/>
          </w:tcPr>
          <w:p w14:paraId="186029F8" w14:textId="77777777" w:rsidR="00C7764C" w:rsidRPr="00C81B1E" w:rsidRDefault="00C7764C" w:rsidP="00C81B1E">
            <w:pPr>
              <w:pStyle w:val="MDPI42tablebody"/>
              <w:rPr>
                <w:rFonts w:eastAsia="Calibri"/>
                <w:lang w:val="en-GB" w:eastAsia="en-US"/>
              </w:rPr>
            </w:pPr>
            <w:r w:rsidRPr="00C81B1E">
              <w:rPr>
                <w:rFonts w:eastAsia="Calibri"/>
                <w:lang w:val="en-GB" w:eastAsia="en-US"/>
              </w:rPr>
              <w:t>MJ/m</w:t>
            </w:r>
            <w:r w:rsidRPr="000C1128">
              <w:rPr>
                <w:rFonts w:eastAsia="Calibri"/>
                <w:vertAlign w:val="superscript"/>
                <w:lang w:val="en-GB" w:eastAsia="en-US"/>
              </w:rPr>
              <w:t>3</w:t>
            </w:r>
          </w:p>
        </w:tc>
        <w:tc>
          <w:tcPr>
            <w:tcW w:w="1135" w:type="dxa"/>
            <w:shd w:val="clear" w:color="auto" w:fill="auto"/>
            <w:noWrap/>
            <w:vAlign w:val="center"/>
            <w:hideMark/>
          </w:tcPr>
          <w:p w14:paraId="3C36C0B2" w14:textId="77777777" w:rsidR="00C7764C" w:rsidRPr="00C81B1E" w:rsidRDefault="00C7764C" w:rsidP="00C81B1E">
            <w:pPr>
              <w:pStyle w:val="MDPI42tablebody"/>
              <w:rPr>
                <w:rFonts w:eastAsia="Calibri"/>
                <w:lang w:val="en-GB" w:eastAsia="en-US"/>
              </w:rPr>
            </w:pPr>
            <w:r w:rsidRPr="00C81B1E">
              <w:rPr>
                <w:rFonts w:eastAsia="Calibri"/>
                <w:lang w:val="en-GB" w:eastAsia="en-US"/>
              </w:rPr>
              <w:t>TT</w:t>
            </w:r>
          </w:p>
        </w:tc>
        <w:tc>
          <w:tcPr>
            <w:tcW w:w="2571" w:type="dxa"/>
            <w:vMerge/>
            <w:shd w:val="clear" w:color="auto" w:fill="auto"/>
            <w:noWrap/>
            <w:vAlign w:val="center"/>
          </w:tcPr>
          <w:p w14:paraId="1B8B4FF2" w14:textId="77777777" w:rsidR="00C7764C" w:rsidRPr="00C81B1E" w:rsidRDefault="00C7764C" w:rsidP="00C81B1E">
            <w:pPr>
              <w:pStyle w:val="MDPI42tablebody"/>
              <w:rPr>
                <w:rFonts w:eastAsia="Calibri"/>
                <w:lang w:val="en-GB" w:eastAsia="en-US"/>
              </w:rPr>
            </w:pPr>
          </w:p>
        </w:tc>
      </w:tr>
      <w:tr w:rsidR="00C81B1E" w:rsidRPr="00C81B1E" w14:paraId="06F42E2E" w14:textId="77777777" w:rsidTr="00C81B1E">
        <w:trPr>
          <w:trHeight w:val="255"/>
        </w:trPr>
        <w:tc>
          <w:tcPr>
            <w:tcW w:w="3402" w:type="dxa"/>
            <w:tcBorders>
              <w:top w:val="single" w:sz="4" w:space="0" w:color="7F7F7F"/>
              <w:bottom w:val="single" w:sz="4" w:space="0" w:color="7F7F7F"/>
            </w:tcBorders>
            <w:shd w:val="clear" w:color="auto" w:fill="auto"/>
            <w:noWrap/>
            <w:vAlign w:val="center"/>
            <w:hideMark/>
          </w:tcPr>
          <w:p w14:paraId="2F234362"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Char production rate</w:t>
            </w:r>
          </w:p>
        </w:tc>
        <w:tc>
          <w:tcPr>
            <w:tcW w:w="1842" w:type="dxa"/>
            <w:tcBorders>
              <w:top w:val="single" w:sz="4" w:space="0" w:color="7F7F7F"/>
              <w:bottom w:val="single" w:sz="4" w:space="0" w:color="7F7F7F"/>
            </w:tcBorders>
            <w:shd w:val="clear" w:color="auto" w:fill="auto"/>
            <w:noWrap/>
            <w:vAlign w:val="center"/>
            <w:hideMark/>
          </w:tcPr>
          <w:p w14:paraId="76DCDDAA" w14:textId="77777777" w:rsidR="00C7764C" w:rsidRPr="00C81B1E" w:rsidRDefault="00C7764C" w:rsidP="00C81B1E">
            <w:pPr>
              <w:pStyle w:val="MDPI42tablebody"/>
              <w:rPr>
                <w:rFonts w:eastAsia="Calibri"/>
                <w:lang w:val="en-GB" w:eastAsia="en-US"/>
              </w:rPr>
            </w:pPr>
            <w:r w:rsidRPr="00C81B1E">
              <w:rPr>
                <w:rFonts w:eastAsia="Calibri"/>
                <w:lang w:val="en-GB" w:eastAsia="en-US"/>
              </w:rPr>
              <w:t>kg/day</w:t>
            </w:r>
          </w:p>
        </w:tc>
        <w:tc>
          <w:tcPr>
            <w:tcW w:w="1135" w:type="dxa"/>
            <w:tcBorders>
              <w:top w:val="single" w:sz="4" w:space="0" w:color="7F7F7F"/>
              <w:bottom w:val="single" w:sz="4" w:space="0" w:color="7F7F7F"/>
            </w:tcBorders>
            <w:shd w:val="clear" w:color="auto" w:fill="auto"/>
            <w:noWrap/>
            <w:vAlign w:val="center"/>
            <w:hideMark/>
          </w:tcPr>
          <w:p w14:paraId="1230C583" w14:textId="77777777" w:rsidR="00C7764C" w:rsidRPr="00C81B1E" w:rsidRDefault="00C7764C" w:rsidP="00C81B1E">
            <w:pPr>
              <w:pStyle w:val="MDPI42tablebody"/>
              <w:rPr>
                <w:rFonts w:eastAsia="Calibri"/>
                <w:lang w:val="en-GB" w:eastAsia="en-US"/>
              </w:rPr>
            </w:pPr>
            <w:r w:rsidRPr="00C81B1E">
              <w:rPr>
                <w:rFonts w:eastAsia="Calibri"/>
                <w:lang w:val="en-GB" w:eastAsia="en-US"/>
              </w:rPr>
              <w:t>TT</w:t>
            </w:r>
          </w:p>
        </w:tc>
        <w:tc>
          <w:tcPr>
            <w:tcW w:w="2571" w:type="dxa"/>
            <w:vMerge w:val="restart"/>
            <w:tcBorders>
              <w:top w:val="single" w:sz="4" w:space="0" w:color="7F7F7F"/>
              <w:bottom w:val="single" w:sz="4" w:space="0" w:color="7F7F7F"/>
            </w:tcBorders>
            <w:shd w:val="clear" w:color="auto" w:fill="auto"/>
            <w:noWrap/>
            <w:vAlign w:val="center"/>
            <w:hideMark/>
          </w:tcPr>
          <w:p w14:paraId="7415E4B7" w14:textId="77777777" w:rsidR="00C7764C" w:rsidRPr="00C81B1E" w:rsidRDefault="00C7764C" w:rsidP="00C81B1E">
            <w:pPr>
              <w:pStyle w:val="MDPI42tablebody"/>
              <w:rPr>
                <w:rFonts w:eastAsia="Calibri"/>
                <w:lang w:val="en-GB" w:eastAsia="en-US"/>
              </w:rPr>
            </w:pPr>
            <w:r w:rsidRPr="00C81B1E">
              <w:rPr>
                <w:rFonts w:eastAsia="Calibri"/>
                <w:lang w:val="en-GB" w:eastAsia="en-US"/>
              </w:rPr>
              <w:fldChar w:fldCharType="begin" w:fldLock="1"/>
            </w:r>
            <w:r w:rsidRPr="00C81B1E">
              <w:rPr>
                <w:rFonts w:eastAsia="Calibri"/>
                <w:lang w:val="en-GB" w:eastAsia="en-US"/>
              </w:rPr>
              <w:instrText>ADDIN CSL_CITATION {"citationItems":[{"id":"ITEM-1","itemData":{"author":[{"dropping-particle":"","family":"Lohri","given":"Christian Riu","non-dropping-particle":"","parse-names":false,"suffix":""},{"dropping-particle":"","family":"Sweeney","given":"Dan","non-dropping-particle":"","parse-names":false,"suffix":""},{"dropping-particle":"","family":"Rajabu","given":"Hassan Mtoro","non-dropping-particle":"","parse-names":false,"suffix":""}],"id":"ITEM-1","issued":{"date-parts":[["2015"]]},"title":"Carbonizing urban biowaste for low-cost char production in developing countries - A review of knowledge, practices and technologies","type":"article-journal"},"uris":["http://www.mendeley.com/documents/?uuid=d1edbab1-e9d1-4e11-b2ec-6fc3d54e4435"]}],"mendeley":{"formattedCitation":"(Lohri et al., 2015)","manualFormatting":"Lohri et al. (2015)","plainTextFormattedCitation":"(Lohri et al., 2015)","previouslyFormattedCitation":"(Lohri et al., 2015)"},"properties":{"noteIndex":0},"schema":"https://github.com/citation-style-language/schema/raw/master/csl-citation.json"}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Lohri et al. (2015)</w:t>
            </w:r>
            <w:r w:rsidRPr="00C81B1E">
              <w:rPr>
                <w:rFonts w:eastAsia="Calibri"/>
                <w:lang w:val="en-GB" w:eastAsia="en-US"/>
              </w:rPr>
              <w:fldChar w:fldCharType="end"/>
            </w:r>
          </w:p>
        </w:tc>
      </w:tr>
      <w:tr w:rsidR="00C81B1E" w:rsidRPr="00C81B1E" w14:paraId="3843CD20" w14:textId="77777777" w:rsidTr="00C81B1E">
        <w:trPr>
          <w:trHeight w:val="270"/>
        </w:trPr>
        <w:tc>
          <w:tcPr>
            <w:tcW w:w="3402" w:type="dxa"/>
            <w:shd w:val="clear" w:color="auto" w:fill="auto"/>
            <w:noWrap/>
            <w:vAlign w:val="center"/>
            <w:hideMark/>
          </w:tcPr>
          <w:p w14:paraId="609C4B30"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Heating value of char</w:t>
            </w:r>
          </w:p>
        </w:tc>
        <w:tc>
          <w:tcPr>
            <w:tcW w:w="1842" w:type="dxa"/>
            <w:shd w:val="clear" w:color="auto" w:fill="auto"/>
            <w:noWrap/>
            <w:vAlign w:val="center"/>
            <w:hideMark/>
          </w:tcPr>
          <w:p w14:paraId="66FD5E48" w14:textId="77777777" w:rsidR="00C7764C" w:rsidRPr="00C81B1E" w:rsidRDefault="00C7764C" w:rsidP="00C81B1E">
            <w:pPr>
              <w:pStyle w:val="MDPI42tablebody"/>
              <w:rPr>
                <w:rFonts w:eastAsia="Calibri"/>
                <w:lang w:val="en-GB" w:eastAsia="en-US"/>
              </w:rPr>
            </w:pPr>
            <w:r w:rsidRPr="00C81B1E">
              <w:rPr>
                <w:rFonts w:eastAsia="Calibri"/>
                <w:lang w:val="en-GB" w:eastAsia="en-US"/>
              </w:rPr>
              <w:t>MJ/kg</w:t>
            </w:r>
          </w:p>
        </w:tc>
        <w:tc>
          <w:tcPr>
            <w:tcW w:w="1135" w:type="dxa"/>
            <w:shd w:val="clear" w:color="auto" w:fill="auto"/>
            <w:noWrap/>
            <w:vAlign w:val="center"/>
            <w:hideMark/>
          </w:tcPr>
          <w:p w14:paraId="2116D4F0" w14:textId="77777777" w:rsidR="00C7764C" w:rsidRPr="00C81B1E" w:rsidRDefault="00C7764C" w:rsidP="00C81B1E">
            <w:pPr>
              <w:pStyle w:val="MDPI42tablebody"/>
              <w:rPr>
                <w:rFonts w:eastAsia="Calibri"/>
                <w:lang w:val="en-GB" w:eastAsia="en-US"/>
              </w:rPr>
            </w:pPr>
            <w:r w:rsidRPr="00C81B1E">
              <w:rPr>
                <w:rFonts w:eastAsia="Calibri"/>
                <w:lang w:val="en-GB" w:eastAsia="en-US"/>
              </w:rPr>
              <w:t>TT</w:t>
            </w:r>
          </w:p>
        </w:tc>
        <w:tc>
          <w:tcPr>
            <w:tcW w:w="2571" w:type="dxa"/>
            <w:vMerge/>
            <w:shd w:val="clear" w:color="auto" w:fill="auto"/>
            <w:noWrap/>
            <w:vAlign w:val="center"/>
            <w:hideMark/>
          </w:tcPr>
          <w:p w14:paraId="03F3BA6E" w14:textId="77777777" w:rsidR="00C7764C" w:rsidRPr="00C81B1E" w:rsidRDefault="00C7764C" w:rsidP="00C81B1E">
            <w:pPr>
              <w:pStyle w:val="MDPI42tablebody"/>
              <w:rPr>
                <w:rFonts w:eastAsia="Calibri"/>
                <w:lang w:val="en-GB" w:eastAsia="en-US"/>
              </w:rPr>
            </w:pPr>
          </w:p>
        </w:tc>
      </w:tr>
    </w:tbl>
    <w:p w14:paraId="3E4FA4C1" w14:textId="77777777" w:rsidR="00C7764C" w:rsidRPr="00C7764C" w:rsidRDefault="00C7764C" w:rsidP="00C7764C">
      <w:pPr>
        <w:spacing w:after="160" w:line="259" w:lineRule="auto"/>
        <w:rPr>
          <w:rFonts w:eastAsia="Calibri"/>
          <w:color w:val="auto"/>
          <w:sz w:val="16"/>
          <w:szCs w:val="16"/>
          <w:lang w:val="en-GB" w:eastAsia="en-US"/>
        </w:rPr>
      </w:pPr>
    </w:p>
    <w:p w14:paraId="1070626C" w14:textId="77777777" w:rsidR="00C7764C" w:rsidRPr="00C7764C" w:rsidRDefault="00C7764C" w:rsidP="00BA2E09">
      <w:pPr>
        <w:pStyle w:val="MDPI41tablecaption"/>
        <w:rPr>
          <w:rFonts w:eastAsia="Calibri"/>
          <w:lang w:val="en-GB" w:eastAsia="en-US"/>
        </w:rPr>
      </w:pPr>
      <w:r w:rsidRPr="00C7764C">
        <w:rPr>
          <w:rFonts w:eastAsia="Calibri"/>
          <w:b/>
          <w:lang w:val="en-GB" w:eastAsia="en-US"/>
        </w:rPr>
        <w:t xml:space="preserve">Table </w:t>
      </w:r>
      <w:r w:rsidRPr="00C7764C">
        <w:rPr>
          <w:rFonts w:eastAsia="Calibri"/>
          <w:b/>
          <w:lang w:val="en-GB" w:eastAsia="en-US"/>
        </w:rPr>
        <w:fldChar w:fldCharType="begin"/>
      </w:r>
      <w:r w:rsidRPr="00C7764C">
        <w:rPr>
          <w:rFonts w:eastAsia="Calibri"/>
          <w:b/>
          <w:lang w:val="en-GB" w:eastAsia="en-US"/>
        </w:rPr>
        <w:instrText xml:space="preserve"> SEQ Table \* ARABIC </w:instrText>
      </w:r>
      <w:r w:rsidRPr="00C7764C">
        <w:rPr>
          <w:rFonts w:eastAsia="Calibri"/>
          <w:b/>
          <w:lang w:val="en-GB" w:eastAsia="en-US"/>
        </w:rPr>
        <w:fldChar w:fldCharType="separate"/>
      </w:r>
      <w:r w:rsidRPr="00C7764C">
        <w:rPr>
          <w:rFonts w:eastAsia="Calibri"/>
          <w:b/>
          <w:noProof/>
          <w:lang w:val="en-GB" w:eastAsia="en-US"/>
        </w:rPr>
        <w:t>6</w:t>
      </w:r>
      <w:r w:rsidRPr="00C7764C">
        <w:rPr>
          <w:rFonts w:eastAsia="Calibri"/>
          <w:b/>
          <w:lang w:val="en-GB" w:eastAsia="en-US"/>
        </w:rPr>
        <w:fldChar w:fldCharType="end"/>
      </w:r>
      <w:r w:rsidRPr="00C7764C">
        <w:rPr>
          <w:rFonts w:eastAsia="Calibri"/>
          <w:lang w:val="en-GB" w:eastAsia="en-US"/>
        </w:rPr>
        <w:t>. Environmental indicators: impacts to air</w:t>
      </w:r>
    </w:p>
    <w:tbl>
      <w:tblPr>
        <w:tblW w:w="9066" w:type="dxa"/>
        <w:tblBorders>
          <w:top w:val="single" w:sz="4" w:space="0" w:color="7F7F7F"/>
          <w:bottom w:val="single" w:sz="4" w:space="0" w:color="7F7F7F"/>
        </w:tblBorders>
        <w:tblLook w:val="04A0" w:firstRow="1" w:lastRow="0" w:firstColumn="1" w:lastColumn="0" w:noHBand="0" w:noVBand="1"/>
      </w:tblPr>
      <w:tblGrid>
        <w:gridCol w:w="1560"/>
        <w:gridCol w:w="1004"/>
        <w:gridCol w:w="899"/>
        <w:gridCol w:w="5615"/>
      </w:tblGrid>
      <w:tr w:rsidR="00C81B1E" w:rsidRPr="00C81B1E" w14:paraId="2469F453" w14:textId="77777777" w:rsidTr="00C81B1E">
        <w:trPr>
          <w:trHeight w:val="285"/>
        </w:trPr>
        <w:tc>
          <w:tcPr>
            <w:tcW w:w="1560" w:type="dxa"/>
            <w:tcBorders>
              <w:bottom w:val="single" w:sz="4" w:space="0" w:color="7F7F7F"/>
            </w:tcBorders>
            <w:shd w:val="clear" w:color="auto" w:fill="auto"/>
            <w:noWrap/>
            <w:vAlign w:val="center"/>
          </w:tcPr>
          <w:p w14:paraId="427C88B3"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Indicator</w:t>
            </w:r>
          </w:p>
        </w:tc>
        <w:tc>
          <w:tcPr>
            <w:tcW w:w="992" w:type="dxa"/>
            <w:tcBorders>
              <w:bottom w:val="single" w:sz="4" w:space="0" w:color="7F7F7F"/>
            </w:tcBorders>
            <w:shd w:val="clear" w:color="auto" w:fill="auto"/>
            <w:noWrap/>
            <w:vAlign w:val="center"/>
          </w:tcPr>
          <w:p w14:paraId="3E950F19"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 xml:space="preserve">Example </w:t>
            </w:r>
            <w:r w:rsidRPr="00C81B1E">
              <w:rPr>
                <w:rFonts w:eastAsia="Calibri"/>
                <w:b/>
                <w:bCs/>
                <w:lang w:val="en-GB" w:eastAsia="en-US"/>
              </w:rPr>
              <w:lastRenderedPageBreak/>
              <w:t>or unit</w:t>
            </w:r>
          </w:p>
        </w:tc>
        <w:tc>
          <w:tcPr>
            <w:tcW w:w="899" w:type="dxa"/>
            <w:tcBorders>
              <w:bottom w:val="single" w:sz="4" w:space="0" w:color="7F7F7F"/>
            </w:tcBorders>
            <w:shd w:val="clear" w:color="auto" w:fill="auto"/>
            <w:noWrap/>
            <w:vAlign w:val="center"/>
          </w:tcPr>
          <w:p w14:paraId="77710446"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lastRenderedPageBreak/>
              <w:t>FWMS</w:t>
            </w:r>
          </w:p>
        </w:tc>
        <w:tc>
          <w:tcPr>
            <w:tcW w:w="5615" w:type="dxa"/>
            <w:tcBorders>
              <w:bottom w:val="single" w:sz="4" w:space="0" w:color="7F7F7F"/>
            </w:tcBorders>
            <w:shd w:val="clear" w:color="auto" w:fill="auto"/>
            <w:noWrap/>
            <w:vAlign w:val="center"/>
          </w:tcPr>
          <w:p w14:paraId="45BDFB99"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Reference</w:t>
            </w:r>
          </w:p>
        </w:tc>
      </w:tr>
      <w:tr w:rsidR="00C81B1E" w:rsidRPr="00C81B1E" w14:paraId="62A5159B" w14:textId="77777777" w:rsidTr="00C81B1E">
        <w:trPr>
          <w:trHeight w:val="285"/>
        </w:trPr>
        <w:tc>
          <w:tcPr>
            <w:tcW w:w="1560" w:type="dxa"/>
            <w:tcBorders>
              <w:top w:val="single" w:sz="4" w:space="0" w:color="7F7F7F"/>
              <w:bottom w:val="single" w:sz="4" w:space="0" w:color="7F7F7F"/>
            </w:tcBorders>
            <w:shd w:val="clear" w:color="auto" w:fill="auto"/>
            <w:noWrap/>
            <w:vAlign w:val="center"/>
            <w:hideMark/>
          </w:tcPr>
          <w:p w14:paraId="0FCEE288"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Total emissions to air</w:t>
            </w:r>
          </w:p>
        </w:tc>
        <w:tc>
          <w:tcPr>
            <w:tcW w:w="992" w:type="dxa"/>
            <w:tcBorders>
              <w:top w:val="single" w:sz="4" w:space="0" w:color="7F7F7F"/>
              <w:bottom w:val="single" w:sz="4" w:space="0" w:color="7F7F7F"/>
            </w:tcBorders>
            <w:shd w:val="clear" w:color="auto" w:fill="auto"/>
            <w:noWrap/>
            <w:vAlign w:val="center"/>
            <w:hideMark/>
          </w:tcPr>
          <w:p w14:paraId="0ED52EBC" w14:textId="77777777" w:rsidR="00C7764C" w:rsidRPr="00C81B1E" w:rsidRDefault="00C7764C" w:rsidP="00C81B1E">
            <w:pPr>
              <w:pStyle w:val="MDPI42tablebody"/>
              <w:rPr>
                <w:rFonts w:eastAsia="Calibri"/>
                <w:lang w:val="en-GB" w:eastAsia="en-US"/>
              </w:rPr>
            </w:pPr>
            <w:r w:rsidRPr="00C81B1E">
              <w:rPr>
                <w:rFonts w:eastAsia="Calibri"/>
                <w:lang w:val="en-GB" w:eastAsia="en-US"/>
              </w:rPr>
              <w:t>m</w:t>
            </w:r>
            <w:r w:rsidRPr="00C81B1E">
              <w:rPr>
                <w:rFonts w:eastAsia="Calibri"/>
                <w:vertAlign w:val="superscript"/>
                <w:lang w:val="en-GB" w:eastAsia="en-US"/>
              </w:rPr>
              <w:t>3</w:t>
            </w:r>
            <w:r w:rsidRPr="00C81B1E">
              <w:rPr>
                <w:rFonts w:eastAsia="Calibri"/>
                <w:lang w:val="en-GB" w:eastAsia="en-US"/>
              </w:rPr>
              <w:t>/day</w:t>
            </w:r>
          </w:p>
        </w:tc>
        <w:tc>
          <w:tcPr>
            <w:tcW w:w="899" w:type="dxa"/>
            <w:tcBorders>
              <w:top w:val="single" w:sz="4" w:space="0" w:color="7F7F7F"/>
              <w:bottom w:val="single" w:sz="4" w:space="0" w:color="7F7F7F"/>
            </w:tcBorders>
            <w:shd w:val="clear" w:color="auto" w:fill="auto"/>
            <w:noWrap/>
            <w:vAlign w:val="center"/>
            <w:hideMark/>
          </w:tcPr>
          <w:p w14:paraId="236EA609" w14:textId="77777777" w:rsidR="00C7764C" w:rsidRPr="00C81B1E" w:rsidRDefault="00C7764C" w:rsidP="00C81B1E">
            <w:pPr>
              <w:pStyle w:val="MDPI42tablebody"/>
              <w:rPr>
                <w:rFonts w:eastAsia="Calibri"/>
                <w:lang w:val="en-GB" w:eastAsia="en-US"/>
              </w:rPr>
            </w:pPr>
            <w:r w:rsidRPr="00C81B1E">
              <w:rPr>
                <w:rFonts w:eastAsia="Calibri"/>
                <w:lang w:val="en-GB" w:eastAsia="en-US"/>
              </w:rPr>
              <w:t>T, AD, C, TT</w:t>
            </w:r>
          </w:p>
        </w:tc>
        <w:tc>
          <w:tcPr>
            <w:tcW w:w="5615" w:type="dxa"/>
            <w:vMerge w:val="restart"/>
            <w:tcBorders>
              <w:top w:val="single" w:sz="4" w:space="0" w:color="7F7F7F"/>
              <w:bottom w:val="single" w:sz="4" w:space="0" w:color="7F7F7F"/>
            </w:tcBorders>
            <w:shd w:val="clear" w:color="auto" w:fill="auto"/>
            <w:noWrap/>
            <w:vAlign w:val="center"/>
            <w:hideMark/>
          </w:tcPr>
          <w:p w14:paraId="66E46289"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T: </w:t>
            </w:r>
            <w:r w:rsidRPr="00C81B1E">
              <w:rPr>
                <w:rFonts w:eastAsia="Calibri"/>
                <w:lang w:val="en-GB" w:eastAsia="en-US"/>
              </w:rPr>
              <w:fldChar w:fldCharType="begin" w:fldLock="1"/>
            </w:r>
            <w:r w:rsidRPr="00C81B1E">
              <w:rPr>
                <w:rFonts w:eastAsia="Calibri"/>
                <w:lang w:val="en-GB" w:eastAsia="en-US"/>
              </w:rPr>
              <w:instrText>ADDIN CSL_CITATION {"citationItems":[{"id":"ITEM-1","itemData":{"author":[{"dropping-particle":"","family":"Boer","given":"Eelco","non-dropping-particle":"den","parse-names":false,"suffix":""},{"dropping-particle":"","family":"Brouwer","given":"Femke","non-dropping-particle":"","parse-names":false,"suffix":""},{"dropping-particle":"","family":"Schroten","given":"Arno","non-dropping-particle":"","parse-names":false,"suffix":""},{"dropping-particle":"","family":"Essen","given":"Huib","non-dropping-particle":"van","parse-names":false,"suffix":""}],"container-title":"CE Delft","id":"ITEM-1","issue":"January","issued":{"date-parts":[["2009"]]},"publisher-place":"Delft (The Netherlands)","title":"Are trucks taking their toll? The environmental, safety and congestion impacts of lorries in the EU","type":"report"},"uris":["http://www.mendeley.com/documents/?uuid=0a2a7979-9117-494f-a663-f531463bad76"]}],"mendeley":{"formattedCitation":"(den Boer et al., 2009)","manualFormatting":"den Boer et al. (2009)","plainTextFormattedCitation":"(den Boer et al., 2009)","previouslyFormattedCitation":"(den Boer et al., 2009)"},"properties":{"noteIndex":0},"schema":"https://github.com/citation-style-language/schema/raw/master/csl-citation.json"}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den Boer et al. (2009)</w:t>
            </w:r>
            <w:r w:rsidRPr="00C81B1E">
              <w:rPr>
                <w:rFonts w:eastAsia="Calibri"/>
                <w:lang w:val="en-GB" w:eastAsia="en-US"/>
              </w:rPr>
              <w:fldChar w:fldCharType="end"/>
            </w:r>
            <w:r w:rsidRPr="00C81B1E">
              <w:rPr>
                <w:rFonts w:eastAsia="Calibri"/>
                <w:lang w:val="en-GB" w:eastAsia="en-US"/>
              </w:rPr>
              <w:t xml:space="preserve">, AD: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{"citationItems":[{"id":"ITEM-1","itemData":{"DOI":"10.1016/j.energy.2014.03.103","ISBN":"03605442","ISSN":"03605442","abstract":"Financial incentives in many European countries have led to a surge in anaerobic digestion (AD) installations to produce heat and/or electricity from biogas. This paper presents the life cycle environmental impacts of a system producing biogas from agricultural wastes by AD and co-generating heat and electricity in a combined heat and power (CHP) plant. The results suggest that this can lead to significant reductions in most impacts compared to fossil-fuel alternatives, including the global warming potential (GWP) which can be reduced by up to 50%. However, the acidification and eutrophication potentials are respectively 25 and 12 times higher than for natural gas CHP. The impacts are influenced by the type and source of feedstock, digestate storage and its application on land. Using energy crops such as maize instead of waste reduces the GWP owing to higher biogas yields, but eight out of 11 impacts increase compared to using waste feedstocks. If digestate is not used to displace artificial fertilisers, the majority of impacts are higher than from natural gas CHP. Some other bioenergy options have lower GWP than energy from biogas, including woodchip CHP plants. Implications for policy are discussed based on the results of the study. © 2014 The Authors.","author":[{"dropping-particle":"","family":"Whiting","given":"Andrew","non-dropping-particle":"","parse-names":false,"suffix":""},{"dropping-particle":"","family":"Azapagic","given":"Adisa","non-dropping-particle":"","parse-names":false,"suffix":""}],"container-title":"Energy","id":"ITEM-1","issued":{"date-parts":[["2014"]]},"page":"181-193","publisher":"Elsevier Ltd","title":"Life cycle environmental impacts of generating electricity and heat from biogas produced by anaerobic digestion","type":"article-journal","volume":"70"},"uris":["http://www.mendeley.com/documents/?uuid=dabbd94e-5d5b-4ed5-8217-adaa6d9d308e"]}],"mendeley":{"formattedCitation":"(Whiting and Azapagic, 2014)","manualFormatting":"Whiting &amp; Azapagic (2014)","plainTextFormattedCitation":"(Whiting and Azapagic, 2014)","previouslyFormattedCitation":"(Whiting and Azapagic, 2014)"},"properties":{"noteIndex":0},"schema":"https://github.com/citation-style-language/schema/raw/master/csl-citation.json"}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Whiting &amp; Azapagic (2014)</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{"citationItems":[{"id":"ITEM-1","itemData":{"DOI":"10.1016/j.scitotenv.2009.10.072","ISBN":"0048-9697","ISSN":"00489697","PMID":"19926117","abstract":"Proper management and recycling of huge volumes of food waste is one of the challenges faced by Singapore. Semakau island - the only offshore landfill of the nation - only accepts inert, inorganic solid waste and therefore a large bulk of food waste is directed to incinerators. A remaining small percent is sent for recycling via anaerobic digestion (AD), followed by composting of the digestate material. This article investigates the environmental performance of four food waste conversion scenarios - based on a life cycle assessment perspective - taking into account air emissions, useful energy from the incinerators and AD process, as well as carbon dioxide mitigation from the compost products derived from the digestate material and a proposed aerobic composting system. The life cycle impact results were generated for global warming, acidification, eutrophication, photochemical oxidation and energy use. The total normalized results showed that a small-scale proposed aerobic composting system is more environmentally favorable than incinerators, but less ideal compared to the AD process. By making full use of the AD's Recycling Phase II process alone, the Singapore Green Plan's 2012 aim to increase the recycling of food waste to 30% can easily be achieved, along with reduced global warming impacts. ?? 2009 Elsevier B.V. All rights reserved.","author":[{"dropping-particle":"","family":"Khoo","given":"Hsien H.","non-dropping-particle":"","parse-names":false,"suffix":""},{"dropping-particle":"","family":"Lim","given":"Teik Z.","non-dropping-particle":"","parse-names":false,"suffix":""},{"dropping-particle":"","family":"Tan","given":"Reginald B H","non-dropping-particle":"","parse-names":false,"suffix":""}],"container-title":"Science of the Total Environment","id":"ITEM-1","issue":"6","issued":{"date-parts":[["2010"]]},"page":"1367-1373","publisher":"Elsevier B.V.","title":"Food waste conversion options in Singapore: Environmental impacts based on an LCA perspective","type":"article-journal","volume":"408"},"uris":["http://www.mendeley.com/documents/?uuid=8c6e4075-a5b0-4950-8220-cc542c7811eb"]}],"mendeley":{"formattedCitation":"(Khoo et al., 2010)","manualFormatting":"Khoo et al. (2010)","plainTextFormattedCitation":"(Khoo et al., 2010)","previouslyFormattedCitation":"(Khoo et al., 2010)"},"properties":{"noteIndex":0},"schema":"https://github.com/citation-style-language/schema/raw/master/csl-citation.json"}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Khoo et al. (2010)</w:t>
            </w:r>
            <w:r w:rsidRPr="00C81B1E">
              <w:rPr>
                <w:rFonts w:eastAsia="Calibri"/>
                <w:lang w:val="en-GB" w:eastAsia="en-US"/>
              </w:rPr>
              <w:fldChar w:fldCharType="end"/>
            </w:r>
            <w:r w:rsidRPr="00C81B1E">
              <w:rPr>
                <w:rFonts w:eastAsia="Calibri"/>
                <w:lang w:val="en-GB" w:eastAsia="en-US"/>
              </w:rPr>
              <w:t xml:space="preserve">, TT: </w:t>
            </w:r>
            <w:r w:rsidRPr="00C81B1E">
              <w:rPr>
                <w:rFonts w:eastAsia="Calibri"/>
                <w:lang w:val="en-GB" w:eastAsia="en-US"/>
              </w:rPr>
              <w:fldChar w:fldCharType="begin" w:fldLock="1"/>
            </w:r>
            <w:r w:rsidRPr="00C81B1E">
              <w:rPr>
                <w:rFonts w:eastAsia="Calibri"/>
                <w:lang w:val="en-GB" w:eastAsia="en-US"/>
              </w:rPr>
              <w:instrText>ADDIN CSL_CITATION {"citationItems":[{"id":"ITEM-1","itemData":{"abstract":"This project deals with combustion installations with a rated thermal\\ninput exceeding 50 MW. Plants with a thermal input lower than 50\\nMW are, however, discussed where technically relevant because smaller\\nunits can potentially be added to a plant to build one larger installation\\nexceeding 50 MW. All kinds of conventional power plants (e.g. utility\\nboiler plants, combined heat and power plants, district heating plants)\\nused for mechanical power and heat generation are covered in this\\nwork. Industrial combustion installations are covered if they use\\nconventional fuel. The commercial availability of the fuel on the\\nmarket has been used as an indicator to identify conventional fuels.\\nThe criterion for classifying a fuel as a 'conventional fuel' is\\na known composition which remains relatively constant, and indeed\\nis usually standardised. Coal, lignite, biomass, peat, liquid and\\ngaseous fuels (including hydrogen and biogas) are regarded as conventional\\nfuels. The use of waste as a secondary fuel is also covered in this\\nwork.","author":[{"dropping-particle":"","family":"European Commission","given":"","non-dropping-particle":"","parse-names":false,"suffix":""}],"container-title":"Integrated Pollution Prevention Control","id":"ITEM-1","issue":"August","issued":{"date-parts":[["2006"]]},"title":"Reference Document on the Best Available Techniques for Waste Incineration","type":"article-journal"},"uris":["http://www.mendeley.com/documents/?uuid=cafb8d98-221f-4574-9995-e04c7a48fca0"]}],"mendeley":{"formattedCitation":"(European Commission, 2006a)","manualFormatting":"European Commission (2006c)","plainTextFormattedCitation":"(European Commission, 2006a)","previouslyFormattedCitation":"(European Commission, 2006a)"},"properties":{"noteIndex":0},"schema":"https://github.com/citation-style-language/schema/raw/master/csl-citation.json"}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European Commission (2006c)</w:t>
            </w:r>
            <w:r w:rsidRPr="00C81B1E">
              <w:rPr>
                <w:rFonts w:eastAsia="Calibri"/>
                <w:lang w:val="en-GB" w:eastAsia="en-US"/>
              </w:rPr>
              <w:fldChar w:fldCharType="end"/>
            </w:r>
          </w:p>
        </w:tc>
      </w:tr>
      <w:tr w:rsidR="00C81B1E" w:rsidRPr="00C81B1E" w14:paraId="1B8424F7" w14:textId="77777777" w:rsidTr="00C81B1E">
        <w:trPr>
          <w:trHeight w:val="315"/>
        </w:trPr>
        <w:tc>
          <w:tcPr>
            <w:tcW w:w="1560" w:type="dxa"/>
            <w:shd w:val="clear" w:color="auto" w:fill="auto"/>
            <w:noWrap/>
            <w:vAlign w:val="center"/>
            <w:hideMark/>
          </w:tcPr>
          <w:p w14:paraId="723AD477"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CO</w:t>
            </w:r>
            <w:r w:rsidRPr="00C81B1E">
              <w:rPr>
                <w:rFonts w:eastAsia="Calibri"/>
                <w:b/>
                <w:bCs/>
                <w:vertAlign w:val="subscript"/>
                <w:lang w:val="en-GB" w:eastAsia="en-US"/>
              </w:rPr>
              <w:t>2</w:t>
            </w:r>
          </w:p>
        </w:tc>
        <w:tc>
          <w:tcPr>
            <w:tcW w:w="992" w:type="dxa"/>
            <w:shd w:val="clear" w:color="auto" w:fill="auto"/>
            <w:noWrap/>
            <w:vAlign w:val="center"/>
            <w:hideMark/>
          </w:tcPr>
          <w:p w14:paraId="55F5CE6B" w14:textId="77777777" w:rsidR="00C7764C" w:rsidRPr="00C81B1E" w:rsidRDefault="00C7764C" w:rsidP="00C81B1E">
            <w:pPr>
              <w:pStyle w:val="MDPI42tablebody"/>
              <w:rPr>
                <w:rFonts w:eastAsia="Calibri"/>
                <w:lang w:val="en-GB" w:eastAsia="en-US"/>
              </w:rPr>
            </w:pPr>
            <w:r w:rsidRPr="00C81B1E">
              <w:rPr>
                <w:rFonts w:eastAsia="Calibri"/>
                <w:lang w:val="en-GB" w:eastAsia="en-US"/>
              </w:rPr>
              <w:t>mg/m</w:t>
            </w:r>
            <w:r w:rsidRPr="00C81B1E">
              <w:rPr>
                <w:rFonts w:eastAsia="Calibri"/>
                <w:vertAlign w:val="superscript"/>
                <w:lang w:val="en-GB" w:eastAsia="en-US"/>
              </w:rPr>
              <w:t>3</w:t>
            </w:r>
          </w:p>
        </w:tc>
        <w:tc>
          <w:tcPr>
            <w:tcW w:w="899" w:type="dxa"/>
            <w:shd w:val="clear" w:color="auto" w:fill="auto"/>
            <w:noWrap/>
            <w:vAlign w:val="center"/>
            <w:hideMark/>
          </w:tcPr>
          <w:p w14:paraId="51FCBC02" w14:textId="77777777" w:rsidR="00C7764C" w:rsidRPr="00C81B1E" w:rsidRDefault="00C7764C" w:rsidP="00C81B1E">
            <w:pPr>
              <w:pStyle w:val="MDPI42tablebody"/>
              <w:rPr>
                <w:rFonts w:eastAsia="Calibri"/>
                <w:lang w:val="en-GB" w:eastAsia="en-US"/>
              </w:rPr>
            </w:pPr>
            <w:r w:rsidRPr="00C81B1E">
              <w:rPr>
                <w:rFonts w:eastAsia="Calibri"/>
                <w:lang w:val="en-GB" w:eastAsia="en-US"/>
              </w:rPr>
              <w:t>T, AD, C, TT</w:t>
            </w:r>
          </w:p>
        </w:tc>
        <w:tc>
          <w:tcPr>
            <w:tcW w:w="5615" w:type="dxa"/>
            <w:vMerge/>
            <w:shd w:val="clear" w:color="auto" w:fill="auto"/>
            <w:noWrap/>
            <w:vAlign w:val="center"/>
            <w:hideMark/>
          </w:tcPr>
          <w:p w14:paraId="67C56A19" w14:textId="77777777" w:rsidR="00C7764C" w:rsidRPr="00C81B1E" w:rsidRDefault="00C7764C" w:rsidP="00C81B1E">
            <w:pPr>
              <w:pStyle w:val="MDPI42tablebody"/>
              <w:rPr>
                <w:rFonts w:eastAsia="Calibri"/>
                <w:lang w:val="en-GB" w:eastAsia="en-US"/>
              </w:rPr>
            </w:pPr>
          </w:p>
        </w:tc>
      </w:tr>
      <w:tr w:rsidR="00C81B1E" w:rsidRPr="00C81B1E" w14:paraId="785D36F3" w14:textId="77777777" w:rsidTr="00C81B1E">
        <w:trPr>
          <w:trHeight w:val="315"/>
        </w:trPr>
        <w:tc>
          <w:tcPr>
            <w:tcW w:w="1560" w:type="dxa"/>
            <w:tcBorders>
              <w:top w:val="single" w:sz="4" w:space="0" w:color="7F7F7F"/>
              <w:bottom w:val="single" w:sz="4" w:space="0" w:color="7F7F7F"/>
            </w:tcBorders>
            <w:shd w:val="clear" w:color="auto" w:fill="auto"/>
            <w:noWrap/>
            <w:vAlign w:val="center"/>
            <w:hideMark/>
          </w:tcPr>
          <w:p w14:paraId="378AD014"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CH</w:t>
            </w:r>
            <w:r w:rsidRPr="00C81B1E">
              <w:rPr>
                <w:rFonts w:eastAsia="Calibri"/>
                <w:b/>
                <w:bCs/>
                <w:vertAlign w:val="subscript"/>
                <w:lang w:val="en-GB" w:eastAsia="en-US"/>
              </w:rPr>
              <w:t>4</w:t>
            </w:r>
          </w:p>
        </w:tc>
        <w:tc>
          <w:tcPr>
            <w:tcW w:w="992" w:type="dxa"/>
            <w:tcBorders>
              <w:top w:val="single" w:sz="4" w:space="0" w:color="7F7F7F"/>
              <w:bottom w:val="single" w:sz="4" w:space="0" w:color="7F7F7F"/>
            </w:tcBorders>
            <w:shd w:val="clear" w:color="auto" w:fill="auto"/>
            <w:noWrap/>
            <w:vAlign w:val="center"/>
            <w:hideMark/>
          </w:tcPr>
          <w:p w14:paraId="635D5985" w14:textId="77777777" w:rsidR="00C7764C" w:rsidRPr="00C81B1E" w:rsidRDefault="00C7764C" w:rsidP="00C81B1E">
            <w:pPr>
              <w:pStyle w:val="MDPI42tablebody"/>
              <w:rPr>
                <w:rFonts w:eastAsia="Calibri"/>
                <w:lang w:val="en-GB" w:eastAsia="en-US"/>
              </w:rPr>
            </w:pPr>
            <w:r w:rsidRPr="00C81B1E">
              <w:rPr>
                <w:rFonts w:eastAsia="Calibri"/>
                <w:lang w:val="en-GB" w:eastAsia="en-US"/>
              </w:rPr>
              <w:t>mg/m</w:t>
            </w:r>
            <w:r w:rsidRPr="00C81B1E">
              <w:rPr>
                <w:rFonts w:eastAsia="Calibri"/>
                <w:vertAlign w:val="superscript"/>
                <w:lang w:val="en-GB" w:eastAsia="en-US"/>
              </w:rPr>
              <w:t>3</w:t>
            </w:r>
          </w:p>
        </w:tc>
        <w:tc>
          <w:tcPr>
            <w:tcW w:w="899" w:type="dxa"/>
            <w:tcBorders>
              <w:top w:val="single" w:sz="4" w:space="0" w:color="7F7F7F"/>
              <w:bottom w:val="single" w:sz="4" w:space="0" w:color="7F7F7F"/>
            </w:tcBorders>
            <w:shd w:val="clear" w:color="auto" w:fill="auto"/>
            <w:noWrap/>
            <w:vAlign w:val="center"/>
            <w:hideMark/>
          </w:tcPr>
          <w:p w14:paraId="0F401D62" w14:textId="77777777" w:rsidR="00C7764C" w:rsidRPr="00C81B1E" w:rsidRDefault="00C7764C" w:rsidP="00C81B1E">
            <w:pPr>
              <w:pStyle w:val="MDPI42tablebody"/>
              <w:rPr>
                <w:rFonts w:eastAsia="Calibri"/>
                <w:lang w:val="en-GB" w:eastAsia="en-US"/>
              </w:rPr>
            </w:pPr>
            <w:r w:rsidRPr="00C81B1E">
              <w:rPr>
                <w:rFonts w:eastAsia="Calibri"/>
                <w:lang w:val="en-GB" w:eastAsia="en-US"/>
              </w:rPr>
              <w:t>T, AD, C, TT</w:t>
            </w:r>
          </w:p>
        </w:tc>
        <w:tc>
          <w:tcPr>
            <w:tcW w:w="5615" w:type="dxa"/>
            <w:tcBorders>
              <w:top w:val="single" w:sz="4" w:space="0" w:color="7F7F7F"/>
              <w:bottom w:val="single" w:sz="4" w:space="0" w:color="7F7F7F"/>
            </w:tcBorders>
            <w:shd w:val="clear" w:color="auto" w:fill="auto"/>
            <w:noWrap/>
            <w:vAlign w:val="center"/>
            <w:hideMark/>
          </w:tcPr>
          <w:p w14:paraId="29B3F8D1"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T: </w:t>
            </w:r>
            <w:r w:rsidRPr="00C81B1E">
              <w:rPr>
                <w:rFonts w:eastAsia="Calibri"/>
                <w:lang w:val="en-GB" w:eastAsia="en-US"/>
              </w:rPr>
              <w:fldChar w:fldCharType="begin" w:fldLock="1"/>
            </w:r>
            <w:r w:rsidRPr="00C81B1E">
              <w:rPr>
                <w:rFonts w:eastAsia="Calibri"/>
                <w:lang w:val="en-GB" w:eastAsia="en-US"/>
              </w:rPr>
              <w:instrText>ADDIN CSL_CITATION {"citationItems":[{"id":"ITEM-1","itemData":{"author":[{"dropping-particle":"","family":"Boer","given":"Eelco","non-dropping-particle":"den","parse-names":false,"suffix":""},{"dropping-particle":"","family":"Brouwer","given":"Femke","non-dropping-particle":"","parse-names":false,"suffix":""},{"dropping-particle":"","family":"Schroten","given":"Arno","non-dropping-particle":"","parse-names":false,"suffix":""},{"dropping-particle":"","family":"Essen","given":"Huib","non-dropping-particle":"van","parse-names":false,"suffix":""}],"container-title":"CE Delft","id":"ITEM-1","issue":"January","issued":{"date-parts":[["2009"]]},"publisher-place":"Delft (The Netherlands)","title":"Are trucks taking their toll? The environmental, safety and congestion impacts of lorries in the EU","type":"report"},"uris":["http://www.mendeley.com/documents/?uuid=0a2a7979-9117-494f-a663-f531463bad76"]}],"mendeley":{"formattedCitation":"(den Boer et al., 2009)","manualFormatting":"den Boer et al. (2009)","plainTextFormattedCitation":"(den Boer et al., 2009)","previouslyFormattedCitation":"(den Boer et al., 2009)"},"properties":{"noteIndex":0},"schema":"https://github.com/citation-style-language/schema/raw/master/csl-citation.json"}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den Boer et al. (2009)</w:t>
            </w:r>
            <w:r w:rsidRPr="00C81B1E">
              <w:rPr>
                <w:rFonts w:eastAsia="Calibri"/>
                <w:lang w:val="en-GB" w:eastAsia="en-US"/>
              </w:rPr>
              <w:fldChar w:fldCharType="end"/>
            </w:r>
            <w:r w:rsidRPr="00C81B1E">
              <w:rPr>
                <w:rFonts w:eastAsia="Calibri"/>
                <w:lang w:val="en-GB" w:eastAsia="en-US"/>
              </w:rPr>
              <w:t xml:space="preserve">, AD: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{"citationItems":[{"id":"ITEM-1","itemData":{"DOI":"10.1016/j.energy.2014.03.103","ISBN":"03605442","ISSN":"03605442","abstract":"Financial incentives in many European countries have led to a surge in anaerobic digestion (AD) installations to produce heat and/or electricity from biogas. This paper presents the life cycle environmental impacts of a system producing biogas from agricultural wastes by AD and co-generating heat and electricity in a combined heat and power (CHP) plant. The results suggest that this can lead to significant reductions in most impacts compared to fossil-fuel alternatives, including the global warming potential (GWP) which can be reduced by up to 50%. However, the acidification and eutrophication potentials are respectively 25 and 12 times higher than for natural gas CHP. The impacts are influenced by the type and source of feedstock, digestate storage and its application on land. Using energy crops such as maize instead of waste reduces the GWP owing to higher biogas yields, but eight out of 11 impacts increase compared to using waste feedstocks. If digestate is not used to displace artificial fertilisers, the majority of impacts are higher than from natural gas CHP. Some other bioenergy options have lower GWP than energy from biogas, including woodchip CHP plants. Implications for policy are discussed based on the results of the study. © 2014 The Authors.","author":[{"dropping-particle":"","family":"Whiting","given":"Andrew","non-dropping-particle":"","parse-names":false,"suffix":""},{"dropping-particle":"","family":"Azapagic","given":"Adisa","non-dropping-particle":"","parse-names":false,"suffix":""}],"container-title":"Energy","id":"ITEM-1","issued":{"date-parts":[["2014"]]},"page":"181-193","publisher":"Elsevier Ltd","title":"Life cycle environmental impacts of generating electricity and heat from biogas produced by anaerobic digestion","type":"article-journal","volume":"70"},"uris":["http://www.mendeley.com/documents/?uuid=dabbd94e-5d5b-4ed5-8217-adaa6d9d308e"]}],"mendeley":{"formattedCitation":"(Whiting and Azapagic, 2014)","manualFormatting":"Whiting &amp; Azapagic (2014)","plainTextFormattedCitation":"(Whiting and Azapagic, 2014)","previouslyFormattedCitation":"(Whiting and Azapagic, 2014)"},"properties":{"noteIndex":0},"schema":"https://github.com/citation-style-language/schema/raw/master/csl-citation.json"}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Whiting &amp; Azapagic (2014)</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{"citationItems":[{"id":"ITEM-1","itemData":{"DOI":"10.1016/j.biombioe.2007.01.004","ISBN":"0961-9534","ISSN":"09619534","abstract":"This paper analyses the overall environmental impact when biogas systems are introduced and replace various reference systems for energy generation, waste management and agricultural production. The analyses are based on Swedish conditions using a life-cycle perspective. The biogas systems included are based on different combinations of raw materials and final use of the biogas produced (heat, power and transportation fuel). A general conclusion is that biogas systems normally lead to environmental improvements, which in some cases are considerable. This is often due to indirect environmental benefits of changed land use and handling of organic waste products (e.g. reduced nitrogen leaching, emissions of ammonia and methane), which often exceed the direct environmental benefits achieved when fossil fuels are replaced by biogas (e.g. reduced emissions of carbon dioxide and air pollutants). Such indirect benefits are seldom considered when biogas is evaluated from an environmental point of view. The environmental impact from different biogas systems can, however, vary significantly due to factors such as the raw materials utilised, energy service provided and reference system replaced. ?? 2007 Elsevier Ltd. All rights reserved.","author":[{"dropping-particle":"","family":"Börjesson","given":"Pål","non-dropping-particle":"","parse-names":false,"suffix":""},{"dropping-particle":"","family":"Berglund","given":"Maria","non-dropping-particle":"","parse-names":false,"suffix":""}],"container-title":"Biomass and Bioenergy","id":"ITEM-1","issue":"5","issued":{"date-parts":[["2007"]]},"page":"326-344","title":"Environmental systems analysis of biogas systems-Part II: The environmental impact of replacing various reference systems","type":"article-journal","volume":"31"},"uris":["http://www.mendeley.com/documents/?uuid=fca78283-61e2-4f30-b071-4bb06735615d"]}],"mendeley":{"formattedCitation":"(Börjesson and Berglund, 2007)","manualFormatting":"Börjesson &amp; Berglund (2007)","plainTextFormattedCitation":"(Börjesson and Berglund, 2007)","previouslyFormattedCitation":"(Börjesson and Berglund, 2007)"},"properties":{"noteIndex":0},"schema":"https://github.com/citation-style-language/schema/raw/master/csl-citation.json"}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Börjesson &amp; Berglund (2007)</w:t>
            </w:r>
            <w:r w:rsidRPr="00C81B1E">
              <w:rPr>
                <w:rFonts w:eastAsia="Calibri"/>
                <w:lang w:val="en-GB" w:eastAsia="en-US"/>
              </w:rPr>
              <w:fldChar w:fldCharType="end"/>
            </w:r>
            <w:r w:rsidRPr="00C81B1E">
              <w:rPr>
                <w:rFonts w:eastAsia="Calibri"/>
                <w:lang w:val="en-GB" w:eastAsia="en-US"/>
              </w:rPr>
              <w:t xml:space="preserve">, TT: </w:t>
            </w:r>
            <w:r w:rsidRPr="00C81B1E">
              <w:rPr>
                <w:rFonts w:eastAsia="Calibri"/>
                <w:lang w:val="en-GB" w:eastAsia="en-US"/>
              </w:rPr>
              <w:fldChar w:fldCharType="begin" w:fldLock="1"/>
            </w:r>
            <w:r w:rsidRPr="00C81B1E">
              <w:rPr>
                <w:rFonts w:eastAsia="Calibri"/>
                <w:lang w:val="en-GB" w:eastAsia="en-US"/>
              </w:rPr>
              <w:instrText>ADDIN CSL_CITATION {"citationItems":[{"id":"ITEM-1","itemData":{"abstract":"This project deals with combustion installations with a rated thermal\\ninput exceeding 50 MW. Plants with a thermal input lower than 50\\nMW are, however, discussed where technically relevant because smaller\\nunits can potentially be added to a plant to build one larger installation\\nexceeding 50 MW. All kinds of conventional power plants (e.g. utility\\nboiler plants, combined heat and power plants, district heating plants)\\nused for mechanical power and heat generation are covered in this\\nwork. Industrial combustion installations are covered if they use\\nconventional fuel. The commercial availability of the fuel on the\\nmarket has been used as an indicator to identify conventional fuels.\\nThe criterion for classifying a fuel as a 'conventional fuel' is\\na known composition which remains relatively constant, and indeed\\nis usually standardised. Coal, lignite, biomass, peat, liquid and\\ngaseous fuels (including hydrogen and biogas) are regarded as conventional\\nfuels. The use of waste as a secondary fuel is also covered in this\\nwork.","author":[{"dropping-particle":"","family":"European Commission","given":"","non-dropping-particle":"","parse-names":false,"suffix":""}],"container-title":"Integrated Pollution Prevention Control","id":"ITEM-1","issue":"August","issued":{"date-parts":[["2006"]]},"title":"Reference Document on the Best Available Techniques for Waste Incineration","type":"article-journal"},"uris":["http://www.mendeley.com/documents/?uuid=cafb8d98-221f-4574-9995-e04c7a48fca0"]}],"mendeley":{"formattedCitation":"(European Commission, 2006a)","manualFormatting":"European Commission (2006c)","plainTextFormattedCitation":"(European Commission, 2006a)","previouslyFormattedCitation":"(European Commission, 2006a)"},"properties":{"noteIndex":0},"schema":"https://github.com/citation-style-language/schema/raw/master/csl-citation.json"}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European Commission (2006c)</w:t>
            </w:r>
            <w:r w:rsidRPr="00C81B1E">
              <w:rPr>
                <w:rFonts w:eastAsia="Calibri"/>
                <w:lang w:val="en-GB" w:eastAsia="en-US"/>
              </w:rPr>
              <w:fldChar w:fldCharType="end"/>
            </w:r>
          </w:p>
        </w:tc>
      </w:tr>
      <w:tr w:rsidR="00C81B1E" w:rsidRPr="00C81B1E" w14:paraId="43B30067" w14:textId="77777777" w:rsidTr="00C81B1E">
        <w:trPr>
          <w:trHeight w:val="315"/>
        </w:trPr>
        <w:tc>
          <w:tcPr>
            <w:tcW w:w="1560" w:type="dxa"/>
            <w:shd w:val="clear" w:color="auto" w:fill="auto"/>
            <w:noWrap/>
            <w:vAlign w:val="center"/>
            <w:hideMark/>
          </w:tcPr>
          <w:p w14:paraId="2B11FDFE"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N</w:t>
            </w:r>
            <w:r w:rsidRPr="00C81B1E">
              <w:rPr>
                <w:rFonts w:eastAsia="Calibri"/>
                <w:b/>
                <w:bCs/>
                <w:vertAlign w:val="subscript"/>
                <w:lang w:val="en-GB" w:eastAsia="en-US"/>
              </w:rPr>
              <w:t>2</w:t>
            </w:r>
            <w:r w:rsidRPr="00C81B1E">
              <w:rPr>
                <w:rFonts w:eastAsia="Calibri"/>
                <w:b/>
                <w:bCs/>
                <w:lang w:val="en-GB" w:eastAsia="en-US"/>
              </w:rPr>
              <w:t>O</w:t>
            </w:r>
          </w:p>
        </w:tc>
        <w:tc>
          <w:tcPr>
            <w:tcW w:w="992" w:type="dxa"/>
            <w:shd w:val="clear" w:color="auto" w:fill="auto"/>
            <w:noWrap/>
            <w:vAlign w:val="center"/>
            <w:hideMark/>
          </w:tcPr>
          <w:p w14:paraId="6C49BA89" w14:textId="77777777" w:rsidR="00C7764C" w:rsidRPr="00C81B1E" w:rsidRDefault="00C7764C" w:rsidP="00C81B1E">
            <w:pPr>
              <w:pStyle w:val="MDPI42tablebody"/>
              <w:rPr>
                <w:rFonts w:eastAsia="Calibri"/>
                <w:lang w:val="en-GB" w:eastAsia="en-US"/>
              </w:rPr>
            </w:pPr>
            <w:r w:rsidRPr="00C81B1E">
              <w:rPr>
                <w:rFonts w:eastAsia="Calibri"/>
                <w:lang w:val="en-GB" w:eastAsia="en-US"/>
              </w:rPr>
              <w:t>mg/m</w:t>
            </w:r>
            <w:r w:rsidRPr="00C81B1E">
              <w:rPr>
                <w:rFonts w:eastAsia="Calibri"/>
                <w:vertAlign w:val="superscript"/>
                <w:lang w:val="en-GB" w:eastAsia="en-US"/>
              </w:rPr>
              <w:t>3</w:t>
            </w:r>
          </w:p>
        </w:tc>
        <w:tc>
          <w:tcPr>
            <w:tcW w:w="899" w:type="dxa"/>
            <w:shd w:val="clear" w:color="auto" w:fill="auto"/>
            <w:noWrap/>
            <w:vAlign w:val="center"/>
            <w:hideMark/>
          </w:tcPr>
          <w:p w14:paraId="6385FBA0" w14:textId="77777777" w:rsidR="00C7764C" w:rsidRPr="00C81B1E" w:rsidRDefault="00C7764C" w:rsidP="00C81B1E">
            <w:pPr>
              <w:pStyle w:val="MDPI42tablebody"/>
              <w:rPr>
                <w:rFonts w:eastAsia="Calibri"/>
                <w:lang w:val="en-GB" w:eastAsia="en-US"/>
              </w:rPr>
            </w:pPr>
            <w:r w:rsidRPr="00C81B1E">
              <w:rPr>
                <w:rFonts w:eastAsia="Calibri"/>
                <w:lang w:val="en-GB" w:eastAsia="en-US"/>
              </w:rPr>
              <w:t>T, AD, C, TT</w:t>
            </w:r>
          </w:p>
        </w:tc>
        <w:tc>
          <w:tcPr>
            <w:tcW w:w="5615" w:type="dxa"/>
            <w:shd w:val="clear" w:color="auto" w:fill="auto"/>
            <w:noWrap/>
            <w:vAlign w:val="center"/>
            <w:hideMark/>
          </w:tcPr>
          <w:p w14:paraId="26130BA8"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T: </w:t>
            </w:r>
            <w:r w:rsidRPr="00C81B1E">
              <w:rPr>
                <w:rFonts w:eastAsia="Calibri"/>
                <w:lang w:val="en-GB" w:eastAsia="en-US"/>
              </w:rPr>
              <w:fldChar w:fldCharType="begin" w:fldLock="1"/>
            </w:r>
            <w:r w:rsidRPr="00C81B1E">
              <w:rPr>
                <w:rFonts w:eastAsia="Calibri"/>
                <w:lang w:val="en-GB" w:eastAsia="en-US"/>
              </w:rPr>
              <w:instrText>ADDIN CSL_CITATION {"citationItems":[{"id":"ITEM-1","itemData":{"author":[{"dropping-particle":"","family":"Boer","given":"Eelco","non-dropping-particle":"den","parse-names":false,"suffix":""},{"dropping-particle":"","family":"Brouwer","given":"Femke","non-dropping-particle":"","parse-names":false,"suffix":""},{"dropping-particle":"","family":"Schroten","given":"Arno","non-dropping-particle":"","parse-names":false,"suffix":""},{"dropping-particle":"","family":"Essen","given":"Huib","non-dropping-particle":"van","parse-names":false,"suffix":""}],"container-title":"CE Delft","id":"ITEM-1","issue":"January","issued":{"date-parts":[["2009"]]},"publisher-place":"Delft (The Netherlands)","title":"Are trucks taking their toll? The environmental, safety and congestion impacts of lorries in the EU","type":"report"},"uris":["http://www.mendeley.com/documents/?uuid=0a2a7979-9117-494f-a663-f531463bad76"]}],"mendeley":{"formattedCitation":"(den Boer et al., 2009)","manualFormatting":"den Boer et al. (2009)","plainTextFormattedCitation":"(den Boer et al., 2009)","previouslyFormattedCitation":"(den Boer et al., 2009)"},"properties":{"noteIndex":0},"schema":"https://github.com/citation-style-language/schema/raw/master/csl-citation.json"}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den Boer et al. (2009)</w:t>
            </w:r>
            <w:r w:rsidRPr="00C81B1E">
              <w:rPr>
                <w:rFonts w:eastAsia="Calibri"/>
                <w:lang w:val="en-GB" w:eastAsia="en-US"/>
              </w:rPr>
              <w:fldChar w:fldCharType="end"/>
            </w:r>
            <w:r w:rsidRPr="00C81B1E">
              <w:rPr>
                <w:rFonts w:eastAsia="Calibri"/>
                <w:lang w:val="en-GB" w:eastAsia="en-US"/>
              </w:rPr>
              <w:t xml:space="preserve">, AD: </w:t>
            </w:r>
            <w:r w:rsidRPr="00C81B1E">
              <w:rPr>
                <w:rFonts w:eastAsia="Calibri"/>
                <w:lang w:val="en-GB" w:eastAsia="en-US"/>
              </w:rPr>
              <w:fldChar w:fldCharType="begin" w:fldLock="1"/>
            </w:r>
            <w:r w:rsidRPr="00C81B1E">
              <w:rPr>
                <w:rFonts w:eastAsia="Calibri"/>
                <w:lang w:val="en-GB" w:eastAsia="en-US"/>
              </w:rPr>
              <w:instrText>ADDIN CSL_CITATION {"citationItems":[{"id":"ITEM-1","itemData":{"DOI":"10.1177/0734242X09344876","ISBN":"0734-242X","ISSN":"0734-242X","PMID":"19748957","abstract":"Anaerobic digestion (AD) of source-separated municipal solid waste (MSW) and use of the digestate is presented from a global warming (GW) point of view by providing ranges of greenhouse gas (GHG) emissions that are useful for calculation of global warming factors (GWFs), i.e. the contribution to GW measured in CO(2)-equivalents per tonne of wet waste. The GHG accounting was done by distinguishing between direct contributions at the AD facility and indirect upstream or downstream contributions. GHG accounting for a generic AD facility with either biogas utilization at the facility or upgrading of the gas for vehicle fuel resulted in a GWF from -375 (a saving) to 111 (a load) kg CO(2)-eq. tonne(-1) wet waste. In both cases the digestate was used for fertilizer substitution. This large range was a result of the variation found for a number of key parameters: energy substitution by biogas, N(2)O-emission from digestate in soil, fugitive emission of CH( 4), unburned CH(4), carbon bound in soil and fertilizer substitution. GWF for a specific type of AD facility was in the range -95 to -4 kg CO(2)-eq. tonne(-1) wet waste. The ranges of uncertainty, especially of fugitive losses of CH(4) and carbon sequestration highly influenced the result. In comparison with the few published GWFs for AD, the range of our data was much larger demonstrating the need to use a consistent and robust approach to GHG accounting and simultaneously accept that some key parameters are highly uncertain.","author":[{"dropping-particle":"","family":"Møller","given":"Jacob","non-dropping-particle":"","parse-names":false,"suffix":""},{"dropping-particle":"","family":"Boldrin","given":"Alessio","non-dropping-particle":"","parse-names":false,"suffix":""},{"dropping-particle":"","family":"Christensen","given":"Thomas H.","non-dropping-particle":"","parse-names":false,"suffix":""}],"container-title":"Waste Management &amp; Research","id":"ITEM-1","issue":"8","issued":{"date-parts":[["2009"]]},"page":"813-824","title":"Anaerobic digestion and digestate use: accounting of greenhouse gases and global warming contribution","type":"article-journal","volume":"27"},"uris":["http://www.mendeley.com/documents/?uuid=4ba52093-93e7-4201-999d-940482bfbc5f"]}],"mendeley":{"formattedCitation":"(Møller et al., 2009)","manualFormatting":"Møller et al. (2009)","plainTextFormattedCitation":"(Møller et al., 2009)","previouslyFormattedCitation":"(Møller et al., 2009)"},"properties":{"noteIndex":0},"schema":"https://github.com/citation-style-language/schema/raw/master/csl-citation.json"}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Møller et al. (2009)</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{"citationItems":[{"id":"ITEM-1","itemData":{"DOI":"10.1177/0734242X07088432","ISBN":"0734-242X (Print)","ISSN":"0734-242X","PMID":"18338701","abstract":"In order to carry out life-cycle assessments as a basis for far-reaching decisions about environmentally sustainable waste treatment, it is important that the input data be reliable and sound. A comparison of the potential greenhouse gas (GHG) emissions associated with each solid waste treatment option is essential. This paper addresses GHG emissions from controlled composting processes. Some important methodological prerequisites for proper measurement and data interpretation are described, and a common scale and dimension of emission data are proposed so that data from different studies can be compared. A range of emission factors associated with home composting, open windrow composting, encapsulated composting systems with waste air treatment and mechanical biological waste treatment (MBT) are presented from our own investigations as well as from the literature. The composition of source materials along with process management issues such as aeration, mechanical agitation, moisture control and temperature regime are the most important factors controlling methane (CH4), nitrous oxide (N2O) and ammoniac (NH3) emissions. If ammoniac is not stripped during the initial rotting phase or eliminated by acid scrubber systems, biofiltration of waste air provides only limited GHG mitigation, since additional N2O may be synthesized during the oxidation of NH3, and only a small amount of CH4 degradation occurs in the biofilter. It is estimated that composting contributes very little to national GHG inventories generating only 0.01-0.06% of global emissions. This analysis does not include emissions from preceding or post-treatment activities (such as collection, transport, energy consumption during processing and land spreading), so that for a full emissions account, emissions from these activities would need to be added to an analysis.","author":[{"dropping-particle":"","family":"Amlinger","given":"Florian","non-dropping-particle":"","parse-names":false,"suffix":""},{"dropping-particle":"","family":"Peyr","given":"Stefan","non-dropping-particle":"","parse-names":false,"suffix":""},{"dropping-particle":"","family":"Cuhls","given":"Carsten","non-dropping-particle":"","parse-names":false,"suffix":""}],"container-title":"Waste Management &amp; Research","id":"ITEM-1","issue":"1","issued":{"date-parts":[["2008"]]},"page":"47-60","title":"Green house gas emissions from composting and mechanical biological treatment","type":"article-journal","volume":"26"},"uris":["http://www.mendeley.com/documents/?uuid=b1f428a4-1bb2-437c-aa1e-cf8d2b95545e"]}],"mendeley":{"formattedCitation":"(Amlinger et al., 2008)","manualFormatting":"Amlinger et al. (2008)","plainTextFormattedCitation":"(Amlinger et al., 2008)","previouslyFormattedCitation":"(Amlinger et al., 2008)"},"properties":{"noteIndex":0},"schema":"https://github.com/citation-style-language/schema/raw/master/csl-citation.json"}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Amlinger et al. (2008)</w:t>
            </w:r>
            <w:r w:rsidRPr="00C81B1E">
              <w:rPr>
                <w:rFonts w:eastAsia="Calibri"/>
                <w:lang w:val="en-GB" w:eastAsia="en-US"/>
              </w:rPr>
              <w:fldChar w:fldCharType="end"/>
            </w:r>
            <w:r w:rsidRPr="00C81B1E">
              <w:rPr>
                <w:rFonts w:eastAsia="Calibri"/>
                <w:lang w:val="en-GB" w:eastAsia="en-US"/>
              </w:rPr>
              <w:t xml:space="preserve">, TT: </w:t>
            </w:r>
            <w:r w:rsidRPr="00C81B1E">
              <w:rPr>
                <w:rFonts w:eastAsia="Calibri"/>
                <w:lang w:val="en-GB" w:eastAsia="en-US"/>
              </w:rPr>
              <w:fldChar w:fldCharType="begin" w:fldLock="1"/>
            </w:r>
            <w:r w:rsidRPr="00C81B1E">
              <w:rPr>
                <w:rFonts w:eastAsia="Calibri"/>
                <w:lang w:val="en-GB" w:eastAsia="en-US"/>
              </w:rPr>
              <w:instrText>ADDIN CSL_CITATION {"citationItems":[{"id":"ITEM-1","itemData":{"abstract":"This project deals with combustion installations with a rated thermal\\ninput exceeding 50 MW. Plants with a thermal input lower than 50\\nMW are, however, discussed where technically relevant because smaller\\nunits can potentially be added to a plant to build one larger installation\\nexceeding 50 MW. All kinds of conventional power plants (e.g. utility\\nboiler plants, combined heat and power plants, district heating plants)\\nused for mechanical power and heat generation are covered in this\\nwork. Industrial combustion installations are covered if they use\\nconventional fuel. The commercial availability of the fuel on the\\nmarket has been used as an indicator to identify conventional fuels.\\nThe criterion for classifying a fuel as a 'conventional fuel' is\\na known composition which remains relatively constant, and indeed\\nis usually standardised. Coal, lignite, biomass, peat, liquid and\\ngaseous fuels (including hydrogen and biogas) are regarded as conventional\\nfuels. The use of waste as a secondary fuel is also covered in this\\nwork.","author":[{"dropping-particle":"","family":"European Commission","given":"","non-dropping-particle":"","parse-names":false,"suffix":""}],"container-title":"Integrated Pollution Prevention Control","id":"ITEM-1","issue":"August","issued":{"date-parts":[["2006"]]},"title":"Reference Document on the Best Available Techniques for Waste Incineration","type":"article-journal"},"uris":["http://www.mendeley.com/documents/?uuid=cafb8d98-221f-4574-9995-e04c7a48fca0"]}],"mendeley":{"formattedCitation":"(European Commission, 2006a)","manualFormatting":"European Commission (2006c)","plainTextFormattedCitation":"(European Commission, 2006a)","previouslyFormattedCitation":"(European Commission, 2006a)"},"properties":{"noteIndex":0},"schema":"https://github.com/citation-style-language/schema/raw/master/csl-citation.json"}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European Commission (2006c)</w:t>
            </w:r>
            <w:r w:rsidRPr="00C81B1E">
              <w:rPr>
                <w:rFonts w:eastAsia="Calibri"/>
                <w:lang w:val="en-GB" w:eastAsia="en-US"/>
              </w:rPr>
              <w:fldChar w:fldCharType="end"/>
            </w:r>
          </w:p>
        </w:tc>
      </w:tr>
      <w:tr w:rsidR="00C81B1E" w:rsidRPr="00AF527D" w14:paraId="79D3F427" w14:textId="77777777" w:rsidTr="00C81B1E">
        <w:trPr>
          <w:trHeight w:val="285"/>
        </w:trPr>
        <w:tc>
          <w:tcPr>
            <w:tcW w:w="1560" w:type="dxa"/>
            <w:tcBorders>
              <w:top w:val="single" w:sz="4" w:space="0" w:color="7F7F7F"/>
              <w:bottom w:val="single" w:sz="4" w:space="0" w:color="7F7F7F"/>
            </w:tcBorders>
            <w:shd w:val="clear" w:color="auto" w:fill="auto"/>
            <w:noWrap/>
            <w:vAlign w:val="center"/>
            <w:hideMark/>
          </w:tcPr>
          <w:p w14:paraId="45233720"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NOx</w:t>
            </w:r>
          </w:p>
        </w:tc>
        <w:tc>
          <w:tcPr>
            <w:tcW w:w="992" w:type="dxa"/>
            <w:tcBorders>
              <w:top w:val="single" w:sz="4" w:space="0" w:color="7F7F7F"/>
              <w:bottom w:val="single" w:sz="4" w:space="0" w:color="7F7F7F"/>
            </w:tcBorders>
            <w:shd w:val="clear" w:color="auto" w:fill="auto"/>
            <w:noWrap/>
            <w:vAlign w:val="center"/>
            <w:hideMark/>
          </w:tcPr>
          <w:p w14:paraId="730699F1" w14:textId="77777777" w:rsidR="00C7764C" w:rsidRPr="00C81B1E" w:rsidRDefault="00C7764C" w:rsidP="00C81B1E">
            <w:pPr>
              <w:pStyle w:val="MDPI42tablebody"/>
              <w:rPr>
                <w:rFonts w:eastAsia="Calibri"/>
                <w:lang w:val="en-GB" w:eastAsia="en-US"/>
              </w:rPr>
            </w:pPr>
            <w:r w:rsidRPr="00C81B1E">
              <w:rPr>
                <w:rFonts w:eastAsia="Calibri"/>
                <w:lang w:val="en-GB" w:eastAsia="en-US"/>
              </w:rPr>
              <w:t>mg/m</w:t>
            </w:r>
            <w:r w:rsidRPr="00C81B1E">
              <w:rPr>
                <w:rFonts w:eastAsia="Calibri"/>
                <w:vertAlign w:val="superscript"/>
                <w:lang w:val="en-GB" w:eastAsia="en-US"/>
              </w:rPr>
              <w:t>3</w:t>
            </w:r>
          </w:p>
        </w:tc>
        <w:tc>
          <w:tcPr>
            <w:tcW w:w="899" w:type="dxa"/>
            <w:tcBorders>
              <w:top w:val="single" w:sz="4" w:space="0" w:color="7F7F7F"/>
              <w:bottom w:val="single" w:sz="4" w:space="0" w:color="7F7F7F"/>
            </w:tcBorders>
            <w:shd w:val="clear" w:color="auto" w:fill="auto"/>
            <w:noWrap/>
            <w:vAlign w:val="center"/>
            <w:hideMark/>
          </w:tcPr>
          <w:p w14:paraId="5F4CB227" w14:textId="77777777" w:rsidR="00C7764C" w:rsidRPr="00C81B1E" w:rsidRDefault="00C7764C" w:rsidP="00C81B1E">
            <w:pPr>
              <w:pStyle w:val="MDPI42tablebody"/>
              <w:rPr>
                <w:rFonts w:eastAsia="Calibri"/>
                <w:lang w:val="en-GB" w:eastAsia="en-US"/>
              </w:rPr>
            </w:pPr>
            <w:r w:rsidRPr="00C81B1E">
              <w:rPr>
                <w:rFonts w:eastAsia="Calibri"/>
                <w:lang w:val="en-GB" w:eastAsia="en-US"/>
              </w:rPr>
              <w:t>T, AD, C, TT</w:t>
            </w:r>
          </w:p>
        </w:tc>
        <w:tc>
          <w:tcPr>
            <w:tcW w:w="5615" w:type="dxa"/>
            <w:tcBorders>
              <w:top w:val="single" w:sz="4" w:space="0" w:color="7F7F7F"/>
              <w:bottom w:val="single" w:sz="4" w:space="0" w:color="7F7F7F"/>
            </w:tcBorders>
            <w:shd w:val="clear" w:color="auto" w:fill="auto"/>
            <w:noWrap/>
            <w:vAlign w:val="center"/>
            <w:hideMark/>
          </w:tcPr>
          <w:p w14:paraId="1C5B68E6" w14:textId="77777777" w:rsidR="00C7764C" w:rsidRPr="00C81B1E" w:rsidRDefault="00C7764C" w:rsidP="00C81B1E">
            <w:pPr>
              <w:pStyle w:val="MDPI42tablebody"/>
              <w:rPr>
                <w:rFonts w:eastAsia="Calibri"/>
                <w:lang w:val="es-ES" w:eastAsia="en-US"/>
              </w:rPr>
            </w:pPr>
            <w:r w:rsidRPr="00C81B1E">
              <w:rPr>
                <w:rFonts w:eastAsia="Calibri"/>
                <w:lang w:val="en-GB" w:eastAsia="en-US"/>
              </w:rPr>
              <w:t xml:space="preserve">T: </w:t>
            </w:r>
            <w:r w:rsidRPr="00C81B1E">
              <w:rPr>
                <w:rFonts w:eastAsia="Calibri"/>
                <w:lang w:val="en-GB" w:eastAsia="en-US"/>
              </w:rPr>
              <w:fldChar w:fldCharType="begin" w:fldLock="1"/>
            </w:r>
            <w:r w:rsidRPr="00C81B1E">
              <w:rPr>
                <w:rFonts w:eastAsia="Calibri"/>
                <w:lang w:val="en-GB" w:eastAsia="en-US"/>
              </w:rPr>
              <w:instrText>ADDIN CSL_CITATION {"citationItems":[{"id":"ITEM-1","itemData":{"author":[{"dropping-particle":"","family":"Boer","given":"Eelco","non-dropping-particle":"den","parse-names":false,"suffix":""},{"dropping-particle":"","family":"Brouwer","given":"Femke","non-dropping-particle":"","parse-names":false,"suffix":""},{"dropping-particle":"","family":"Schroten","given":"Arno","non-dropping-particle":"","parse-names":false,"suffix":""},{"dropping-particle":"","family":"Essen","given":"Huib","non-dropping-particle":"van","parse-names":false,"suffix":""}],"container-title":"CE Delft","id":"ITEM-1","issue":"January","issued":{"date-parts":[["2009"]]},"publisher-place":"Delft (The Netherlands)","title":"Are trucks taking their toll? The environmental, safety and congestion impacts of lorries in the EU","type":"report"},"uris":["http://www.mendeley.com/documents/?uuid=0a2a7979-9117-494f-a663-f531463bad76"]}],"mendeley":{"formattedCitation":"(den Boer et al., 2009)","manualFormatting":"den Boer et al. (2009)","plainTextFormattedCitation":"(den Boer et al., 2009)","previouslyFormattedCitation":"(den Boer et al., 2009)"},"properties":{"noteIndex":0},"schema":"https://github.com/citation-style-language/schema/raw/master/csl-citation.json"}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den Boer et al. (2009)</w:t>
            </w:r>
            <w:r w:rsidRPr="00C81B1E">
              <w:rPr>
                <w:rFonts w:eastAsia="Calibri"/>
                <w:lang w:val="en-GB" w:eastAsia="en-US"/>
              </w:rPr>
              <w:fldChar w:fldCharType="end"/>
            </w:r>
            <w:r w:rsidRPr="00C81B1E">
              <w:rPr>
                <w:rFonts w:eastAsia="Calibri"/>
                <w:lang w:val="en-GB" w:eastAsia="en-US"/>
              </w:rPr>
              <w:t xml:space="preserve">, AD: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{"citationItems":[{"id":"ITEM-1","itemData":{"DOI":"10.1016/j.scitotenv.2016.03.236","ISSN":"18791026","PMID":"27101461","abstract":"Anaerobic digestion (AD) is expanding rapidly in the UK. Previous life cycle assessment (LCA) studies have highlighted the sensitivity of environmental outcomes to feedstock type, fugitive emissions, biomethane use, energy conversion efficiency and digestate management. We combined statistics on current and planned AD deployment with operational data from a survey of biogas plant operators to evaluate the environmental balance of the UK biogas sector for the years 2014 and 2017. Consequential LCA was applied to account for all major environmental credits and burdens incurred, including: (i) substitution of composting, incineration, sewer disposal, field decomposition and animal feeding of wastes; (ii) indirect land use change (ILUC) incurred by the cultivation of crops used for biogas production and to compensate for bakery and brewery wastes diverted from animal feed. In 2014, the UK biogas sector reduced greenhouse gas (GHG) emissions by 551-755 Gg CO2e excluding ILUC, or 238-755 Gg CO2e including ILUC uncertainty. Fossil energy depletion was reduced by 8.9-10.8 PJe, but eutrophication and acidification burdens were increased by 1.8-3.4 Gg PO4e and 8.1-14.6 Gg SO2e, respectively. Food waste and manure feedstocks dominate GHG abatement, largely through substitution of in-vessel composting and manure storage, whilst food waste and crop feedstocks dominate fossil energy credit, primarily through substitution of natural gas power generation. Biogas expansion is projected to increase environmental credits and loadings by a factor of 2.4 by 2017. If all AD bioelectricity replaced coal generation, or if 90% of biomethane replace</w:instrText>
            </w:r>
            <w:r w:rsidRPr="00C81B1E">
              <w:rPr>
                <w:rFonts w:eastAsia="Calibri"/>
                <w:lang w:val="es-ES" w:eastAsia="en-US"/>
              </w:rPr>
              <w:instrText>d transport diesel or grid natural gas, GHG abatement would increase by 131%, 38% and 20%, respectively. Policies to encourage digestion of food waste and manures could maximize GHG abatement, avoiding the risk of carbon leakage associated with use of crops and wastes otherwise used to feed livestock. Covering digestate stores could largely mitigate net eutrophication and acidification burdens.","author":[{"dropping-particle":"","family":"Styles","given":"David","non-dropping-particle":"","parse-names":false,"suffix":""},{"dropping-particle":"","family":"Dominguez","given":"Eduardo Mesa","non-dropping-particle":"","parse-names":false,"suffix":""},{"dropping-particle":"","family":"Chadwick","given":"Dave","non-dropping-particle":"","parse-names":false,"suffix":""}],"container-title":"Science of the Total Environment","id":"ITEM-1","issued":{"date-parts":[["2016"]]},"page":"241-253","publisher":"Elsevier B.V.","title":"Environmental balance of the of the UK biogas sector: An evaluation by consequential life cycle assessment","type":"article-journal","volume":"560-561"},"uris":["http://www.mendeley.com/documents/?uuid=eb2d83a2-c1b2-4004-9aa1-54e3aa1bd22a"]}],"mendeley":{"formattedCitation":"(Styles et al., 2016)","manualFormatting":"Styles et al. (2016)","plainTextFormattedCitation":"(Styles et al., 2016)","previouslyFormattedCitation":"(Styles et al., 2016)"},"properties":{"noteIndex":0},"schema":"https://github.com/citation-style-language/schema/raw/master/csl-citation.json"}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s-ES" w:eastAsia="en-US"/>
              </w:rPr>
              <w:t>Styles et al. (2016)</w:t>
            </w:r>
            <w:r w:rsidRPr="00C81B1E">
              <w:rPr>
                <w:rFonts w:eastAsia="Calibri"/>
                <w:lang w:val="en-GB" w:eastAsia="en-US"/>
              </w:rPr>
              <w:fldChar w:fldCharType="end"/>
            </w:r>
            <w:r w:rsidRPr="00C81B1E">
              <w:rPr>
                <w:rFonts w:eastAsia="Calibri"/>
                <w:lang w:val="es-ES" w:eastAsia="en-US"/>
              </w:rPr>
              <w:t xml:space="preserve">, C: </w:t>
            </w:r>
            <w:r w:rsidRPr="00C81B1E">
              <w:rPr>
                <w:rFonts w:eastAsia="Calibri"/>
                <w:lang w:val="en-GB" w:eastAsia="en-US"/>
              </w:rPr>
              <w:fldChar w:fldCharType="begin" w:fldLock="1"/>
            </w:r>
            <w:r w:rsidRPr="00C81B1E">
              <w:rPr>
                <w:rFonts w:eastAsia="Calibri"/>
                <w:lang w:val="es-ES" w:eastAsia="en-US"/>
              </w:rPr>
              <w:instrText>ADDIN CSL_CITATION {"citationItems":[{"id":"ITEM-1","itemData":{"DOI":"10.1023/B:WATE.0000019932.04020.b6","ISBN":"0049-6979","ISSN":"00496979","abstract":"Because of its agronomic benefits, farm-scale composting is an efficient means of recycling agricultural waste. Composting process is an aerobic degradation of fresh organic matter in mature compost. Nevertheless, according to the literature, composting may induce some environmental problems. The environmental impacts of composting will be described, along with an assessment of farm-scale composting practices which play a major role in pollution. The main environmental components potentially affected by composting pollution are air and water. Various gases released by composting, such as NH3, CH4 and N2O, can impact air quality and are therefore studied because they all have environmental impacts and can be controlled by composting management. The effect on water quality can be evaluated by considering loss of NO3-, NH4+, organic compounds and PO43-. Technical evaluation criteria for the impact of farm-scale composting on the air are determined from the physical and chemical characteristics of the raw materials, the use of additives, the turning method and frequency and the duration of the composting operations. Regarding water, the weather conditions at the beginning of the composting operation, the location of the heap, the protection against rain, the water addition during the process, the use of covers and the recovery of leaching and runoff water are also taken into account. The two main practices which control the air and water pollution from composting are: the choice of the raw material which influences gas emissions and the choice of composting location which have an high effect on losses by leaching and runoff. © 2004 Kluwer Academic Publishers.","author":[{"dropping-particle":"","family":"Peigne","given":"Josephine","non-dropping-particle":"","parse-names":false,"suffix":""},{"dropping-particle":"","family":"Girardin","given":"Philippe","non-dropping-particle":"","parse-names":false,"suffix":""}],"container-title":"Water, Air, and Soil Pollution","id":"ITEM-1","issued":{"date-parts":[["2004"]]},"page":"45-68","title":"Environmental impacts of farm-scale composting practices","type":"article-journal","volume":"153"},"uris":["http://www.mendeley.com/documents/?uuid=1cac405a-2c5f-4ec5-905c-fffa125841e9"]}],"mendeley":{"formattedCitation":"(Peigne and Girardin, 2004)","manualFormatting":"Peigne &amp; Girardin (2004)","plainTextFormattedCitation":"(Peigne and Girardin, 2004)","previouslyFormattedCitation":"(Peigne and Girardin, 2004)"},"properties":{"noteIndex":0},"schema":"https://github.com/citation-style-language/schema/raw/master/csl-citation.json"}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s-ES" w:eastAsia="en-US"/>
              </w:rPr>
              <w:t>Peigne &amp; Girardin (2004)</w:t>
            </w:r>
            <w:r w:rsidRPr="00C81B1E">
              <w:rPr>
                <w:rFonts w:eastAsia="Calibri"/>
                <w:lang w:val="en-GB" w:eastAsia="en-US"/>
              </w:rPr>
              <w:fldChar w:fldCharType="end"/>
            </w:r>
            <w:r w:rsidRPr="00C81B1E">
              <w:rPr>
                <w:rFonts w:eastAsia="Calibri"/>
                <w:lang w:val="es-ES" w:eastAsia="en-US"/>
              </w:rPr>
              <w:t xml:space="preserve">, TT: </w:t>
            </w:r>
            <w:r w:rsidRPr="00C81B1E">
              <w:rPr>
                <w:rFonts w:eastAsia="Calibri"/>
                <w:lang w:val="en-GB" w:eastAsia="en-US"/>
              </w:rPr>
              <w:fldChar w:fldCharType="begin" w:fldLock="1"/>
            </w:r>
            <w:r w:rsidRPr="00C81B1E">
              <w:rPr>
                <w:rFonts w:eastAsia="Calibri"/>
                <w:lang w:val="es-ES" w:eastAsia="en-US"/>
              </w:rPr>
              <w:instrText>ADDIN CSL_CITATION {"citationItems":[{"id":"ITEM-1","itemData":{"abstract":"This project deals with combustion installations with a rated thermal\\ninput exceeding 50 MW. Plants with a thermal input lower than 50\\nMW are, however, discussed where technically relevant because smaller\\nunits can potentially be added to a plant to build one larger installation\\nexceeding 50 MW. All kinds of conventional power plants (e.g. utility\\nboiler plants, combined heat and power plants, district heating plants)\\nused for mechanical power and heat generation are covered in this\\nwork. Industrial combustion installations are covered if they use\\nconventional fuel. The commercial availability of the fuel on the\\nmarket has been used as an indicator to identify conventional fuels.\\nThe criterion for classifying a fuel as a 'conventional fuel' is\\na known composition which remains relatively constant, and indeed\\nis usually standardised. Coal, lignite, biomass, peat, liquid and\\ngaseous fuels (including hydrogen and biogas) are regarded as conventional\\nfuels. The use of waste as a secondary fuel is also covered in this\\nwork.","author":[{"dropping-particle":"","family":"European Commission","given":"","non-dropping-particle":"","parse-names":false,"suffix":""}],"container-title":"Integrated Pollution Prevention Control","id":"ITEM-1","issue":"August","issued":{"date-parts":[["2006"]]},"title":"Reference Document on the Best Available Techniques for Waste Incineration","type":"article-journal"},"uris":["http://www.mendeley.com/documents/?uuid=cafb8d98-221f-4574-9995-e04c7a48fca0"]}],"mendeley":{"formattedCitation":"(European Commission, 2006a)","manualFormatting":"European Commission (2006c)","plainTextFormattedCitation":"(European Commission, 2006a)","previouslyFormattedCitation":"(European Commission, 2006a)"},"properties":{"noteIndex":0},"schema":"https://github.com/citation-style-language/schema/raw/master/csl-citation.json"}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s-ES" w:eastAsia="en-US"/>
              </w:rPr>
              <w:t>European Commission (2006c)</w:t>
            </w:r>
            <w:r w:rsidRPr="00C81B1E">
              <w:rPr>
                <w:rFonts w:eastAsia="Calibri"/>
                <w:lang w:val="en-GB" w:eastAsia="en-US"/>
              </w:rPr>
              <w:fldChar w:fldCharType="end"/>
            </w:r>
          </w:p>
        </w:tc>
      </w:tr>
      <w:tr w:rsidR="00C81B1E" w:rsidRPr="00C81B1E" w14:paraId="45C80F36" w14:textId="77777777" w:rsidTr="00C81B1E">
        <w:trPr>
          <w:trHeight w:val="285"/>
        </w:trPr>
        <w:tc>
          <w:tcPr>
            <w:tcW w:w="1560" w:type="dxa"/>
            <w:shd w:val="clear" w:color="auto" w:fill="auto"/>
            <w:noWrap/>
            <w:vAlign w:val="center"/>
            <w:hideMark/>
          </w:tcPr>
          <w:p w14:paraId="534A69A3"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Non-methane volatile organic compounds (NMVOC)</w:t>
            </w:r>
          </w:p>
        </w:tc>
        <w:tc>
          <w:tcPr>
            <w:tcW w:w="992" w:type="dxa"/>
            <w:shd w:val="clear" w:color="auto" w:fill="auto"/>
            <w:noWrap/>
            <w:vAlign w:val="center"/>
            <w:hideMark/>
          </w:tcPr>
          <w:p w14:paraId="68C37A96" w14:textId="77777777" w:rsidR="00C7764C" w:rsidRPr="00C81B1E" w:rsidRDefault="00C7764C" w:rsidP="00C81B1E">
            <w:pPr>
              <w:pStyle w:val="MDPI42tablebody"/>
              <w:rPr>
                <w:rFonts w:eastAsia="Calibri"/>
                <w:lang w:val="en-GB" w:eastAsia="en-US"/>
              </w:rPr>
            </w:pPr>
            <w:r w:rsidRPr="00C81B1E">
              <w:rPr>
                <w:rFonts w:eastAsia="Calibri"/>
                <w:lang w:val="en-GB" w:eastAsia="en-US"/>
              </w:rPr>
              <w:t>mg/m</w:t>
            </w:r>
            <w:r w:rsidRPr="00C81B1E">
              <w:rPr>
                <w:rFonts w:eastAsia="Calibri"/>
                <w:vertAlign w:val="superscript"/>
                <w:lang w:val="en-GB" w:eastAsia="en-US"/>
              </w:rPr>
              <w:t>3</w:t>
            </w:r>
          </w:p>
        </w:tc>
        <w:tc>
          <w:tcPr>
            <w:tcW w:w="899" w:type="dxa"/>
            <w:shd w:val="clear" w:color="auto" w:fill="auto"/>
            <w:noWrap/>
            <w:vAlign w:val="center"/>
            <w:hideMark/>
          </w:tcPr>
          <w:p w14:paraId="2E42CDAC" w14:textId="77777777" w:rsidR="00C7764C" w:rsidRPr="00C81B1E" w:rsidRDefault="00C7764C" w:rsidP="00C81B1E">
            <w:pPr>
              <w:pStyle w:val="MDPI42tablebody"/>
              <w:rPr>
                <w:rFonts w:eastAsia="Calibri"/>
                <w:lang w:val="en-GB" w:eastAsia="en-US"/>
              </w:rPr>
            </w:pPr>
            <w:r w:rsidRPr="00C81B1E">
              <w:rPr>
                <w:rFonts w:eastAsia="Calibri"/>
                <w:lang w:val="en-GB" w:eastAsia="en-US"/>
              </w:rPr>
              <w:t>T, AD, C, TT</w:t>
            </w:r>
          </w:p>
        </w:tc>
        <w:tc>
          <w:tcPr>
            <w:tcW w:w="5615" w:type="dxa"/>
            <w:shd w:val="clear" w:color="auto" w:fill="auto"/>
            <w:noWrap/>
            <w:vAlign w:val="center"/>
            <w:hideMark/>
          </w:tcPr>
          <w:p w14:paraId="53D8F8A7"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T: </w:t>
            </w:r>
            <w:r w:rsidRPr="00C81B1E">
              <w:rPr>
                <w:rFonts w:eastAsia="Calibri"/>
                <w:lang w:val="en-GB" w:eastAsia="en-US"/>
              </w:rPr>
              <w:fldChar w:fldCharType="begin" w:fldLock="1"/>
            </w:r>
            <w:r w:rsidRPr="00C81B1E">
              <w:rPr>
                <w:rFonts w:eastAsia="Calibri"/>
                <w:lang w:val="en-GB" w:eastAsia="en-US"/>
              </w:rPr>
              <w:instrText>ADDIN CSL_CITATION {"citationItems":[{"id":"ITEM-1","itemData":{"URL":"http://www.environmental-protection.org.uk/policy-areas/air-quality/about-air-pollution/air-pollution-sources/","accessed":{"date-parts":[["2016","6","1"]]},"author":[{"dropping-particle":"","family":"Environmental Protection UK","given":"","non-dropping-particle":"","parse-names":false,"suffix":""}],"id":"ITEM-1","issued":{"date-parts":[["0"]]},"title":"Air pollution sources","type":"webpage"},"uris":["http://www.mendeley.com/documents/?uuid=e90cf99f-dd0e-490f-a8b3-dd322c8eed53"]}],"mendeley":{"formattedCitation":"(Environmental Protection UK, n.d.)","manualFormatting":"Environmental Protection UK (n.d.)","plainTextFormattedCitation":"(Environmental Protection UK, n.d.)","previouslyFormattedCitation":"(Environmental Protection UK, n.d.)"},"properties":{"noteIndex":0},"schema":"https://github.com/citation-style-language/schema/raw/master/csl-citation.json"}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Environmental Protection UK (n.d.)</w:t>
            </w:r>
            <w:r w:rsidRPr="00C81B1E">
              <w:rPr>
                <w:rFonts w:eastAsia="Calibri"/>
                <w:lang w:val="en-GB" w:eastAsia="en-US"/>
              </w:rPr>
              <w:fldChar w:fldCharType="end"/>
            </w:r>
            <w:r w:rsidRPr="00C81B1E">
              <w:rPr>
                <w:rFonts w:eastAsia="Calibri"/>
                <w:lang w:val="en-GB" w:eastAsia="en-US"/>
              </w:rPr>
              <w:t xml:space="preserve">, AD: </w:t>
            </w:r>
            <w:r w:rsidRPr="00C81B1E">
              <w:rPr>
                <w:rFonts w:eastAsia="Calibri"/>
                <w:lang w:val="en-GB" w:eastAsia="en-US"/>
              </w:rPr>
              <w:fldChar w:fldCharType="begin" w:fldLock="1"/>
            </w:r>
            <w:r w:rsidRPr="00C81B1E">
              <w:rPr>
                <w:rFonts w:eastAsia="Calibri"/>
                <w:lang w:val="en-GB" w:eastAsia="en-US"/>
              </w:rPr>
              <w:instrText>ADDIN CSL_CITATION {"citationItems":[{"id":"ITEM-1","itemData":{"ISBN":"0-471-20693-8","ISSN":"03043894","PMID":"15003161","abstract":"Anaerobic digestion is a biochemical degradation process that converts complex organic material, such as animal manure, into methane and other byproducts. Part of the author's Wastewater Microbiology series, Microbiology of Anareboic Digesters eschews technical jargon to deliver a practical, how-to guide for wastewater plant operators.","author":[{"dropping-particle":"","family":"Gerardi","given":"Michael H","non-dropping-particle":"","parse-names":false,"suffix":""}],"container-title":"Vasa","editor":[{"dropping-particle":"","family":"Gerardi","given":"Michael H","non-dropping-particle":"","parse-names":false,"suffix":""}],"id":"ITEM-1","issued":{"date-parts":[["2003"]]},"publisher":"John Wiley &amp; Sons, Inc.","publisher-place":"Hoboken, New Jersey, USA","title":"The Microbiology of Anaerobic Digesters","type":"book"},"uris":["http://www.mendeley.com/documents/?uuid=81a342ae-60fa-49a2-8b1d-3ae0fb3055c3"]}],"mendeley":{"formattedCitation":"(Gerardi, 2003)","manualFormatting":"Gerardi (2003)","plainTextFormattedCitation":"(Gerardi, 2003)","previouslyFormattedCitation":"(Gerardi, 2003)"},"properties":{"noteIndex":0},"schema":"https://github.com/citation-style-language/schema/raw/master/csl-citation.json"}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Gerardi (2003)</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{"citationItems":[{"id":"ITEM-1","itemData":{"DOI":"10.1177/0734242X07088432","ISBN":"0734-242X (Print)","ISSN":"0734-242X","PMID":"18338701","abstract":"In order to carry out life-cycle assessments as a basis for far-reaching decisions about environmentally sustainable waste treatment, it is important that the input data be reliable and sound. A comparison of the potential greenhouse gas (GHG) emissions associated with each solid waste treatment option is essential. This paper addresses GHG emissions from controlled composting processes. Some important methodological prerequisites for proper measurement and data interpretation are described, and a common scale and dimension of emission data are proposed so that data from different studies can be compared. A range of emission factors associated with home composting, open windrow composting, encapsulated composting systems with waste air treatment and mechanical biological waste treatment (MBT) are presented from our own investigations as well as from the literature. The composition of source materials along with process management issues such as aeration, mechanical agitation, moisture control and temperature regime are the most important factors controlling methane (CH4), nitrous oxide (N2O) and ammoniac (NH3) emissions. If ammoniac is not stripped during the initial rotting phase or eliminated by acid scrubber systems, biofiltration of waste air provides only limited GHG mitigation, since additional N2O may be synthesized during the oxidation of NH3, and only a small amount of CH4 degradation occurs in the biofilter. It is estimated that composting contributes very little to national GHG inventories generating only 0.01-0.06% of global emissions. This analysis does not include emissions from preceding or post-treatment activities (such as collection, transport, energy consumption during processing and land spreading), so that for a full emissions account, emissions from these activities would need to be added to an analysis.","author":[{"dropping-particle":"","family":"Amlinger","given":"Florian","non-dropping-particle":"","parse-names":false,"suffix":""},{"dropping-particle":"","family":"Peyr","given":"Stefan","non-dropping-particle":"","parse-names":false,"suffix":""},{"dropping-particle":"","family":"Cuhls","given":"Carsten","non-dropping-particle":"","parse-names":false,"suffix":""}],"container-title":"Waste Management &amp; Research","id":"ITEM-1","issue":"1","issued":{"date-parts":[["2008"]]},"page":"47-60","title":"Green house gas emissions from composting and mechanical biological treatment","type":"article-journal","volume":"26"},"uris":["http://www.mendeley.com/documents/?uuid=b1f428a4-1bb2-437c-aa1e-cf8d2b95545e"]}],"mendeley":{"formattedCitation":"(Amlinger et al., 2008)","manualFormatting":"Amlinger et al. (2008)","plainTextFormattedCitation":"(Amlinger et al., 2008)","previouslyFormattedCitation":"(Amlinger et al., 2008)"},"properties":{"noteIndex":0},"schema":"https://github.com/citation-style-language/schema/raw/master/csl-citation.json"}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Amlinger et al. (2008)</w:t>
            </w:r>
            <w:r w:rsidRPr="00C81B1E">
              <w:rPr>
                <w:rFonts w:eastAsia="Calibri"/>
                <w:lang w:val="en-GB" w:eastAsia="en-US"/>
              </w:rPr>
              <w:fldChar w:fldCharType="end"/>
            </w:r>
            <w:r w:rsidRPr="00C81B1E">
              <w:rPr>
                <w:rFonts w:eastAsia="Calibri"/>
                <w:lang w:val="en-GB" w:eastAsia="en-US"/>
              </w:rPr>
              <w:t xml:space="preserve">, TT: </w:t>
            </w:r>
            <w:r w:rsidRPr="00C81B1E">
              <w:rPr>
                <w:rFonts w:eastAsia="Calibri"/>
                <w:lang w:val="en-GB" w:eastAsia="en-US"/>
              </w:rPr>
              <w:fldChar w:fldCharType="begin" w:fldLock="1"/>
            </w:r>
            <w:r w:rsidRPr="00C81B1E">
              <w:rPr>
                <w:rFonts w:eastAsia="Calibri"/>
                <w:lang w:val="en-GB" w:eastAsia="en-US"/>
              </w:rPr>
              <w:instrText>ADDIN CSL_CITATION {"citationItems":[{"id":"ITEM-1","itemData":{"abstract":"This project deals with combustion installations with a rated thermal\\ninput exceeding 50 MW. Plants with a thermal input lower than 50\\nMW are, however, discussed where technically relevant because smaller\\nunits can potentially be added to a plant to build one larger installation\\nexceeding 50 MW. All kinds of conventional power plants (e.g. utility\\nboiler plants, combined heat and power plants, district heating plants)\\nused for mechanical power and heat generation are covered in this\\nwork. Industrial combustion installations are covered if they use\\nconventional fuel. The commercial availability of the fuel on the\\nmarket has been used as an indicator to identify conventional fuels.\\nThe criterion for classifying a fuel as a 'conventional fuel' is\\na known composition which remains relatively constant, and indeed\\nis usually standardised. Coal, lignite, biomass, peat, liquid and\\ngaseous fuels (including hydrogen and biogas) are regarded as conventional\\nfuels. The use of waste as a secondary fuel is also covered in this\\nwork.","author":[{"dropping-particle":"","family":"European Commission","given":"","non-dropping-particle":"","parse-names":false,"suffix":""}],"container-title":"Integrated Pollution Prevention Control","id":"ITEM-1","issue":"August","issued":{"date-parts":[["2006"]]},"title":"Reference Document on the Best Available Techniques for Waste Incineration","type":"article-journal"},"uris":["http://www.mendeley.com/documents/?uuid=cafb8d98-221f-4574-9995-e04c7a48fca0"]}],"mendeley":{"formattedCitation":"(European Commission, 2006a)","manualFormatting":"European Commission (2006c)","plainTextFormattedCitation":"(European Commission, 2006a)","previouslyFormattedCitation":"(European Commission, 2006a)"},"properties":{"noteIndex":0},"schema":"https://github.com/citation-style-language/schema/raw/master/csl-citation.json"}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European Commission (2006c)</w:t>
            </w:r>
            <w:r w:rsidRPr="00C81B1E">
              <w:rPr>
                <w:rFonts w:eastAsia="Calibri"/>
                <w:lang w:val="en-GB" w:eastAsia="en-US"/>
              </w:rPr>
              <w:fldChar w:fldCharType="end"/>
            </w:r>
          </w:p>
        </w:tc>
      </w:tr>
      <w:tr w:rsidR="00C81B1E" w:rsidRPr="00C81B1E" w14:paraId="6D61AE01" w14:textId="77777777" w:rsidTr="00C81B1E">
        <w:trPr>
          <w:trHeight w:val="285"/>
        </w:trPr>
        <w:tc>
          <w:tcPr>
            <w:tcW w:w="1560" w:type="dxa"/>
            <w:tcBorders>
              <w:top w:val="single" w:sz="4" w:space="0" w:color="7F7F7F"/>
              <w:bottom w:val="single" w:sz="4" w:space="0" w:color="7F7F7F"/>
            </w:tcBorders>
            <w:shd w:val="clear" w:color="auto" w:fill="auto"/>
            <w:noWrap/>
            <w:vAlign w:val="center"/>
            <w:hideMark/>
          </w:tcPr>
          <w:p w14:paraId="26FC5DB7"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Total organic carbon (TOC)</w:t>
            </w:r>
          </w:p>
        </w:tc>
        <w:tc>
          <w:tcPr>
            <w:tcW w:w="992" w:type="dxa"/>
            <w:tcBorders>
              <w:top w:val="single" w:sz="4" w:space="0" w:color="7F7F7F"/>
              <w:bottom w:val="single" w:sz="4" w:space="0" w:color="7F7F7F"/>
            </w:tcBorders>
            <w:shd w:val="clear" w:color="auto" w:fill="auto"/>
            <w:noWrap/>
            <w:vAlign w:val="center"/>
            <w:hideMark/>
          </w:tcPr>
          <w:p w14:paraId="3AA3F9D1" w14:textId="77777777" w:rsidR="00C7764C" w:rsidRPr="00C81B1E" w:rsidRDefault="00C7764C" w:rsidP="00C81B1E">
            <w:pPr>
              <w:pStyle w:val="MDPI42tablebody"/>
              <w:rPr>
                <w:rFonts w:eastAsia="Calibri"/>
                <w:lang w:val="en-GB" w:eastAsia="en-US"/>
              </w:rPr>
            </w:pPr>
            <w:r w:rsidRPr="00C81B1E">
              <w:rPr>
                <w:rFonts w:eastAsia="Calibri"/>
                <w:lang w:val="en-GB" w:eastAsia="en-US"/>
              </w:rPr>
              <w:t>mg/m</w:t>
            </w:r>
            <w:r w:rsidRPr="00C81B1E">
              <w:rPr>
                <w:rFonts w:eastAsia="Calibri"/>
                <w:vertAlign w:val="superscript"/>
                <w:lang w:val="en-GB" w:eastAsia="en-US"/>
              </w:rPr>
              <w:t>3</w:t>
            </w:r>
          </w:p>
        </w:tc>
        <w:tc>
          <w:tcPr>
            <w:tcW w:w="899" w:type="dxa"/>
            <w:tcBorders>
              <w:top w:val="single" w:sz="4" w:space="0" w:color="7F7F7F"/>
              <w:bottom w:val="single" w:sz="4" w:space="0" w:color="7F7F7F"/>
            </w:tcBorders>
            <w:shd w:val="clear" w:color="auto" w:fill="auto"/>
            <w:noWrap/>
            <w:vAlign w:val="center"/>
            <w:hideMark/>
          </w:tcPr>
          <w:p w14:paraId="3FB39394" w14:textId="77777777" w:rsidR="00C7764C" w:rsidRPr="00C81B1E" w:rsidRDefault="00C7764C" w:rsidP="00C81B1E">
            <w:pPr>
              <w:pStyle w:val="MDPI42tablebody"/>
              <w:rPr>
                <w:rFonts w:eastAsia="Calibri"/>
                <w:lang w:val="en-GB" w:eastAsia="en-US"/>
              </w:rPr>
            </w:pPr>
            <w:r w:rsidRPr="00C81B1E">
              <w:rPr>
                <w:rFonts w:eastAsia="Calibri"/>
                <w:lang w:val="en-GB" w:eastAsia="en-US"/>
              </w:rPr>
              <w:t>T, TT</w:t>
            </w:r>
          </w:p>
        </w:tc>
        <w:tc>
          <w:tcPr>
            <w:tcW w:w="5615" w:type="dxa"/>
            <w:tcBorders>
              <w:top w:val="single" w:sz="4" w:space="0" w:color="7F7F7F"/>
              <w:bottom w:val="single" w:sz="4" w:space="0" w:color="7F7F7F"/>
            </w:tcBorders>
            <w:shd w:val="clear" w:color="auto" w:fill="auto"/>
            <w:noWrap/>
            <w:vAlign w:val="center"/>
            <w:hideMark/>
          </w:tcPr>
          <w:p w14:paraId="673167A2" w14:textId="77777777" w:rsidR="00C7764C" w:rsidRPr="00C81B1E" w:rsidRDefault="00C7764C" w:rsidP="00C81B1E">
            <w:pPr>
              <w:pStyle w:val="MDPI42tablebody"/>
              <w:rPr>
                <w:rFonts w:eastAsia="Calibri"/>
                <w:lang w:val="en-GB" w:eastAsia="en-US"/>
              </w:rPr>
            </w:pPr>
            <w:r w:rsidRPr="00C81B1E">
              <w:rPr>
                <w:rFonts w:eastAsia="Calibri"/>
                <w:lang w:val="es-ES" w:eastAsia="en-US"/>
              </w:rPr>
              <w:t xml:space="preserve">T: </w:t>
            </w:r>
            <w:r w:rsidRPr="00C81B1E">
              <w:rPr>
                <w:rFonts w:eastAsia="Calibri"/>
                <w:lang w:val="en-GB" w:eastAsia="en-US"/>
              </w:rPr>
              <w:fldChar w:fldCharType="begin" w:fldLock="1"/>
            </w:r>
            <w:r w:rsidRPr="00C81B1E">
              <w:rPr>
                <w:rFonts w:eastAsia="Calibri"/>
                <w:lang w:val="es-ES" w:eastAsia="en-US"/>
              </w:rPr>
              <w:instrText>ADDIN CSL_CITATION {"citationItems":[{"id":"ITEM-1","itemData":{"DOI":"10.2166/wst.2015.307","ISSN":"02731223","author":[{"dropping-particle":"","family":"Wada","given":"K.","non-dropping-particle":"","parse-names":false,"suffix":""},{"dropping-particle":"","family":"Takei","given":"N.","non-dropping-particle":"","parse-names":false,"suffix":""},{"dropping-particle":"","family":"Sato","given":"T.","non-dropping-particle":"","parse-names":false,"suffix":""},{"dropping-particle":"","family":"Tsuno","given":"H.","non-dropping-particle":"","parse-names":false,"suffix":""}],"container-title":"Water Science and Technology","id":"ITEM-1","issue":"7","issued":{"date-parts":[["2015"]]},"page":"1234-1242","title":"Sources of organic matter in first flush runoff from urban roadways","type":"article-journal","volume":"72"},"uris":["http://www.mendeley.com/documents/?uuid=bdee2e3d-775a-41c6-a7d9-a8dd2af0d467"]}],"mendeley":{"formattedCitation":"(Wada et al., 2015)","manualFormatting":"Wada et al. (2015)","plainTextFormattedCitation":"(Wada et al., 2015)","previouslyFormattedCitation":"(Wada et al., 2015)"},"properties":{"noteIndex":0},"schema":"https://github.com/citation-style-language/schema/raw/master/csl-citation.json"}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s-ES" w:eastAsia="en-US"/>
              </w:rPr>
              <w:t>Wada et al. (2015)</w:t>
            </w:r>
            <w:r w:rsidRPr="00C81B1E">
              <w:rPr>
                <w:rFonts w:eastAsia="Calibri"/>
                <w:lang w:val="en-GB" w:eastAsia="en-US"/>
              </w:rPr>
              <w:fldChar w:fldCharType="end"/>
            </w:r>
            <w:r w:rsidRPr="00C81B1E">
              <w:rPr>
                <w:rFonts w:eastAsia="Calibri"/>
                <w:lang w:val="es-ES" w:eastAsia="en-US"/>
              </w:rPr>
              <w:t xml:space="preserve">, TT: </w:t>
            </w:r>
            <w:r w:rsidRPr="00C81B1E">
              <w:rPr>
                <w:rFonts w:eastAsia="Calibri"/>
                <w:lang w:val="en-GB" w:eastAsia="en-US"/>
              </w:rPr>
              <w:fldChar w:fldCharType="begin" w:fldLock="1"/>
            </w:r>
            <w:r w:rsidRPr="00C81B1E">
              <w:rPr>
                <w:rFonts w:eastAsia="Calibri"/>
                <w:lang w:val="es-ES" w:eastAsia="en-US"/>
              </w:rPr>
              <w:instrText>ADDIN CSL_CITATION {"citationItems":[{"id":"ITEM-1","itemData":{"abstract":"This project deals with combustion installations with a rated thermal\\ninput exceeding 50 MW. Plants with a thermal input lower than 50\\nMW are, however, discussed where technically relevant because smaller\\nunits can potentially be added to a plant to build one larger installation\\nexceeding 50 MW. All kinds of conventional power plants (e.g. utility\\nboiler plants, combined heat and power plants, district heating plants)\\nused for mechanical power and heat generation are covered in this\\nwork. Industrial combustion installations are covered if they use\\nconventional fuel. The commercial availability of the fuel on the\\nmarket has been used as an indicator to identify conventional fuels.\\nThe criterion for classifying a fuel as a 'conventional fuel' is\\na known composition which remains relatively constant, and indeed\\nis usually standardised. Coal, lignite, biomass, peat, liquid and\\ngaseous fuels (including hydrogen and biogas) are regarded as conventional\\nfuels. The use of waste as a secondary fuel is also covered in this\\nwork.","author":[{"dropping-particle":"","family":"European Commission","given":"","non-dropping-particle":"","parse-names":false,"suffix":""}],"container-title":"Integrated Pollution Prevention Control","id":"ITEM-1","issue":"August","issued":{"date-parts":[["2006"]]},"title":"Reference Document on the Best Available Techniques for Waste Incineration","type":"article-journal"},"uris":["http://www.mendeley.com/documents/?uuid=cafb8d98-221f-4574-9995-e04c7a48fca0"]}],"mendeley":{"formattedCitation":"(European Commission, 2006a)","manualFormatting":"European Commission (2006c)","plainTextFormattedCitation":"(European Commission, 2006a)","previouslyFormattedCitation":"(European Commission, 2006a)"},"properties":{"noteIndex":0},"schema":"https://github.com/citation-style-language/schema/raw/master/csl-citation.json"}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European Commission (2006c)</w:t>
            </w:r>
            <w:r w:rsidRPr="00C81B1E">
              <w:rPr>
                <w:rFonts w:eastAsia="Calibri"/>
                <w:lang w:val="en-GB" w:eastAsia="en-US"/>
              </w:rPr>
              <w:fldChar w:fldCharType="end"/>
            </w:r>
          </w:p>
        </w:tc>
      </w:tr>
      <w:tr w:rsidR="00C81B1E" w:rsidRPr="00C81B1E" w14:paraId="2D81F705" w14:textId="77777777" w:rsidTr="00C81B1E">
        <w:trPr>
          <w:trHeight w:val="315"/>
        </w:trPr>
        <w:tc>
          <w:tcPr>
            <w:tcW w:w="1560" w:type="dxa"/>
            <w:shd w:val="clear" w:color="auto" w:fill="auto"/>
            <w:noWrap/>
            <w:vAlign w:val="center"/>
            <w:hideMark/>
          </w:tcPr>
          <w:p w14:paraId="575D5BBE"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NH</w:t>
            </w:r>
            <w:r w:rsidRPr="00C81B1E">
              <w:rPr>
                <w:rFonts w:eastAsia="Calibri"/>
                <w:b/>
                <w:bCs/>
                <w:vertAlign w:val="subscript"/>
                <w:lang w:val="en-GB" w:eastAsia="en-US"/>
              </w:rPr>
              <w:t>3</w:t>
            </w:r>
          </w:p>
        </w:tc>
        <w:tc>
          <w:tcPr>
            <w:tcW w:w="992" w:type="dxa"/>
            <w:shd w:val="clear" w:color="auto" w:fill="auto"/>
            <w:noWrap/>
            <w:vAlign w:val="center"/>
            <w:hideMark/>
          </w:tcPr>
          <w:p w14:paraId="339559C5" w14:textId="77777777" w:rsidR="00C7764C" w:rsidRPr="00C81B1E" w:rsidRDefault="00C7764C" w:rsidP="00C81B1E">
            <w:pPr>
              <w:pStyle w:val="MDPI42tablebody"/>
              <w:rPr>
                <w:rFonts w:eastAsia="Calibri"/>
                <w:lang w:val="en-GB" w:eastAsia="en-US"/>
              </w:rPr>
            </w:pPr>
            <w:r w:rsidRPr="00C81B1E">
              <w:rPr>
                <w:rFonts w:eastAsia="Calibri"/>
                <w:lang w:val="en-GB" w:eastAsia="en-US"/>
              </w:rPr>
              <w:t>mg/m</w:t>
            </w:r>
            <w:r w:rsidRPr="00C81B1E">
              <w:rPr>
                <w:rFonts w:eastAsia="Calibri"/>
                <w:vertAlign w:val="superscript"/>
                <w:lang w:val="en-GB" w:eastAsia="en-US"/>
              </w:rPr>
              <w:t>3</w:t>
            </w:r>
          </w:p>
        </w:tc>
        <w:tc>
          <w:tcPr>
            <w:tcW w:w="899" w:type="dxa"/>
            <w:shd w:val="clear" w:color="auto" w:fill="auto"/>
            <w:noWrap/>
            <w:vAlign w:val="center"/>
            <w:hideMark/>
          </w:tcPr>
          <w:p w14:paraId="03A1BAEE"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 TT</w:t>
            </w:r>
          </w:p>
        </w:tc>
        <w:tc>
          <w:tcPr>
            <w:tcW w:w="5615" w:type="dxa"/>
            <w:shd w:val="clear" w:color="auto" w:fill="auto"/>
            <w:noWrap/>
            <w:vAlign w:val="center"/>
            <w:hideMark/>
          </w:tcPr>
          <w:p w14:paraId="6E8CE033"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AD: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{"citationItems":[{"id":"ITEM-1","itemData":{"DOI":"10.1016/j.energy.2014.03.103","ISBN":"03605442","ISSN":"03605442","abstract":"Financial incentives in many European countries have led to a surge in anaerobic digestion (AD) installations to produce heat and/or electricity from biogas. This paper presents the life cycle environmental impacts of a system producing biogas from agricultural wastes by AD and co-generating heat and electricity in a combined heat and power (CHP) plant. The results suggest that this can lead to significant reductions in most impacts compared to fossil-fuel alternatives, including the global warming potential (GWP) which can be reduced by up to 50%. However, the acidification and eutrophication potentials are respectively 25 and 12 times higher than for natural gas CHP. The impacts are influenced by the type and source of feedstock, digestate storage and its application on land. Using energy crops such as maize instead of waste reduces the GWP owing to higher biogas yields, but eight out of 11 impacts increase compared to using waste feedstocks. If digestate is not used to displace artificial fertilisers, the majority of impacts are higher than from natural gas CHP. Some other bioenergy options have lower GWP than energy from biogas, including woodchip CHP plants. Implications for policy are discussed based on the results of the study. © 2014 The Authors.","author":[{"dropping-particle":"","family":"Whiting","given":"Andrew","non-dropping-particle":"","parse-names":false,"suffix":""},{"dropping-particle":"","family":"Azapagic","given":"Adisa","non-dropping-particle":"","parse-names":false,"suffix":""}],"container-title":"Energy","id":"ITEM-1","issued":{"date-parts":[["2014"]]},"page":"181-193","publisher":"Elsevier Ltd","title":"Life cycle environmental impacts of generating electricity and heat from biogas produced by anaerobic digestion","type":"article-journal","volume":"70"},"uris":["http://www.mendeley.com/documents/?uuid=dabbd94e-5d5b-4ed5-8217-adaa6d9d308e"]}],"mendeley":{"formattedCitation":"(Whiting and Azapagic, 2014)","manualFormatting":"Whiting &amp; Azapagic (2014)","plainTextFormattedCitation":"(Whiting and Azapagic, 2014)","previouslyFormattedCitation":"(Whiting and Azapagic, 2014)"},"properties":{"noteIndex":0},"schema":"https://github.com/citation-style-language/schema/raw/master/csl-citation.json"}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Whiting &amp; Azapagic (2014)</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{"citationItems":[{"id":"ITEM-1","itemData":{"DOI":"10.1016/j.scitotenv.2009.10.072","ISBN":"0048-9697","ISSN":"00489697","PMID":"19926117","abstract":"Proper management and recycling of huge volumes of food waste is one of the challenges faced by Singapore. Semakau island - the only offshore landfill of the nation - only accepts inert, inorganic solid waste and therefore a large bulk of food waste is directed to incinerators. A remaining small percent is sent for recycling via anaerobic digestion (AD), followed by composting of the digestate material. This article investigates the environmental performance of four food waste conversion scenarios - based on a life cycle assessment perspective - taking into account air emissions, useful energy from the incinerators and AD process, as well as carbon dioxide mitigation from the compost products derived from the digestate material and a proposed aerobic composting system. The life cycle impact results were generated for global warming, acidification, eutrophication, photochemical oxidation and energy use. The total normalized results showed that a small-scale proposed aerobic composting system is more environmentally favorable than incinerators, but less ideal compared to the AD process. By making full use of the AD's Recycling Phase II process alone, the Singapore Green Plan's 2012 aim to increase the recycling of food waste to 30% can easily be achieved, along with reduced global warming impacts. ?? 2009 Elsevier B.V. All rights reserved.","author":[{"dropping-particle":"","family":"Khoo","given":"Hsien H.","non-dropping-particle":"","parse-names":false,"suffix":""},{"dropping-particle":"","family":"Lim","given":"Teik Z.","non-dropping-particle":"","parse-names":false,"suffix":""},{"dropping-particle":"","family":"Tan","given":"Reginald B H","non-dropping-particle":"","parse-names":false,"suffix":""}],"container-title":"Science of the Total Environment","id":"ITEM-1","issue":"6","issued":{"date-parts":[["2010"]]},"page":"1367-1373","publisher":"Elsevier B.V.","title":"Food waste conversion options in Singapore: Environmental impacts based on an LCA perspective","type":"article-journal","volume":"408"},"uris":["http://www.mendeley.com/documents/?uuid=8c6e4075-a5b0-4950-8220-cc542c7811eb"]}],"mendeley":{"formattedCitation":"(Khoo et al., 2010)","manualFormatting":"Khoo et al. (2010)","plainTextFormattedCitation":"(Khoo et al., 2010)","previouslyFormattedCitation":"(Khoo et al., 2010)"},"properties":{"noteIndex":0},"schema":"https://github.com/citation-style-language/schema/raw/master/csl-citation.json"}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Khoo et al. (2010)</w:t>
            </w:r>
            <w:r w:rsidRPr="00C81B1E">
              <w:rPr>
                <w:rFonts w:eastAsia="Calibri"/>
                <w:lang w:val="en-GB" w:eastAsia="en-US"/>
              </w:rPr>
              <w:fldChar w:fldCharType="end"/>
            </w:r>
            <w:r w:rsidRPr="00C81B1E">
              <w:rPr>
                <w:rFonts w:eastAsia="Calibri"/>
                <w:lang w:val="en-GB" w:eastAsia="en-US"/>
              </w:rPr>
              <w:t xml:space="preserve">, TT: </w:t>
            </w:r>
            <w:r w:rsidRPr="00C81B1E">
              <w:rPr>
                <w:rFonts w:eastAsia="Calibri"/>
                <w:lang w:val="en-GB" w:eastAsia="en-US"/>
              </w:rPr>
              <w:fldChar w:fldCharType="begin" w:fldLock="1"/>
            </w:r>
            <w:r w:rsidRPr="00C81B1E">
              <w:rPr>
                <w:rFonts w:eastAsia="Calibri"/>
                <w:lang w:val="en-GB" w:eastAsia="en-US"/>
              </w:rPr>
              <w:instrText>ADDIN CSL_CITATION {"citationItems":[{"id":"ITEM-1","itemData":{"abstract":"This project deals with combustion installations with a rated thermal\\ninput exceeding 50 MW. Plants with a thermal input lower than 50\\nMW are, however, discussed where technically relevant because smaller\\nunits can potentially be added to a plant to build one larger installation\\nexceeding 50 MW. All kinds of conventional power plants (e.g. utility\\nboiler plants, combined heat and power plants, district heating plants)\\nused for mechanical power and heat generation are covered in this\\nwork. Industrial combustion installations are covered if they use\\nconventional fuel. The commercial availability of the fuel on the\\nmarket has been used as an indicator to identify conventional fuels.\\nThe criterion for classifying a fuel as a 'conventional fuel' is\\na known composition which remains relatively constant, and indeed\\nis usually standardised. Coal, lignite, biomass, peat, liquid and\\ngaseous fuels (including hydrogen and biogas) are regarded as conventional\\nfuels. The use of waste as a secondary fuel is also covered in this\\nwork.","author":[{"dropping-particle":"","family":"European Commission","given":"","non-dropping-particle":"","parse-names":false,"suffix":""}],"container-title":"Integrated Pollution Prevention Control","id":"ITEM-1","issue":"August","issued":{"date-parts":[["2006"]]},"title":"Reference Document on the Best Available Techniques for Waste Incineration","type":"article-journal"},"uris":["http://www.mendeley.com/documents/?uuid=cafb8d98-221f-4574-9995-e04c7a48fca0"]}],"mendeley":{"formattedCitation":"(European Commission, 2006a)","manualFormatting":"European Commission (2006c)","plainTextFormattedCitation":"(European Commission, 2006a)","previouslyFormattedCitation":"(European Commission, 2006a)"},"properties":{"noteIndex":0},"schema":"https://github.com/citation-style-language/schema/raw/master/csl-citation.json"}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European Commission (2006c)</w:t>
            </w:r>
            <w:r w:rsidRPr="00C81B1E">
              <w:rPr>
                <w:rFonts w:eastAsia="Calibri"/>
                <w:lang w:val="en-GB" w:eastAsia="en-US"/>
              </w:rPr>
              <w:fldChar w:fldCharType="end"/>
            </w:r>
          </w:p>
        </w:tc>
      </w:tr>
      <w:tr w:rsidR="00C81B1E" w:rsidRPr="00C81B1E" w14:paraId="47C0AA07" w14:textId="77777777" w:rsidTr="00C81B1E">
        <w:trPr>
          <w:trHeight w:val="285"/>
        </w:trPr>
        <w:tc>
          <w:tcPr>
            <w:tcW w:w="1560" w:type="dxa"/>
            <w:tcBorders>
              <w:top w:val="single" w:sz="4" w:space="0" w:color="7F7F7F"/>
              <w:bottom w:val="single" w:sz="4" w:space="0" w:color="7F7F7F"/>
            </w:tcBorders>
            <w:shd w:val="clear" w:color="auto" w:fill="auto"/>
            <w:noWrap/>
            <w:vAlign w:val="center"/>
            <w:hideMark/>
          </w:tcPr>
          <w:p w14:paraId="6DEE4345" w14:textId="77777777" w:rsidR="00C7764C" w:rsidRPr="00C81B1E" w:rsidRDefault="00C7764C" w:rsidP="00C81B1E">
            <w:pPr>
              <w:pStyle w:val="MDPI42tablebody"/>
              <w:rPr>
                <w:rFonts w:eastAsia="Calibri"/>
                <w:b/>
                <w:bCs/>
                <w:lang w:val="en-GB" w:eastAsia="en-US"/>
              </w:rPr>
            </w:pPr>
            <w:proofErr w:type="spellStart"/>
            <w:r w:rsidRPr="00C81B1E">
              <w:rPr>
                <w:rFonts w:eastAsia="Calibri"/>
                <w:b/>
                <w:bCs/>
                <w:lang w:val="en-GB" w:eastAsia="en-US"/>
              </w:rPr>
              <w:t>SOx</w:t>
            </w:r>
            <w:proofErr w:type="spellEnd"/>
          </w:p>
        </w:tc>
        <w:tc>
          <w:tcPr>
            <w:tcW w:w="992" w:type="dxa"/>
            <w:tcBorders>
              <w:top w:val="single" w:sz="4" w:space="0" w:color="7F7F7F"/>
              <w:bottom w:val="single" w:sz="4" w:space="0" w:color="7F7F7F"/>
            </w:tcBorders>
            <w:shd w:val="clear" w:color="auto" w:fill="auto"/>
            <w:noWrap/>
            <w:vAlign w:val="center"/>
            <w:hideMark/>
          </w:tcPr>
          <w:p w14:paraId="6897A0B4" w14:textId="77777777" w:rsidR="00C7764C" w:rsidRPr="00C81B1E" w:rsidRDefault="00C7764C" w:rsidP="00C81B1E">
            <w:pPr>
              <w:pStyle w:val="MDPI42tablebody"/>
              <w:rPr>
                <w:rFonts w:eastAsia="Calibri"/>
                <w:lang w:val="en-GB" w:eastAsia="en-US"/>
              </w:rPr>
            </w:pPr>
            <w:r w:rsidRPr="00C81B1E">
              <w:rPr>
                <w:rFonts w:eastAsia="Calibri"/>
                <w:lang w:val="en-GB" w:eastAsia="en-US"/>
              </w:rPr>
              <w:t>mg/m</w:t>
            </w:r>
            <w:r w:rsidRPr="00C81B1E">
              <w:rPr>
                <w:rFonts w:eastAsia="Calibri"/>
                <w:vertAlign w:val="superscript"/>
                <w:lang w:val="en-GB" w:eastAsia="en-US"/>
              </w:rPr>
              <w:t>3</w:t>
            </w:r>
          </w:p>
        </w:tc>
        <w:tc>
          <w:tcPr>
            <w:tcW w:w="899" w:type="dxa"/>
            <w:tcBorders>
              <w:top w:val="single" w:sz="4" w:space="0" w:color="7F7F7F"/>
              <w:bottom w:val="single" w:sz="4" w:space="0" w:color="7F7F7F"/>
            </w:tcBorders>
            <w:shd w:val="clear" w:color="auto" w:fill="auto"/>
            <w:noWrap/>
            <w:vAlign w:val="center"/>
            <w:hideMark/>
          </w:tcPr>
          <w:p w14:paraId="1BFD164C"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 TT</w:t>
            </w:r>
          </w:p>
        </w:tc>
        <w:tc>
          <w:tcPr>
            <w:tcW w:w="5615" w:type="dxa"/>
            <w:tcBorders>
              <w:top w:val="single" w:sz="4" w:space="0" w:color="7F7F7F"/>
              <w:bottom w:val="single" w:sz="4" w:space="0" w:color="7F7F7F"/>
            </w:tcBorders>
            <w:shd w:val="clear" w:color="auto" w:fill="auto"/>
            <w:noWrap/>
            <w:vAlign w:val="center"/>
            <w:hideMark/>
          </w:tcPr>
          <w:p w14:paraId="574D3394"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AD: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wasman.2015.01.033","ISSN":"0956053X","author":[{"dropping-particle":"","family":"Beylot","given":"Antoine","non-dropping-particle":"","parse-names":false,"suffix":""},{"dropping-particle":"","family":"Vaxelaire","given":"Stéphane","non-dropping-particle":"","parse-names":false,"suffix":""},{"dropping-particle":"","family":"Zdanevitch","given":"Isabelle","non-dropping-particle":"","parse-names":false,"suffix":""},{"dropping-particle":"","family":"Auvinet","given":"Nicolas","non-dropping-particle":"","parse-names":false,"suffix":""},{"dropping-particle":"","family":"Villeneuve","given":"Jacques","non-dropping-particle":"","parse-names":false,"suffix":""}],"container-title":"Waste Management","id":"ITEM-1","issued":{"date-parts":[["2015"]]},"page":"287-294","publisher":"Elsevier Ltd","title":"Life Cycle Assessment of mechanical biological pre-treatment of Municipal Solid Waste: A case study","type":"article-journal","volume":"39"},"uris":["http://www.mendeley.com/documents/?uuid=e0ebec53-a461-4d1d-a1dc-6655572b8152"]}],"mendeley":{"formattedCitation":"(Beylot et al., 2015)","manualFormatting":"Beylot et al. (2015)","plainTextFormattedCitation":"(Beylot et al., 2015)","previouslyFormattedCitation":"(Beylot et al., 2015)"},"properties":{"noteIndex":0},"schema":"https://github.com/citation-style-language/schema/raw/master/csl-citation.json"}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Beylot et al. (2015)</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resconrec.2014.07.005","ISSN":"09213449","author":[{"dropping-particle":"","family":"Zhao","given":"Yan","non-dropping-particle":"","parse-names":false,"suffix":""},{"dropping-particle":"","family":"Deng","given":"Wenjing","non-dropping-particle":"","parse-names":false,"suffix":""}],"container-title":"Resources, Conservation and Recycling","id":"ITEM-1","issued":{"date-parts":[["2014"]]},"page":"214-221","publisher":"Elsevier B.V.","title":"Environmental impacts of different food waste resource technologies and the effects of energy mix","type":"article-journal","volume":"92"},"uris":["http://www.mendeley.com/documents/?uuid=33d05458-cf59-4c5a-b8f6-84e40ad8e9f5"]}],"mendeley":{"formattedCitation":"(Zhao and Deng, 2014)","manualFormatting":"Zhao &amp; Deng (2014)","plainTextFormattedCitation":"(Zhao and Deng, 2014)","previouslyFormattedCitation":"(Zhao and Deng, 2014)"},"properties":{"noteIndex":0},"schema":"https://github.com/citation-style-language/schema/raw/master/csl-citation.json"}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Zhao &amp; Deng (2014)</w:t>
            </w:r>
            <w:r w:rsidRPr="00C81B1E">
              <w:rPr>
                <w:rFonts w:eastAsia="Calibri"/>
                <w:lang w:val="en-GB" w:eastAsia="en-US"/>
              </w:rPr>
              <w:fldChar w:fldCharType="end"/>
            </w:r>
            <w:r w:rsidRPr="00C81B1E">
              <w:rPr>
                <w:rFonts w:eastAsia="Calibri"/>
                <w:lang w:val="en-GB" w:eastAsia="en-US"/>
              </w:rPr>
              <w:t xml:space="preserve">, TT: </w:t>
            </w:r>
            <w:r w:rsidRPr="00C81B1E">
              <w:rPr>
                <w:rFonts w:eastAsia="Calibri"/>
                <w:lang w:val="en-GB" w:eastAsia="en-US"/>
              </w:rPr>
              <w:fldChar w:fldCharType="begin" w:fldLock="1"/>
            </w:r>
            <w:r w:rsidRPr="00C81B1E">
              <w:rPr>
                <w:rFonts w:eastAsia="Calibri"/>
                <w:lang w:val="en-GB" w:eastAsia="en-US"/>
              </w:rPr>
              <w:instrText>ADDIN CSL_CITATION {"citationItems":[{"id":"ITEM-1","itemData":{"abstract":"This project deals with combustion installations with a rated thermal\\ninput exceeding 50 MW. Plants with a thermal input lower than 50\\nMW are, however, discussed where technically relevant because smaller\\nunits can potentially be added to a plant to build one larger installation\\nexceeding 50 MW. All kinds of conventional power plants (e.g. utility\\nboiler plants, combined heat and power plants, district heating plants)\\nused for mechanical power and heat generation are covered in this\\nwork. Industrial combustion installations are covered if they use\\nconventional fuel. The commercial availability of the fuel on the\\nmarket has been used as an indicator to identify conventional fuels.\\nThe criterion for classifying a fuel as a 'conventional fuel' is\\na known composition which remains relatively constant, and indeed\\nis usually standardised. Coal, lignite, biomass, peat, liquid and\\ngaseous fuels (including hydrogen and biogas) are regarded as conventional\\nfuels. The use of waste as a secondary fuel is also covered in this\\nwork.","author":[{"dropping-particle":"","family":"European Commission","given":"","non-dropping-particle":"","parse-names":false,"suffix":""}],"container-title":"Integrated Pollution Prevention Control","id":"ITEM-1","issue":"August","issued":{"date-parts":[["2006"]]},"title":"Reference Document on the Best Available Techniques for Waste Incineration","type":"article-journal"},"uris":["http://www.mendeley.com/documents/?uuid=cafb8d98-221f-4574-9995-e04c7a48fca0"]}],"mendeley":{"formattedCitation":"(European Commission, 2006a)","manualFormatting":"European Commission (2006c)","plainTextFormattedCitation":"(European Commission, 2006a)","previouslyFormattedCitation":"(European Commission, 2006a)"},"properties":{"noteIndex":0},"schema":"https://github.com/citation-style-language/schema/raw/master/csl-citation.json"}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European Commission (2006c)</w:t>
            </w:r>
            <w:r w:rsidRPr="00C81B1E">
              <w:rPr>
                <w:rFonts w:eastAsia="Calibri"/>
                <w:lang w:val="en-GB" w:eastAsia="en-US"/>
              </w:rPr>
              <w:fldChar w:fldCharType="end"/>
            </w:r>
          </w:p>
        </w:tc>
      </w:tr>
      <w:tr w:rsidR="00C81B1E" w:rsidRPr="00C81B1E" w14:paraId="7DE77641" w14:textId="77777777" w:rsidTr="00C81B1E">
        <w:trPr>
          <w:trHeight w:val="285"/>
        </w:trPr>
        <w:tc>
          <w:tcPr>
            <w:tcW w:w="1560" w:type="dxa"/>
            <w:shd w:val="clear" w:color="auto" w:fill="auto"/>
            <w:noWrap/>
            <w:vAlign w:val="center"/>
            <w:hideMark/>
          </w:tcPr>
          <w:p w14:paraId="4547B2A6"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HCl</w:t>
            </w:r>
          </w:p>
        </w:tc>
        <w:tc>
          <w:tcPr>
            <w:tcW w:w="992" w:type="dxa"/>
            <w:shd w:val="clear" w:color="auto" w:fill="auto"/>
            <w:noWrap/>
            <w:vAlign w:val="center"/>
            <w:hideMark/>
          </w:tcPr>
          <w:p w14:paraId="6A9D578E" w14:textId="77777777" w:rsidR="00C7764C" w:rsidRPr="00C81B1E" w:rsidRDefault="00C7764C" w:rsidP="00C81B1E">
            <w:pPr>
              <w:pStyle w:val="MDPI42tablebody"/>
              <w:rPr>
                <w:rFonts w:eastAsia="Calibri"/>
                <w:lang w:val="en-GB" w:eastAsia="en-US"/>
              </w:rPr>
            </w:pPr>
            <w:r w:rsidRPr="00C81B1E">
              <w:rPr>
                <w:rFonts w:eastAsia="Calibri"/>
                <w:lang w:val="en-GB" w:eastAsia="en-US"/>
              </w:rPr>
              <w:t>mg/m</w:t>
            </w:r>
            <w:r w:rsidRPr="00C81B1E">
              <w:rPr>
                <w:rFonts w:eastAsia="Calibri"/>
                <w:vertAlign w:val="superscript"/>
                <w:lang w:val="en-GB" w:eastAsia="en-US"/>
              </w:rPr>
              <w:t>3</w:t>
            </w:r>
          </w:p>
        </w:tc>
        <w:tc>
          <w:tcPr>
            <w:tcW w:w="899" w:type="dxa"/>
            <w:shd w:val="clear" w:color="auto" w:fill="auto"/>
            <w:noWrap/>
            <w:vAlign w:val="center"/>
            <w:hideMark/>
          </w:tcPr>
          <w:p w14:paraId="3134C6D7"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 TT</w:t>
            </w:r>
          </w:p>
        </w:tc>
        <w:tc>
          <w:tcPr>
            <w:tcW w:w="5615" w:type="dxa"/>
            <w:shd w:val="clear" w:color="auto" w:fill="auto"/>
            <w:noWrap/>
            <w:vAlign w:val="center"/>
            <w:hideMark/>
          </w:tcPr>
          <w:p w14:paraId="50BD014B"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AD: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resconrec.2014.07.005","ISSN":"09213449","author":[{"dropping-particle":"","family":"Zhao","given":"Yan","non-dropping-particle":"","parse-names":false,"suffix":""},{"dropping-particle":"","family":"Deng","given":"Wenjing","non-dropping-particle":"","parse-names":false,"suffix":""}],"container-title":"Resources, Conservation and Recycling","id":"ITEM-1","issued":{"date-parts":[["2014"]]},"page":"214-221","publisher":"Elsevier B.V.","title":"Environmental impacts of different food waste resource technologies and the effects of energy mix","type":"article-journal","volume":"92"},"uris":["http://www.mendeley.com/documents/?uuid=33d05458-cf59-4c5a-b8f6-84e40ad8e9f5"]}],"mendeley":{"formattedCitation":"(Zhao and Deng, 2014)","manualFormatting":"Zhao &amp; Deng (2014)","plainTextFormattedCitation":"(Zhao and Deng, 2014)","previouslyFormattedCitation":"(Zhao and Deng, 2014)"},"properties":{"noteIndex":0},"schema":"https://github.com/citation-style-language/schema/raw/master/csl-citation.json"}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Zhao &amp; Deng (2014)</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resconrec.2014.07.005","ISSN":"09213449","author":[{"dropping-particle":"","family":"Zhao","given":"Yan","non-dropping-particle":"","parse-names":false,"suffix":""},{"dropping-particle":"","family":"Deng","given":"Wenjing","non-dropping-particle":"","parse-names":false,"suffix":""}],"container-title":"Resources, Conservation and Recycling","id":"ITEM-1","issued":{"date-parts":[["2014"]]},"page":"214-221","publisher":"Elsevier B.V.","title":"Environmental impacts of different food waste resource technologies and the effects of energy mix","type":"article-journal","volume":"92"},"uris":["http://www.mendeley.com/documents/?uuid=33d05458-cf59-4c5a-b8f6-84e40ad8e9f5"]}],"mendeley":{"formattedCitation":"(Zhao and Deng, 2014)","manualFormatting":"Zhao &amp; Deng (2014)","plainTextFormattedCitation":"(Zhao and Deng, 2014)","previouslyFormattedCitation":"(Zhao and Deng, 2014)"},"properties":{"noteIndex":0},"schema":"https://github.com/citation-style-language/schema/raw/master/csl-citation.json"}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Zhao &amp; Deng (2014)</w:t>
            </w:r>
            <w:r w:rsidRPr="00C81B1E">
              <w:rPr>
                <w:rFonts w:eastAsia="Calibri"/>
                <w:lang w:val="en-GB" w:eastAsia="en-US"/>
              </w:rPr>
              <w:fldChar w:fldCharType="end"/>
            </w:r>
            <w:r w:rsidRPr="00C81B1E">
              <w:rPr>
                <w:rFonts w:eastAsia="Calibri"/>
                <w:lang w:val="en-GB" w:eastAsia="en-US"/>
              </w:rPr>
              <w:t xml:space="preserve">, TT: </w:t>
            </w:r>
            <w:r w:rsidRPr="00C81B1E">
              <w:rPr>
                <w:rFonts w:eastAsia="Calibri"/>
                <w:lang w:val="en-GB" w:eastAsia="en-US"/>
              </w:rPr>
              <w:fldChar w:fldCharType="begin" w:fldLock="1"/>
            </w:r>
            <w:r w:rsidRPr="00C81B1E">
              <w:rPr>
                <w:rFonts w:eastAsia="Calibri"/>
                <w:lang w:val="en-GB" w:eastAsia="en-US"/>
              </w:rPr>
              <w:instrText>ADDIN CSL_CITATION {"citationItems":[{"id":"ITEM-1","itemData":{"abstract":"This project deals with combustion installations with a rated thermal\\ninput exceeding 50 MW. Plants with a thermal input lower than 50\\nMW are, however, discussed where technically relevant because smaller\\nunits can potentially be added to a plant to build one larger installation\\nexceeding 50 MW. All kinds of conventional power plants (e.g. utility\\nboiler plants, combined heat and power plants, district heating plants)\\nused for mechanical power and heat generation are covered in this\\nwork. Industrial combustion installations are covered if they use\\nconventional fuel. The commercial availability of the fuel on the\\nmarket has been used as an indicator to identify conventional fuels.\\nThe criterion for classifying a fuel as a 'conventional fuel' is\\na known composition which remains relatively constant, and indeed\\nis usually standardised. Coal, lignite, biomass, peat, liquid and\\ngaseous fuels (including hydrogen and biogas) are regarded as conventional\\nfuels. The use of waste as a secondary fuel is also covered in this\\nwork.","author":[{"dropping-particle":"","family":"European Commission","given":"","non-dropping-particle":"","parse-names":false,"suffix":""}],"container-title":"Integrated Pollution Prevention Control","id":"ITEM-1","issue":"August","issued":{"date-parts":[["2006"]]},"title":"Reference Document on the Best Available Techniques for Waste Incineration","type":"article-journal"},"uris":["http://www.mendeley.com/documents/?uuid=cafb8d98-221f-4574-9995-e04c7a48fca0"]}],"mendeley":{"formattedCitation":"(European Commission, 2006a)","manualFormatting":"European Commission (2006c)","plainTextFormattedCitation":"(European Commission, 2006a)","previouslyFormattedCitation":"(European Commission, 2006a)"},"properties":{"noteIndex":0},"schema":"https://github.com/citation-style-language/schema/raw/master/csl-citation.json"}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European Commission (2006c)</w:t>
            </w:r>
            <w:r w:rsidRPr="00C81B1E">
              <w:rPr>
                <w:rFonts w:eastAsia="Calibri"/>
                <w:lang w:val="en-GB" w:eastAsia="en-US"/>
              </w:rPr>
              <w:fldChar w:fldCharType="end"/>
            </w:r>
          </w:p>
        </w:tc>
      </w:tr>
      <w:tr w:rsidR="00C81B1E" w:rsidRPr="00C81B1E" w14:paraId="19B879DD" w14:textId="77777777" w:rsidTr="00C81B1E">
        <w:trPr>
          <w:trHeight w:val="285"/>
        </w:trPr>
        <w:tc>
          <w:tcPr>
            <w:tcW w:w="1560" w:type="dxa"/>
            <w:tcBorders>
              <w:top w:val="single" w:sz="4" w:space="0" w:color="7F7F7F"/>
              <w:bottom w:val="single" w:sz="4" w:space="0" w:color="7F7F7F"/>
            </w:tcBorders>
            <w:shd w:val="clear" w:color="auto" w:fill="auto"/>
            <w:noWrap/>
            <w:vAlign w:val="center"/>
            <w:hideMark/>
          </w:tcPr>
          <w:p w14:paraId="33B09DEA"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Dioxins, furans, PAH, PCBs and products alike</w:t>
            </w:r>
          </w:p>
        </w:tc>
        <w:tc>
          <w:tcPr>
            <w:tcW w:w="992" w:type="dxa"/>
            <w:tcBorders>
              <w:top w:val="single" w:sz="4" w:space="0" w:color="7F7F7F"/>
              <w:bottom w:val="single" w:sz="4" w:space="0" w:color="7F7F7F"/>
            </w:tcBorders>
            <w:shd w:val="clear" w:color="auto" w:fill="auto"/>
            <w:noWrap/>
            <w:vAlign w:val="center"/>
            <w:hideMark/>
          </w:tcPr>
          <w:p w14:paraId="19A6EF0E" w14:textId="77777777" w:rsidR="00C7764C" w:rsidRPr="00C81B1E" w:rsidRDefault="00C7764C" w:rsidP="00C81B1E">
            <w:pPr>
              <w:pStyle w:val="MDPI42tablebody"/>
              <w:rPr>
                <w:rFonts w:eastAsia="Calibri"/>
                <w:lang w:val="en-GB" w:eastAsia="en-US"/>
              </w:rPr>
            </w:pPr>
            <w:r w:rsidRPr="00C81B1E">
              <w:rPr>
                <w:rFonts w:eastAsia="Calibri"/>
                <w:lang w:val="en-GB" w:eastAsia="en-US"/>
              </w:rPr>
              <w:t>mg/m</w:t>
            </w:r>
            <w:r w:rsidRPr="00C81B1E">
              <w:rPr>
                <w:rFonts w:eastAsia="Calibri"/>
                <w:vertAlign w:val="superscript"/>
                <w:lang w:val="en-GB" w:eastAsia="en-US"/>
              </w:rPr>
              <w:t>3</w:t>
            </w:r>
          </w:p>
        </w:tc>
        <w:tc>
          <w:tcPr>
            <w:tcW w:w="899" w:type="dxa"/>
            <w:tcBorders>
              <w:top w:val="single" w:sz="4" w:space="0" w:color="7F7F7F"/>
              <w:bottom w:val="single" w:sz="4" w:space="0" w:color="7F7F7F"/>
            </w:tcBorders>
            <w:shd w:val="clear" w:color="auto" w:fill="auto"/>
            <w:noWrap/>
            <w:vAlign w:val="center"/>
            <w:hideMark/>
          </w:tcPr>
          <w:p w14:paraId="342DA5C8"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 TT</w:t>
            </w:r>
          </w:p>
        </w:tc>
        <w:tc>
          <w:tcPr>
            <w:tcW w:w="5615" w:type="dxa"/>
            <w:tcBorders>
              <w:top w:val="single" w:sz="4" w:space="0" w:color="7F7F7F"/>
              <w:bottom w:val="single" w:sz="4" w:space="0" w:color="7F7F7F"/>
            </w:tcBorders>
            <w:shd w:val="clear" w:color="auto" w:fill="auto"/>
            <w:noWrap/>
            <w:vAlign w:val="center"/>
            <w:hideMark/>
          </w:tcPr>
          <w:p w14:paraId="563DBE40"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AD: </w:t>
            </w:r>
            <w:r w:rsidRPr="00C81B1E">
              <w:rPr>
                <w:rFonts w:eastAsia="Calibri"/>
                <w:lang w:val="en-GB" w:eastAsia="en-US"/>
              </w:rPr>
              <w:fldChar w:fldCharType="begin" w:fldLock="1"/>
            </w:r>
            <w:r w:rsidRPr="00C81B1E">
              <w:rPr>
                <w:rFonts w:eastAsia="Calibri"/>
                <w:lang w:val="en-GB" w:eastAsia="en-US"/>
              </w:rPr>
              <w:instrText>ADDIN CSL_CITATION {"citationItems":[{"id":"ITEM-1","itemData":{"ISBN":"0273-1223","ISSN":"02731223","PMID":"16180477","abstract":"Biological treatment processes including anaerobic digestion (biogasification) and composting are increasingly being considered by waste management officials and planners as alternatives for managing the mainly organic residues of municipal solid wastes (MSW). The integrated waste management model which is based upon the application of life-cycle analysis was employed to compare the environmental burdens of landfilling, composting and anaerobic digestion of MSW at a mid-sized Canadian community. Energy consumption (or recovery), residue recoveries and emissions to air and water were quantified. Scenario comparisons were analyzed to demonstrate that the environmental burdens associated with anaerobic digestion are reduced in comparison with the alternative options. The major benefit occurs as a result of the electricity produced from burning the biogas and then supplying the 'green power' to the local electrical grid.","author":[{"dropping-particle":"","family":"Haight","given":"M.","non-dropping-particle":"","parse-names":false,"suffix":""}],"container-title":"Water Science and Technology","id":"ITEM-1","issue":"1-2","issued":{"date-parts":[["2005"]]},"page":"553-559","title":"Assessing the environmental burdens of anaerobic digestion in comparison to alternative options for managing the biodegradable fraction of municipal solid wastes","type":"article-journal","volume":"52"},"uris":["http://www.mendeley.com/documents/?uuid=542072b6-4486-4cb6-af2b-ad9a9f17f07c"]}],"mendeley":{"formattedCitation":"(Haight, 2005)","manualFormatting":"Haight (2005)","plainTextFormattedCitation":"(Haight, 2005)","previouslyFormattedCitation":"(Haight, 2005)"},"properties":{"noteIndex":0},"schema":"https://github.com/citation-style-language/schema/raw/master/csl-citation.json"}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Haight (2005)</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{"citationItems":[{"id":"ITEM-1","itemData":{"ISBN":"0273-1223","ISSN":"02731223","PMID":"16180477","abstract":"Biological treatment processes including anaerobic digestion (biogasification) and composting are increasingly being considered by waste management officials and planners as alternatives for managing the mainly organic residues of municipal solid wastes (MSW). The integrated waste management model which is based upon the application of life-cycle analysis was employed to compare the environmental burdens of landfilling, composting and anaerobic digestion of MSW at a mid-sized Canadian community. Energy consumption (or recovery), residue recoveries and emissions to air and water were quantified. Scenario comparisons were analyzed to demonstrate that the environmental burdens associated with anaerobic digestion are reduced in comparison with the alternative options. The major benefit occurs as a result of the electricity produced from burning the biogas and then supplying the 'green power' to the local electrical grid.","author":[{"dropping-particle":"","family":"Haight","given":"M.","non-dropping-particle":"","parse-names":false,"suffix":""}],"container-title":"Water Science and Technology","id":"ITEM-1","issue":"1-2","issued":{"date-parts":[["2005"]]},"page":"553-559","title":"Assessing the environmental burdens of anaerobic digestion in comparison to alternative options for managing the biodegradable fraction of municipal solid wastes","type":"article-journal","volume":"52"},"uris":["http://www.mendeley.com/documents/?uuid=542072b6-4486-4cb6-af2b-ad9a9f17f07c"]}],"mendeley":{"formattedCitation":"(Haight, 2005)","manualFormatting":"Haight (2005)","plainTextFormattedCitation":"(Haight, 2005)","previouslyFormattedCitation":"(Haight, 2005)"},"properties":{"noteIndex":0},"schema":"https://github.com/citation-style-language/schema/raw/master/csl-citation.json"}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Haight (2005)</w:t>
            </w:r>
            <w:r w:rsidRPr="00C81B1E">
              <w:rPr>
                <w:rFonts w:eastAsia="Calibri"/>
                <w:lang w:val="en-GB" w:eastAsia="en-US"/>
              </w:rPr>
              <w:fldChar w:fldCharType="end"/>
            </w:r>
            <w:r w:rsidRPr="00C81B1E">
              <w:rPr>
                <w:rFonts w:eastAsia="Calibri"/>
                <w:lang w:val="en-GB" w:eastAsia="en-US"/>
              </w:rPr>
              <w:t xml:space="preserve">, TT: </w:t>
            </w:r>
            <w:r w:rsidRPr="00C81B1E">
              <w:rPr>
                <w:rFonts w:eastAsia="Calibri"/>
                <w:lang w:val="en-GB" w:eastAsia="en-US"/>
              </w:rPr>
              <w:fldChar w:fldCharType="begin" w:fldLock="1"/>
            </w:r>
            <w:r w:rsidRPr="00C81B1E">
              <w:rPr>
                <w:rFonts w:eastAsia="Calibri"/>
                <w:lang w:val="en-GB" w:eastAsia="en-US"/>
              </w:rPr>
              <w:instrText>ADDIN CSL_CITATION {"citationItems":[{"id":"ITEM-1","itemData":{"abstract":"This project deals with combustion installations with a rated thermal\\ninput exceeding 50 MW. Plants with a thermal input lower than 50\\nMW are, however, discussed where technically relevant because smaller\\nunits can potentially be added to a plant to build one larger installation\\nexceeding 50 MW. All kinds of conventional power plants (e.g. utility\\nboiler plants, combined heat and power plants, district heating plants)\\nused for mechanical power and heat generation are covered in this\\nwork. Industrial combustion installations are covered if they use\\nconventional fuel. The commercial availability of the fuel on the\\nmarket has been used as an indicator to identify conventional fuels.\\nThe criterion for classifying a fuel as a 'conventional fuel' is\\na known composition which remains relatively constant, and indeed\\nis usually standardised. Coal, lignite, biomass, peat, liquid and\\ngaseous fuels (including hydrogen and biogas) are regarded as conventional\\nfuels. The use of waste as a secondary fuel is also covered in this\\nwork.","author":[{"dropping-particle":"","family":"European Commission","given":"","non-dropping-particle":"","parse-names":false,"suffix":""}],"container-title":"Integrated Pollution Prevention Control","id":"ITEM-1","issue":"August","issued":{"date-parts":[["2006"]]},"title":"Reference Document on the Best Available Techniques for Waste Incineration","type":"article-journal"},"uris":["http://www.mendeley.com/documents/?uuid=cafb8d98-221f-4574-9995-e04c7a48fca0"]}],"mendeley":{"formattedCitation":"(European Commission, 2006a)","manualFormatting":"European Commission (2006c)","plainTextFormattedCitation":"(European Commission, 2006a)","previouslyFormattedCitation":"(European Commission, 2006a)"},"properties":{"noteIndex":0},"schema":"https://github.com/citation-style-language/schema/raw/master/csl-citation.json"}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European Commission (2006c)</w:t>
            </w:r>
            <w:r w:rsidRPr="00C81B1E">
              <w:rPr>
                <w:rFonts w:eastAsia="Calibri"/>
                <w:lang w:val="en-GB" w:eastAsia="en-US"/>
              </w:rPr>
              <w:fldChar w:fldCharType="end"/>
            </w:r>
          </w:p>
        </w:tc>
      </w:tr>
      <w:tr w:rsidR="00C81B1E" w:rsidRPr="00C81B1E" w14:paraId="6403A4B4" w14:textId="77777777" w:rsidTr="00C81B1E">
        <w:trPr>
          <w:trHeight w:val="315"/>
        </w:trPr>
        <w:tc>
          <w:tcPr>
            <w:tcW w:w="1560" w:type="dxa"/>
            <w:shd w:val="clear" w:color="auto" w:fill="auto"/>
            <w:noWrap/>
            <w:vAlign w:val="center"/>
            <w:hideMark/>
          </w:tcPr>
          <w:p w14:paraId="5527DA3E"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H</w:t>
            </w:r>
            <w:r w:rsidRPr="00C81B1E">
              <w:rPr>
                <w:rFonts w:eastAsia="Calibri"/>
                <w:b/>
                <w:bCs/>
                <w:vertAlign w:val="subscript"/>
                <w:lang w:val="en-GB" w:eastAsia="en-US"/>
              </w:rPr>
              <w:t>2</w:t>
            </w:r>
            <w:r w:rsidRPr="00C81B1E">
              <w:rPr>
                <w:rFonts w:eastAsia="Calibri"/>
                <w:b/>
                <w:bCs/>
                <w:lang w:val="en-GB" w:eastAsia="en-US"/>
              </w:rPr>
              <w:t>S</w:t>
            </w:r>
          </w:p>
        </w:tc>
        <w:tc>
          <w:tcPr>
            <w:tcW w:w="992" w:type="dxa"/>
            <w:shd w:val="clear" w:color="auto" w:fill="auto"/>
            <w:noWrap/>
            <w:vAlign w:val="center"/>
            <w:hideMark/>
          </w:tcPr>
          <w:p w14:paraId="74EC56E2" w14:textId="77777777" w:rsidR="00C7764C" w:rsidRPr="00C81B1E" w:rsidRDefault="00C7764C" w:rsidP="00C81B1E">
            <w:pPr>
              <w:pStyle w:val="MDPI42tablebody"/>
              <w:rPr>
                <w:rFonts w:eastAsia="Calibri"/>
                <w:lang w:val="en-GB" w:eastAsia="en-US"/>
              </w:rPr>
            </w:pPr>
            <w:r w:rsidRPr="00C81B1E">
              <w:rPr>
                <w:rFonts w:eastAsia="Calibri"/>
                <w:lang w:val="en-GB" w:eastAsia="en-US"/>
              </w:rPr>
              <w:t>mg/m</w:t>
            </w:r>
            <w:r w:rsidRPr="00C81B1E">
              <w:rPr>
                <w:rFonts w:eastAsia="Calibri"/>
                <w:vertAlign w:val="superscript"/>
                <w:lang w:val="en-GB" w:eastAsia="en-US"/>
              </w:rPr>
              <w:t>3</w:t>
            </w:r>
          </w:p>
        </w:tc>
        <w:tc>
          <w:tcPr>
            <w:tcW w:w="899" w:type="dxa"/>
            <w:shd w:val="clear" w:color="auto" w:fill="auto"/>
            <w:noWrap/>
            <w:vAlign w:val="center"/>
            <w:hideMark/>
          </w:tcPr>
          <w:p w14:paraId="29CE1E8E"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w:t>
            </w:r>
          </w:p>
        </w:tc>
        <w:tc>
          <w:tcPr>
            <w:tcW w:w="5615" w:type="dxa"/>
            <w:shd w:val="clear" w:color="auto" w:fill="auto"/>
            <w:noWrap/>
            <w:vAlign w:val="center"/>
            <w:hideMark/>
          </w:tcPr>
          <w:p w14:paraId="6376EA33"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AD: </w:t>
            </w:r>
            <w:r w:rsidRPr="00C81B1E">
              <w:rPr>
                <w:rFonts w:eastAsia="Calibri"/>
                <w:lang w:val="en-GB" w:eastAsia="en-US"/>
              </w:rPr>
              <w:fldChar w:fldCharType="begin" w:fldLock="1"/>
            </w:r>
            <w:r w:rsidRPr="00C81B1E">
              <w:rPr>
                <w:rFonts w:eastAsia="Calibri"/>
                <w:lang w:val="en-GB" w:eastAsia="en-US"/>
              </w:rPr>
              <w:instrText>ADDIN CSL_CITATION {"citationItems":[{"id":"ITEM-1","itemData":{"ISBN":"0-471-20693-8","ISSN":"03043894","PMID":"15003161","abstract":"Anaerobic digestion is a biochemical degradation process that converts complex organic material, such as animal manure, into methane and other byproducts. Part of the author's Wastewater Microbiology series, Microbiology of Anareboic Digesters eschews technical jargon to deliver a practical, how-to guide for wastewater plant operators.","author":[{"dropping-particle":"","family":"Gerardi","given":"Michael H","non-dropping-particle":"","parse-names":false,"suffix":""}],"container-title":"Vasa","editor":[{"dropping-particle":"","family":"Gerardi","given":"Michael H","non-dropping-particle":"","parse-names":false,"suffix":""}],"id":"ITEM-1","issued":{"date-parts":[["2003"]]},"publisher":"John Wiley &amp; Sons, Inc.","publisher-place":"Hoboken, New Jersey, USA","title":"The Microbiology of Anaerobic Digesters","type":"book"},"uris":["http://www.mendeley.com/documents/?uuid=81a342ae-60fa-49a2-8b1d-3ae0fb3055c3"]}],"mendeley":{"formattedCitation":"(Gerardi, 2003)","manualFormatting":"Gerardi (2003)","plainTextFormattedCitation":"(Gerardi, 2003)","previouslyFormattedCitation":"(Gerardi, 2003)"},"properties":{"noteIndex":0},"schema":"https://github.com/citation-style-language/schema/raw/master/csl-citation.json"}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Gerardi (2003)</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{"citationItems":[{"id":"ITEM-1","itemData":{"DOI":"10.1023/B:WATE.0000019932.04020.b6","ISBN":"0049-6979","ISSN":"00496979","abstract":"Because of its agronomic benefits, farm-scale composting is an efficient means of recycling agricultural waste. Composting process is an aerobic degradation of fresh organic matter in mature compost. Nevertheless, according to the literature, composting may induce some environmental problems. The environmental impacts of composting will be described, along with an assessment of farm-scale composting practices which play a major role in pollution. The main environmental components potentially affected by composting pollution are air and water. Various gases released by composting, such as NH3, CH4 and N2O, can impact air quality and are therefore studied because they all have environmental impacts and can be controlled by composting management. The effect on water quality can be evaluated by considering loss of NO3-, NH4+, organic compounds and PO43-. Technical evaluation criteria for the impact of farm-scale composting on the air are determined from the physical and chemical characteristics of the raw materials, the use of additives, the turning method and frequency and the duration of the composting operations. Regarding water, the weather conditions at the beginning of the composting operation, the location of the heap, the protection against rain, the water addition during the process, the use of covers and the recovery of leaching and runoff water are also taken into account. The two main practices which control the air and water pollution from composting are: the choice of the raw material which influences gas emissions and the choice of composting location which have an high effect on losses by leaching and runoff. © 2004 Kluwer Academic Publishers.","author":[{"dropping-particle":"","family":"Peigne","given":"Josephine","non-dropping-particle":"","parse-names":false,"suffix":""},{"dropping-particle":"","family":"Girardin","given":"Philippe","non-dropping-particle":"","parse-names":false,"suffix":""}],"container-title":"Water, Air, and Soil Pollution","id":"ITEM-1","issued":{"date-parts":[["2004"]]},"page":"45-68","title":"Environmental impacts of farm-scale composting practices","type":"article-journal","volume":"153"},"uris":["http://www.mendeley.com/documents/?uuid=1cac405a-2c5f-4ec5-905c-fffa125841e9"]}],"mendeley":{"formattedCitation":"(Peigne and Girardin, 2004)","manualFormatting":"Peigne &amp; Girardin (2004)","plainTextFormattedCitation":"(Peigne and Girardin, 2004)","previouslyFormattedCitation":"(Peigne and Girardin, 2004)"},"properties":{"noteIndex":0},"schema":"https://github.com/citation-style-language/schema/raw/master/csl-citation.json"}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Peigne &amp; Girardin (2004)</w:t>
            </w:r>
            <w:r w:rsidRPr="00C81B1E">
              <w:rPr>
                <w:rFonts w:eastAsia="Calibri"/>
                <w:lang w:val="en-GB" w:eastAsia="en-US"/>
              </w:rPr>
              <w:fldChar w:fldCharType="end"/>
            </w:r>
          </w:p>
        </w:tc>
      </w:tr>
      <w:tr w:rsidR="00C81B1E" w:rsidRPr="00C81B1E" w14:paraId="2B0F4961" w14:textId="77777777" w:rsidTr="00C81B1E">
        <w:trPr>
          <w:trHeight w:val="285"/>
        </w:trPr>
        <w:tc>
          <w:tcPr>
            <w:tcW w:w="1560" w:type="dxa"/>
            <w:tcBorders>
              <w:top w:val="single" w:sz="4" w:space="0" w:color="7F7F7F"/>
              <w:bottom w:val="single" w:sz="4" w:space="0" w:color="7F7F7F"/>
            </w:tcBorders>
            <w:shd w:val="clear" w:color="auto" w:fill="auto"/>
            <w:noWrap/>
            <w:vAlign w:val="center"/>
            <w:hideMark/>
          </w:tcPr>
          <w:p w14:paraId="7AD28918"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CO</w:t>
            </w:r>
          </w:p>
        </w:tc>
        <w:tc>
          <w:tcPr>
            <w:tcW w:w="992" w:type="dxa"/>
            <w:tcBorders>
              <w:top w:val="single" w:sz="4" w:space="0" w:color="7F7F7F"/>
              <w:bottom w:val="single" w:sz="4" w:space="0" w:color="7F7F7F"/>
            </w:tcBorders>
            <w:shd w:val="clear" w:color="auto" w:fill="auto"/>
            <w:noWrap/>
            <w:vAlign w:val="center"/>
            <w:hideMark/>
          </w:tcPr>
          <w:p w14:paraId="79E259A6" w14:textId="77777777" w:rsidR="00C7764C" w:rsidRPr="00C81B1E" w:rsidRDefault="00C7764C" w:rsidP="00C81B1E">
            <w:pPr>
              <w:pStyle w:val="MDPI42tablebody"/>
              <w:rPr>
                <w:rFonts w:eastAsia="Calibri"/>
                <w:lang w:val="en-GB" w:eastAsia="en-US"/>
              </w:rPr>
            </w:pPr>
            <w:r w:rsidRPr="00C81B1E">
              <w:rPr>
                <w:rFonts w:eastAsia="Calibri"/>
                <w:lang w:val="en-GB" w:eastAsia="en-US"/>
              </w:rPr>
              <w:t>mg/m</w:t>
            </w:r>
            <w:r w:rsidRPr="00C81B1E">
              <w:rPr>
                <w:rFonts w:eastAsia="Calibri"/>
                <w:vertAlign w:val="superscript"/>
                <w:lang w:val="en-GB" w:eastAsia="en-US"/>
              </w:rPr>
              <w:t>3</w:t>
            </w:r>
          </w:p>
        </w:tc>
        <w:tc>
          <w:tcPr>
            <w:tcW w:w="899" w:type="dxa"/>
            <w:tcBorders>
              <w:top w:val="single" w:sz="4" w:space="0" w:color="7F7F7F"/>
              <w:bottom w:val="single" w:sz="4" w:space="0" w:color="7F7F7F"/>
            </w:tcBorders>
            <w:shd w:val="clear" w:color="auto" w:fill="auto"/>
            <w:noWrap/>
            <w:vAlign w:val="center"/>
            <w:hideMark/>
          </w:tcPr>
          <w:p w14:paraId="7B961FED"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 TT</w:t>
            </w:r>
          </w:p>
        </w:tc>
        <w:tc>
          <w:tcPr>
            <w:tcW w:w="5615" w:type="dxa"/>
            <w:tcBorders>
              <w:top w:val="single" w:sz="4" w:space="0" w:color="7F7F7F"/>
              <w:bottom w:val="single" w:sz="4" w:space="0" w:color="7F7F7F"/>
            </w:tcBorders>
            <w:shd w:val="clear" w:color="auto" w:fill="auto"/>
            <w:noWrap/>
            <w:vAlign w:val="center"/>
            <w:hideMark/>
          </w:tcPr>
          <w:p w14:paraId="4953B338"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AD: </w:t>
            </w:r>
            <w:r w:rsidRPr="00C81B1E">
              <w:rPr>
                <w:rFonts w:eastAsia="Calibri"/>
                <w:lang w:val="en-GB" w:eastAsia="en-US"/>
              </w:rPr>
              <w:fldChar w:fldCharType="begin" w:fldLock="1"/>
            </w:r>
            <w:r w:rsidRPr="00C81B1E">
              <w:rPr>
                <w:rFonts w:eastAsia="Calibri"/>
                <w:lang w:val="en-GB" w:eastAsia="en-US"/>
              </w:rPr>
              <w:instrText>ADDIN CSL_CITATION {"citationItems":[{"id":"ITEM-1","itemData":{"ISBN":"0-471-20693-8","ISSN":"03043894","PMID":"15003161","abstract":"Anaerobic digestion is a biochemical degradation process that converts complex organic material, such as animal manure, into methane and other byproducts. Part of the author's Wastewater Microbiology series, Microbiology of Anareboic Digesters eschews technical jargon to deliver a practical, how-to guide for wastewater plant operators.","author":[{"dropping-particle":"","family":"Gerardi","given":"Michael H","non-dropping-particle":"","parse-names":false,"suffix":""}],"container-title":"Vasa","editor":[{"dropping-particle":"","family":"Gerardi","given":"Michael H","non-dropping-particle":"","parse-names":false,"suffix":""}],"id":"ITEM-1","issued":{"date-parts":[["2003"]]},"publisher":"John Wiley &amp; Sons, Inc.","publisher-place":"Hoboken, New Jersey, USA","title":"The Microbiology of Anaerobic Digesters","type":"book"},"uris":["http://www.mendeley.com/documents/?uuid=81a342ae-60fa-49a2-8b1d-3ae0fb3055c3"]}],"mendeley":{"formattedCitation":"(Gerardi, 2003)","manualFormatting":"Gerardi (2003)","plainTextFormattedCitation":"(Gerardi, 2003)","previouslyFormattedCitation":"(Gerardi, 2003)"},"properties":{"noteIndex":0},"schema":"https://github.com/citation-style-language/schema/raw/master/csl-citation.json"}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Gerardi (2003)</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resconrec.2014.07.005","ISSN":"09213449","author":[{"dropping-particle":"","family":"Zhao","given":"Yan","non-dropping-particle":"","parse-names":false,"suffix":""},{"dropping-particle":"","family":"Deng","given":"Wenjing","non-dropping-particle":"","parse-names":false,"suffix":""}],"container-title":"Resources, Conservation and Recycling","id":"ITEM-1","issued":{"date-parts":[["2014"]]},"page":"214-221","publisher":"Elsevier B.V.","title":"Environmental impacts of different food waste resource technologies and the effects of energy mix","type":"article-journal","volume":"92"},"uris":["http://www.mendeley.com/documents/?uuid=33d05458-cf59-4c5a-b8f6-84e40ad8e9f5"]}],"mendeley":{"formattedCitation":"(Zhao and Deng, 2014)","manualFormatting":"Zhao &amp; Deng (2014)","plainTextFormattedCitation":"(Zhao and Deng, 2014)","previouslyFormattedCitation":"(Zhao and Deng, 2014)"},"properties":{"noteIndex":0},"schema":"https://github.com/citation-style-language/schema/raw/master/csl-citation.json"}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Zhao &amp; Deng (2014)</w:t>
            </w:r>
            <w:r w:rsidRPr="00C81B1E">
              <w:rPr>
                <w:rFonts w:eastAsia="Calibri"/>
                <w:lang w:val="en-GB" w:eastAsia="en-US"/>
              </w:rPr>
              <w:fldChar w:fldCharType="end"/>
            </w:r>
            <w:r w:rsidRPr="00C81B1E">
              <w:rPr>
                <w:rFonts w:eastAsia="Calibri"/>
                <w:lang w:val="en-GB" w:eastAsia="en-US"/>
              </w:rPr>
              <w:t xml:space="preserve">, TT: </w:t>
            </w:r>
            <w:r w:rsidRPr="00C81B1E">
              <w:rPr>
                <w:rFonts w:eastAsia="Calibri"/>
                <w:lang w:val="en-GB" w:eastAsia="en-US"/>
              </w:rPr>
              <w:fldChar w:fldCharType="begin" w:fldLock="1"/>
            </w:r>
            <w:r w:rsidRPr="00C81B1E">
              <w:rPr>
                <w:rFonts w:eastAsia="Calibri"/>
                <w:lang w:val="en-GB" w:eastAsia="en-US"/>
              </w:rPr>
              <w:instrText>ADDIN CSL_CITATION {"citationItems":[{"id":"ITEM-1","itemData":{"abstract":"This project deals with combustion installations with a rated thermal\\ninput exceeding 50 MW. Plants with a thermal input lower than 50\\nMW are, however, discussed where technically relevant because smaller\\nunits can potentially be added to a plant to build one larger installation\\nexceeding 50 MW. All kinds of conventional power plants (e.g. utility\\nboiler plants, combined heat and power plants, district heating plants)\\nused for mechanical power and heat generation are covered in this\\nwork. Industrial combustion installations are covered if they use\\nconventional fuel. The commercial availability of the fuel on the\\nmarket has been used as an indicator to identify conventional fuels.\\nThe criterion for classifying a fuel as a 'conventional fuel' is\\na known composition which remains relatively constant, and indeed\\nis usually standardised. Coal, lignite, biomass, peat, liquid and\\ngaseous fuels (including hydrogen and biogas) are regarded as conventional\\nfuels. The use of waste as a secondary fuel is also covered in this\\nwork.","author":[{"dropping-particle":"","family":"European Commission","given":"","non-dropping-particle":"","parse-names":false,"suffix":""}],"container-title":"Integrated Pollution Prevention Control","id":"ITEM-1","issue":"August","issued":{"date-parts":[["2006"]]},"title":"Reference Document on the Best Available Techniques for Waste Incineration","type":"article-journal"},"uris":["http://www.mendeley.com/documents/?uuid=cafb8d98-221f-4574-9995-e04c7a48fca0"]}],"mendeley":{"formattedCitation":"(European Commission, 2006a)","manualFormatting":"European Commission (2006c)","plainTextFormattedCitation":"(European Commission, 2006a)","previouslyFormattedCitation":"(European Commission, 2006a)"},"properties":{"noteIndex":0},"schema":"https://github.com/citation-style-language/schema/raw/master/csl-citation.json"}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European Commission (2006c)</w:t>
            </w:r>
            <w:r w:rsidRPr="00C81B1E">
              <w:rPr>
                <w:rFonts w:eastAsia="Calibri"/>
                <w:lang w:val="en-GB" w:eastAsia="en-US"/>
              </w:rPr>
              <w:fldChar w:fldCharType="end"/>
            </w:r>
          </w:p>
        </w:tc>
      </w:tr>
      <w:tr w:rsidR="00C81B1E" w:rsidRPr="00C81B1E" w14:paraId="3C9E2847" w14:textId="77777777" w:rsidTr="00C81B1E">
        <w:trPr>
          <w:trHeight w:val="285"/>
        </w:trPr>
        <w:tc>
          <w:tcPr>
            <w:tcW w:w="1560" w:type="dxa"/>
            <w:shd w:val="clear" w:color="auto" w:fill="auto"/>
            <w:noWrap/>
            <w:vAlign w:val="center"/>
            <w:hideMark/>
          </w:tcPr>
          <w:p w14:paraId="047EE682"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Dust</w:t>
            </w:r>
          </w:p>
        </w:tc>
        <w:tc>
          <w:tcPr>
            <w:tcW w:w="992" w:type="dxa"/>
            <w:shd w:val="clear" w:color="auto" w:fill="auto"/>
            <w:noWrap/>
            <w:vAlign w:val="center"/>
            <w:hideMark/>
          </w:tcPr>
          <w:p w14:paraId="135DBBA8" w14:textId="77777777" w:rsidR="00C7764C" w:rsidRPr="00C81B1E" w:rsidRDefault="00C7764C" w:rsidP="00C81B1E">
            <w:pPr>
              <w:pStyle w:val="MDPI42tablebody"/>
              <w:rPr>
                <w:rFonts w:eastAsia="Calibri"/>
                <w:lang w:val="en-GB" w:eastAsia="en-US"/>
              </w:rPr>
            </w:pPr>
            <w:r w:rsidRPr="00C81B1E">
              <w:rPr>
                <w:rFonts w:eastAsia="Calibri"/>
                <w:lang w:val="en-GB" w:eastAsia="en-US"/>
              </w:rPr>
              <w:t>mg/m</w:t>
            </w:r>
            <w:r w:rsidRPr="00C81B1E">
              <w:rPr>
                <w:rFonts w:eastAsia="Calibri"/>
                <w:vertAlign w:val="superscript"/>
                <w:lang w:val="en-GB" w:eastAsia="en-US"/>
              </w:rPr>
              <w:t>3</w:t>
            </w:r>
          </w:p>
        </w:tc>
        <w:tc>
          <w:tcPr>
            <w:tcW w:w="899" w:type="dxa"/>
            <w:shd w:val="clear" w:color="auto" w:fill="auto"/>
            <w:noWrap/>
            <w:vAlign w:val="center"/>
            <w:hideMark/>
          </w:tcPr>
          <w:p w14:paraId="0DF4D8E0" w14:textId="77777777" w:rsidR="00C7764C" w:rsidRPr="00C81B1E" w:rsidRDefault="00C7764C" w:rsidP="00C81B1E">
            <w:pPr>
              <w:pStyle w:val="MDPI42tablebody"/>
              <w:rPr>
                <w:rFonts w:eastAsia="Calibri"/>
                <w:lang w:val="en-GB" w:eastAsia="en-US"/>
              </w:rPr>
            </w:pPr>
            <w:r w:rsidRPr="00C81B1E">
              <w:rPr>
                <w:rFonts w:eastAsia="Calibri"/>
                <w:lang w:val="en-GB" w:eastAsia="en-US"/>
              </w:rPr>
              <w:t>T, TT</w:t>
            </w:r>
          </w:p>
        </w:tc>
        <w:tc>
          <w:tcPr>
            <w:tcW w:w="5615" w:type="dxa"/>
            <w:shd w:val="clear" w:color="auto" w:fill="auto"/>
            <w:noWrap/>
            <w:vAlign w:val="center"/>
            <w:hideMark/>
          </w:tcPr>
          <w:p w14:paraId="0530CFBD"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T: </w:t>
            </w:r>
            <w:r w:rsidRPr="00C81B1E">
              <w:rPr>
                <w:rFonts w:eastAsia="Calibri"/>
                <w:lang w:val="en-GB" w:eastAsia="en-US"/>
              </w:rPr>
              <w:fldChar w:fldCharType="begin" w:fldLock="1"/>
            </w:r>
            <w:r w:rsidRPr="00C81B1E">
              <w:rPr>
                <w:rFonts w:eastAsia="Calibri"/>
                <w:lang w:val="en-GB" w:eastAsia="en-US"/>
              </w:rPr>
              <w:instrText>ADDIN CSL_CITATION {"citationItems":[{"id":"ITEM-1","itemData":{"DOI":"10.2166/wst.2015.307","ISSN":"02731223","author":[{"dropping-particle":"","family":"Wada","given":"K.","non-dropping-particle":"","parse-names":false,"suffix":""},{"dropping-particle":"","family":"Takei","given":"N.","non-dropping-particle":"","parse-names":false,"suffix":""},{"dropping-particle":"","family":"Sato","given":"T.","non-dropping-particle":"","parse-names":false,"suffix":""},{"dropping-particle":"","family":"Tsuno","given":"H.","non-dropping-particle":"","parse-names":false,"suffix":""}],"container-title":"Water Science and Technology","id":"ITEM-1","issue":"7","issued":{"date-parts":[["2015"]]},"page":"1234-1242","title":"Sources of organic matter in first flush runoff from urban roadways","type":"article-journal","volume":"72"},"uris":["http://www.mendeley.com/documents/?uuid=bdee2e3d-775a-41c6-a7d9-a8dd2af0d467"]}],"mendeley":{"formattedCitation":"(Wada et al., 2015)","manualFormatting":"Wada et al. (2015)","plainTextFormattedCitation":"(Wada et al., 2015)","previouslyFormattedCitation":"(Wada et al., 2015)"},"properties":{"noteIndex":0},"schema":"https://github.com/citation-style-language/schema/raw/master/csl-citation.json"}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Wada et al. (2015)</w:t>
            </w:r>
            <w:r w:rsidRPr="00C81B1E">
              <w:rPr>
                <w:rFonts w:eastAsia="Calibri"/>
                <w:lang w:val="en-GB" w:eastAsia="en-US"/>
              </w:rPr>
              <w:fldChar w:fldCharType="end"/>
            </w:r>
            <w:r w:rsidRPr="00C81B1E">
              <w:rPr>
                <w:rFonts w:eastAsia="Calibri"/>
                <w:lang w:val="en-GB" w:eastAsia="en-US"/>
              </w:rPr>
              <w:t xml:space="preserve">, TT: </w:t>
            </w:r>
            <w:r w:rsidRPr="00C81B1E">
              <w:rPr>
                <w:rFonts w:eastAsia="Calibri"/>
                <w:lang w:val="en-GB" w:eastAsia="en-US"/>
              </w:rPr>
              <w:fldChar w:fldCharType="begin" w:fldLock="1"/>
            </w:r>
            <w:r w:rsidRPr="00C81B1E">
              <w:rPr>
                <w:rFonts w:eastAsia="Calibri"/>
                <w:lang w:val="en-GB" w:eastAsia="en-US"/>
              </w:rPr>
              <w:instrText>ADDIN CSL_CITATION {"citationItems":[{"id":"ITEM-1","itemData":{"author":[{"dropping-particle":"","family":"European Commission","given":"","non-dropping-particle":"","parse-names":false,"suffix":""}],"container-title":"Integrated Pollution Prevention and Control","id":"ITEM-1","issue":"August","issued":{"date-parts":[["2006"]]},"title":"Reference Document on Best Available Techniques for the Waste Treatments Industries","type":"report"},"uris":["http://www.mendeley.com/documents/?uuid=58e6a977-0d31-42f7-a7ab-f8c0bc496360"]}],"mendeley":{"formattedCitation":"(European Commission, 2006b)","manualFormatting":"European Commission (2006a)","plainTextFormattedCitation":"(European Commission, 2006b)","previouslyFormattedCitation":"(European Commission, 2006b)"},"properties":{"noteIndex":0},"schema":"https://github.com/citation-style-language/schema/raw/master/csl-citation.json"}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European Commission (2006a)</w:t>
            </w:r>
            <w:r w:rsidRPr="00C81B1E">
              <w:rPr>
                <w:rFonts w:eastAsia="Calibri"/>
                <w:lang w:val="en-GB" w:eastAsia="en-US"/>
              </w:rPr>
              <w:fldChar w:fldCharType="end"/>
            </w:r>
          </w:p>
        </w:tc>
      </w:tr>
      <w:tr w:rsidR="00C81B1E" w:rsidRPr="00C81B1E" w14:paraId="44B5C09C" w14:textId="77777777" w:rsidTr="00C81B1E">
        <w:trPr>
          <w:trHeight w:val="285"/>
        </w:trPr>
        <w:tc>
          <w:tcPr>
            <w:tcW w:w="1560" w:type="dxa"/>
            <w:tcBorders>
              <w:top w:val="single" w:sz="4" w:space="0" w:color="7F7F7F"/>
              <w:bottom w:val="single" w:sz="4" w:space="0" w:color="7F7F7F"/>
            </w:tcBorders>
            <w:shd w:val="clear" w:color="auto" w:fill="auto"/>
            <w:noWrap/>
            <w:vAlign w:val="center"/>
            <w:hideMark/>
          </w:tcPr>
          <w:p w14:paraId="1A7C027D"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PM&lt;10</w:t>
            </w:r>
          </w:p>
        </w:tc>
        <w:tc>
          <w:tcPr>
            <w:tcW w:w="992" w:type="dxa"/>
            <w:tcBorders>
              <w:top w:val="single" w:sz="4" w:space="0" w:color="7F7F7F"/>
              <w:bottom w:val="single" w:sz="4" w:space="0" w:color="7F7F7F"/>
            </w:tcBorders>
            <w:shd w:val="clear" w:color="auto" w:fill="auto"/>
            <w:noWrap/>
            <w:vAlign w:val="center"/>
            <w:hideMark/>
          </w:tcPr>
          <w:p w14:paraId="22782EF5" w14:textId="77777777" w:rsidR="00C7764C" w:rsidRPr="00C81B1E" w:rsidRDefault="00C7764C" w:rsidP="00C81B1E">
            <w:pPr>
              <w:pStyle w:val="MDPI42tablebody"/>
              <w:rPr>
                <w:rFonts w:eastAsia="Calibri"/>
                <w:lang w:val="en-GB" w:eastAsia="en-US"/>
              </w:rPr>
            </w:pPr>
            <w:r w:rsidRPr="00C81B1E">
              <w:rPr>
                <w:rFonts w:eastAsia="Calibri"/>
                <w:lang w:val="en-GB" w:eastAsia="en-US"/>
              </w:rPr>
              <w:t>mg/m</w:t>
            </w:r>
            <w:r w:rsidRPr="00C81B1E">
              <w:rPr>
                <w:rFonts w:eastAsia="Calibri"/>
                <w:vertAlign w:val="superscript"/>
                <w:lang w:val="en-GB" w:eastAsia="en-US"/>
              </w:rPr>
              <w:t>3</w:t>
            </w:r>
          </w:p>
        </w:tc>
        <w:tc>
          <w:tcPr>
            <w:tcW w:w="899" w:type="dxa"/>
            <w:tcBorders>
              <w:top w:val="single" w:sz="4" w:space="0" w:color="7F7F7F"/>
              <w:bottom w:val="single" w:sz="4" w:space="0" w:color="7F7F7F"/>
            </w:tcBorders>
            <w:shd w:val="clear" w:color="auto" w:fill="auto"/>
            <w:noWrap/>
            <w:vAlign w:val="center"/>
            <w:hideMark/>
          </w:tcPr>
          <w:p w14:paraId="77AE33A9" w14:textId="77777777" w:rsidR="00C7764C" w:rsidRPr="00C81B1E" w:rsidRDefault="00C7764C" w:rsidP="00C81B1E">
            <w:pPr>
              <w:pStyle w:val="MDPI42tablebody"/>
              <w:rPr>
                <w:rFonts w:eastAsia="Calibri"/>
                <w:lang w:val="en-GB" w:eastAsia="en-US"/>
              </w:rPr>
            </w:pPr>
            <w:r w:rsidRPr="00C81B1E">
              <w:rPr>
                <w:rFonts w:eastAsia="Calibri"/>
                <w:lang w:val="en-GB" w:eastAsia="en-US"/>
              </w:rPr>
              <w:t>T, AD, C, TT</w:t>
            </w:r>
          </w:p>
        </w:tc>
        <w:tc>
          <w:tcPr>
            <w:tcW w:w="5615" w:type="dxa"/>
            <w:tcBorders>
              <w:top w:val="single" w:sz="4" w:space="0" w:color="7F7F7F"/>
              <w:bottom w:val="single" w:sz="4" w:space="0" w:color="7F7F7F"/>
            </w:tcBorders>
            <w:shd w:val="clear" w:color="auto" w:fill="auto"/>
            <w:noWrap/>
            <w:vAlign w:val="center"/>
            <w:hideMark/>
          </w:tcPr>
          <w:p w14:paraId="7100BF3F"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T: </w:t>
            </w:r>
            <w:r w:rsidRPr="00C81B1E">
              <w:rPr>
                <w:rFonts w:eastAsia="Calibri"/>
                <w:lang w:val="en-GB" w:eastAsia="en-US"/>
              </w:rPr>
              <w:fldChar w:fldCharType="begin" w:fldLock="1"/>
            </w:r>
            <w:r w:rsidRPr="00C81B1E">
              <w:rPr>
                <w:rFonts w:eastAsia="Calibri"/>
                <w:lang w:val="en-GB" w:eastAsia="en-US"/>
              </w:rPr>
              <w:instrText>ADDIN CSL_CITATION {"citationItems":[{"id":"ITEM-1","itemData":{"author":[{"dropping-particle":"","family":"Boer","given":"Eelco","non-dropping-particle":"den","parse-names":false,"suffix":""},{"dropping-particle":"","family":"Brouwer","given":"Femke","non-dropping-particle":"","parse-names":false,"suffix":""},{"dropping-particle":"","family":"Schroten","given":"Arno","non-dropping-particle":"","parse-names":false,"suffix":""},{"dropping-particle":"","family":"Essen","given":"Huib","non-dropping-particle":"van","parse-names":false,"suffix":""}],"container-title":"CE Delft","id":"ITEM-1","issue":"January","issued":{"date-parts":[["2009"]]},"publisher-place":"Delft (The Netherlands)","title":"Are trucks taking their toll? The environmental, safety and congestion impacts of lorries in the EU","type":"report"},"uris":["http://www.mendeley.com/documents/?uuid=0a2a7979-9117-494f-a663-f531463bad76"]}],"mendeley":{"formattedCitation":"(den Boer et al., 2009)","manualFormatting":"den Boer et al. (2009)","plainTextFormattedCitation":"(den Boer et al., 2009)","previouslyFormattedCitation":"(den Boer et al., 2009)"},"properties":{"noteIndex":0},"schema":"https://github.com/citation-style-language/schema/raw/master/csl-citation.json"}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den Boer et al. (2009)</w:t>
            </w:r>
            <w:r w:rsidRPr="00C81B1E">
              <w:rPr>
                <w:rFonts w:eastAsia="Calibri"/>
                <w:lang w:val="en-GB" w:eastAsia="en-US"/>
              </w:rPr>
              <w:fldChar w:fldCharType="end"/>
            </w:r>
            <w:r w:rsidRPr="00C81B1E">
              <w:rPr>
                <w:rFonts w:eastAsia="Calibri"/>
                <w:lang w:val="en-GB" w:eastAsia="en-US"/>
              </w:rPr>
              <w:t xml:space="preserve">, AD: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{"citationItems":[{"id":"ITEM-1","itemData":{"DOI":"10.1016/j.energy.2008.08.023","ISBN":"0360-5442","ISSN":"03605442","PMID":"18024489","abstract":"This paper focuses on a Life Cycle Assessment (LCA) of four waste management strategies: landfill without biogas utilization; landfill with biogas combustion to generate electricity; sorting plant which splits the inorganic waste fraction (used to produce electricity via Refuse Derived Fuels, RDF) from the organic waste fraction (used to produce biogas via anaerobic digestion); direct incineration of waste. These scenarios are applied to the waste amount and composition of the Municipality of Roma (Italy) and are evaluated under different points of view: global and local emissions, total material demands, total energy requirements and ecological footprints. Results, reliable for most of the European big cities, show landfill systems as the worst waste management options and significant environmental savings at global scale are achieved from undertaking energy recycling. Furthermore, waste treatments finalized to energy recovery provide an energy output that, in the best case, is able to meet the 15% of Roma electricity consumption. ?? 2008 Elsevier Ltd. All rights reserved.","author":[{"dropping-particle":"","family":"Cherubini","given":"Francesco","non-dropping-particle":"","parse-names":false,"suffix":""},{"dropping-particle":"","family":"Bargigli","given":"Silvia","non-dropping-particle":"","parse-names":false,"suffix":""},{"dropping-particle":"","family":"Ulgiati","given":"Sergio","non-dropping-particle":"","parse-names":false,"suffix":""}],"container-title":"Energy","id":"ITEM-1","issue":"12","issued":{"date-parts":[["2009"]]},"page":"2116-2123","publisher":"Elsevier Ltd","title":"Life cycle assessment (LCA) of waste management strategies: Landfilling, sorting plant and incineration","type":"article-journal","volume":"34"},"uris":["http://www.mendeley.com/documents/?uuid=101d9caf-c6ec-4d3d-82bf-e95e3cdb0935"]}],"mendeley":{"formattedCitation":"(Cherubini et al., 2009)","manualFormatting":"Cherubini et al. (2009)","plainTextFormattedCitation":"(Cherubini et al., 2009)","previouslyFormattedCitation":"(Cherubini et al., 2009)"},"properties":{"noteIndex":0},"schema":"https://github.com/citation-style-language/schema/raw/master/csl-citation.json"}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Cherubini et al. (2009)</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resconrec.2014.07.005","ISSN":"09213449","author":[{"dropping-particle":"","family":"Zhao","given":"Yan","non-dropping-particle":"","parse-names":false,"suffix":""},{"dropping-particle":"","family":"Deng","given":"Wenjing","non-dropping-particle":"","parse-names":false,"suffix":""}],"container-title":"Resources, Conservation and Recycling","id":"ITEM-1","issued":{"date-parts":[["2014"]]},"page":"214-221","publisher":"Elsevier B.V.","title":"Environmental impacts of different food waste resource technologies and the effects of energy mix","type":"article-journal","volume":"92"},"uris":["http://www.mendeley.com/documents/?uuid=33d05458-cf59-4c5a-b8f6-84e40ad8e9f5"]}],"mendeley":{"formattedCitation":"(Zhao and Deng, 2014)","manualFormatting":"Zhao &amp; Deng (2014)","plainTextFormattedCitation":"(Zhao and Deng, 2014)","previouslyFormattedCitation":"(Zhao and Deng, 2014)"},"properties":{"noteIndex":0},"schema":"https://github.com/citation-style-language/schema/raw/master/csl-citation.json"}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Zhao &amp; Deng (2014)</w:t>
            </w:r>
            <w:r w:rsidRPr="00C81B1E">
              <w:rPr>
                <w:rFonts w:eastAsia="Calibri"/>
                <w:lang w:val="en-GB" w:eastAsia="en-US"/>
              </w:rPr>
              <w:fldChar w:fldCharType="end"/>
            </w:r>
            <w:r w:rsidRPr="00C81B1E">
              <w:rPr>
                <w:rFonts w:eastAsia="Calibri"/>
                <w:lang w:val="en-GB" w:eastAsia="en-US"/>
              </w:rPr>
              <w:t xml:space="preserve">, TT: </w:t>
            </w:r>
            <w:r w:rsidRPr="00C81B1E">
              <w:rPr>
                <w:rFonts w:eastAsia="Calibri"/>
                <w:lang w:val="en-GB" w:eastAsia="en-US"/>
              </w:rPr>
              <w:fldChar w:fldCharType="begin" w:fldLock="1"/>
            </w:r>
            <w:r w:rsidRPr="00C81B1E">
              <w:rPr>
                <w:rFonts w:eastAsia="Calibri"/>
                <w:lang w:val="en-GB" w:eastAsia="en-US"/>
              </w:rPr>
              <w:instrText>ADDIN CSL_CITATION {"citationItems":[{"id":"ITEM-1","itemData":{"abstract":"This project deals with combustion installations with a rated thermal\\ninput exceeding 50 MW. Plants with a thermal input lower than 50\\nMW are, however, discussed where technically relevant because smaller\\nunits can potentially be added to a plant to build one larger installation\\nexceeding 50 MW. All kinds of conventional power plants (e.g. utility\\nboiler plants, combined heat and power plants, district heating plants)\\nused for mechanical power and heat generation are covered in this\\nwork. Industrial combustion installations are covered if they use\\nconventional fuel. The commercial availability of the fuel on the\\nmarket has been used as an indicator to identify conventional fuels.\\nThe criterion for classifying a fuel as a 'conventional fuel' is\\na known composition which remains relatively constant, and indeed\\nis usually standardised. Coal, lignite, biomass, peat, liquid and\\ngaseous fuels (including hydrogen and biogas) are regarded as conventional\\nfuels. The use of waste as a secondary fuel is also covered in this\\nwork.","author":[{"dropping-particle":"","family":"European Commission","given":"","non-dropping-particle":"","parse-names":false,"suffix":""}],"container-title":"Integrated Pollution Prevention Control","id":"ITEM-1","issue":"August","issued":{"date-parts":[["2006"]]},"title":"Reference Document on the Best Available Techniques for Waste Incineration","type":"article-journal"},"uris":["http://www.mendeley.com/documents/?uuid=cafb8d98-221f-4574-9995-e04c7a48fca0"]}],"mendeley":{"formattedCitation":"(European Commission, 2006a)","manualFormatting":"European Commission (2006c)","plainTextFormattedCitation":"(European Commission, 2006a)","previouslyFormattedCitation":"(European Commission, 2006a)"},"properties":{"noteIndex":0},"schema":"https://github.com/citation-style-language/schema/raw/master/csl-citation.json"}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European Commission (2006c)</w:t>
            </w:r>
            <w:r w:rsidRPr="00C81B1E">
              <w:rPr>
                <w:rFonts w:eastAsia="Calibri"/>
                <w:lang w:val="en-GB" w:eastAsia="en-US"/>
              </w:rPr>
              <w:fldChar w:fldCharType="end"/>
            </w:r>
          </w:p>
        </w:tc>
      </w:tr>
      <w:tr w:rsidR="00C81B1E" w:rsidRPr="00C81B1E" w14:paraId="7ED915FD" w14:textId="77777777" w:rsidTr="00C81B1E">
        <w:trPr>
          <w:trHeight w:val="285"/>
        </w:trPr>
        <w:tc>
          <w:tcPr>
            <w:tcW w:w="1560" w:type="dxa"/>
            <w:shd w:val="clear" w:color="auto" w:fill="auto"/>
            <w:noWrap/>
            <w:vAlign w:val="center"/>
            <w:hideMark/>
          </w:tcPr>
          <w:p w14:paraId="0BAAE9BB"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PM&lt;2.5</w:t>
            </w:r>
          </w:p>
        </w:tc>
        <w:tc>
          <w:tcPr>
            <w:tcW w:w="992" w:type="dxa"/>
            <w:shd w:val="clear" w:color="auto" w:fill="auto"/>
            <w:noWrap/>
            <w:vAlign w:val="center"/>
            <w:hideMark/>
          </w:tcPr>
          <w:p w14:paraId="36D5623B" w14:textId="77777777" w:rsidR="00C7764C" w:rsidRPr="00C81B1E" w:rsidRDefault="00C7764C" w:rsidP="00C81B1E">
            <w:pPr>
              <w:pStyle w:val="MDPI42tablebody"/>
              <w:rPr>
                <w:rFonts w:eastAsia="Calibri"/>
                <w:lang w:val="en-GB" w:eastAsia="en-US"/>
              </w:rPr>
            </w:pPr>
            <w:r w:rsidRPr="00C81B1E">
              <w:rPr>
                <w:rFonts w:eastAsia="Calibri"/>
                <w:lang w:val="en-GB" w:eastAsia="en-US"/>
              </w:rPr>
              <w:t>mg/m</w:t>
            </w:r>
            <w:r w:rsidRPr="00C81B1E">
              <w:rPr>
                <w:rFonts w:eastAsia="Calibri"/>
                <w:vertAlign w:val="superscript"/>
                <w:lang w:val="en-GB" w:eastAsia="en-US"/>
              </w:rPr>
              <w:t>3</w:t>
            </w:r>
          </w:p>
        </w:tc>
        <w:tc>
          <w:tcPr>
            <w:tcW w:w="899" w:type="dxa"/>
            <w:shd w:val="clear" w:color="auto" w:fill="auto"/>
            <w:noWrap/>
            <w:vAlign w:val="center"/>
            <w:hideMark/>
          </w:tcPr>
          <w:p w14:paraId="33264D39" w14:textId="77777777" w:rsidR="00C7764C" w:rsidRPr="00C81B1E" w:rsidRDefault="00C7764C" w:rsidP="00C81B1E">
            <w:pPr>
              <w:pStyle w:val="MDPI42tablebody"/>
              <w:rPr>
                <w:rFonts w:eastAsia="Calibri"/>
                <w:lang w:val="en-GB" w:eastAsia="en-US"/>
              </w:rPr>
            </w:pPr>
            <w:r w:rsidRPr="00C81B1E">
              <w:rPr>
                <w:rFonts w:eastAsia="Calibri"/>
                <w:lang w:val="en-GB" w:eastAsia="en-US"/>
              </w:rPr>
              <w:t>T, TT</w:t>
            </w:r>
          </w:p>
        </w:tc>
        <w:tc>
          <w:tcPr>
            <w:tcW w:w="5615" w:type="dxa"/>
            <w:shd w:val="clear" w:color="auto" w:fill="auto"/>
            <w:noWrap/>
            <w:vAlign w:val="center"/>
            <w:hideMark/>
          </w:tcPr>
          <w:p w14:paraId="5F6D4ABD"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T: </w:t>
            </w:r>
            <w:r w:rsidRPr="00C81B1E">
              <w:rPr>
                <w:rFonts w:eastAsia="Calibri"/>
                <w:lang w:val="en-GB" w:eastAsia="en-US"/>
              </w:rPr>
              <w:fldChar w:fldCharType="begin" w:fldLock="1"/>
            </w:r>
            <w:r w:rsidRPr="00C81B1E">
              <w:rPr>
                <w:rFonts w:eastAsia="Calibri"/>
                <w:lang w:val="en-GB" w:eastAsia="en-US"/>
              </w:rPr>
              <w:instrText>ADDIN CSL_CITATION {"citationItems":[{"id":"ITEM-1","itemData":{"author":[{"dropping-particle":"","family":"Boer","given":"Eelco","non-dropping-particle":"den","parse-names":false,"suffix":""},{"dropping-particle":"","family":"Brouwer","given":"Femke","non-dropping-particle":"","parse-names":false,"suffix":""},{"dropping-particle":"","family":"Schroten","given":"Arno","non-dropping-particle":"","parse-names":false,"suffix":""},{"dropping-particle":"","family":"Essen","given":"Huib","non-dropping-particle":"van","parse-names":false,"suffix":""}],"container-title":"CE Delft","id":"ITEM-1","issue":"January","issued":{"date-parts":[["2009"]]},"publisher-place":"Delft (The Netherlands)","title":"Are trucks taking their toll? The environmental, safety and congestion impacts of lorries in the EU","type":"report"},"uris":["http://www.mendeley.com/documents/?uuid=0a2a7979-9117-494f-a663-f531463bad76"]}],"mendeley":{"formattedCitation":"(den Boer et al., 2009)","manualFormatting":"den Boer et al. (2009)","plainTextFormattedCitation":"(den Boer et al., 2009)","previouslyFormattedCitation":"(den Boer et al., 2009)"},"properties":{"noteIndex":0},"schema":"https://github.com/citation-style-language/schema/raw/master/csl-citation.json"}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den Boer et al. (2009)</w:t>
            </w:r>
            <w:r w:rsidRPr="00C81B1E">
              <w:rPr>
                <w:rFonts w:eastAsia="Calibri"/>
                <w:lang w:val="en-GB" w:eastAsia="en-US"/>
              </w:rPr>
              <w:fldChar w:fldCharType="end"/>
            </w:r>
            <w:r w:rsidRPr="00C81B1E">
              <w:rPr>
                <w:rFonts w:eastAsia="Calibri"/>
                <w:lang w:val="en-GB" w:eastAsia="en-US"/>
              </w:rPr>
              <w:t xml:space="preserve">, TT: </w:t>
            </w:r>
            <w:r w:rsidRPr="00C81B1E">
              <w:rPr>
                <w:rFonts w:eastAsia="Calibri"/>
                <w:lang w:val="en-GB" w:eastAsia="en-US"/>
              </w:rPr>
              <w:fldChar w:fldCharType="begin" w:fldLock="1"/>
            </w:r>
            <w:r w:rsidRPr="00C81B1E">
              <w:rPr>
                <w:rFonts w:eastAsia="Calibri"/>
                <w:lang w:val="en-GB" w:eastAsia="en-US"/>
              </w:rPr>
              <w:instrText>ADDIN CSL_CITATION {"citationItems":[{"id":"ITEM-1","itemData":{"abstract":"This project deals with combustion installations with a rated thermal\\ninput exceeding 50 MW. Plants with a thermal input lower than 50\\nMW are, however, discussed where technically relevant because smaller\\nunits can potentially be added to a plant to build one larger installation\\nexceeding 50 MW. All kinds of conventional power plants (e.g. utility\\nboiler plants, combined heat and power plants, district heating plants)\\nused for mechanical power and heat generation are covered in this\\nwork. Industrial combustion installations are covered if they use\\nconventional fuel. The commercial availability of the fuel on the\\nmarket has been used as an indicator to identify conventional fuels.\\nThe criterion for classifying a fuel as a 'conventional fuel' is\\na known composition which remains relatively constant, and indeed\\nis usually standardised. Coal, lignite, biomass, peat, liquid and\\ngaseous fuels (including hydrogen and biogas) are regarded as conventional\\nfuels. The use of waste as a secondary fuel is also covered in this\\nwork.","author":[{"dropping-particle":"","family":"European Commission","given":"","non-dropping-particle":"","parse-names":false,"suffix":""}],"container-title":"Integrated Pollution Prevention Control","id":"ITEM-1","issue":"August","issued":{"date-parts":[["2006"]]},"title":"Reference Document on the Best Available Techniques for Waste Incineration","type":"article-journal"},"uris":["http://www.mendeley.com/documents/?uuid=cafb8d98-221f-4574-9995-e04c7a48fca0"]}],"mendeley":{"formattedCitation":"(European Commission, 2006a)","manualFormatting":"European Commission (2006c)","plainTextFormattedCitation":"(European Commission, 2006a)","previouslyFormattedCitation":"(European Commission, 2006a)"},"properties":{"noteIndex":0},"schema":"https://github.com/citation-style-language/schema/raw/master/csl-citation.json"}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European Commission (2006c)</w:t>
            </w:r>
            <w:r w:rsidRPr="00C81B1E">
              <w:rPr>
                <w:rFonts w:eastAsia="Calibri"/>
                <w:lang w:val="en-GB" w:eastAsia="en-US"/>
              </w:rPr>
              <w:fldChar w:fldCharType="end"/>
            </w:r>
          </w:p>
        </w:tc>
      </w:tr>
      <w:tr w:rsidR="00C81B1E" w:rsidRPr="00C81B1E" w14:paraId="5C7F248E" w14:textId="77777777" w:rsidTr="00C81B1E">
        <w:trPr>
          <w:trHeight w:val="285"/>
        </w:trPr>
        <w:tc>
          <w:tcPr>
            <w:tcW w:w="1560" w:type="dxa"/>
            <w:tcBorders>
              <w:top w:val="single" w:sz="4" w:space="0" w:color="7F7F7F"/>
              <w:bottom w:val="single" w:sz="4" w:space="0" w:color="7F7F7F"/>
            </w:tcBorders>
            <w:shd w:val="clear" w:color="auto" w:fill="auto"/>
            <w:noWrap/>
            <w:vAlign w:val="center"/>
            <w:hideMark/>
          </w:tcPr>
          <w:p w14:paraId="692D893D"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As</w:t>
            </w:r>
          </w:p>
        </w:tc>
        <w:tc>
          <w:tcPr>
            <w:tcW w:w="992" w:type="dxa"/>
            <w:tcBorders>
              <w:top w:val="single" w:sz="4" w:space="0" w:color="7F7F7F"/>
              <w:bottom w:val="single" w:sz="4" w:space="0" w:color="7F7F7F"/>
            </w:tcBorders>
            <w:shd w:val="clear" w:color="auto" w:fill="auto"/>
            <w:noWrap/>
            <w:vAlign w:val="center"/>
            <w:hideMark/>
          </w:tcPr>
          <w:p w14:paraId="12F6CC98" w14:textId="77777777" w:rsidR="00C7764C" w:rsidRPr="00C81B1E" w:rsidRDefault="00C7764C" w:rsidP="00C81B1E">
            <w:pPr>
              <w:pStyle w:val="MDPI42tablebody"/>
              <w:rPr>
                <w:rFonts w:eastAsia="Calibri"/>
                <w:lang w:val="en-GB" w:eastAsia="en-US"/>
              </w:rPr>
            </w:pPr>
            <w:r w:rsidRPr="00C81B1E">
              <w:rPr>
                <w:rFonts w:eastAsia="Calibri"/>
                <w:lang w:val="en-GB" w:eastAsia="en-US"/>
              </w:rPr>
              <w:t>mg/m</w:t>
            </w:r>
            <w:r w:rsidRPr="00C81B1E">
              <w:rPr>
                <w:rFonts w:eastAsia="Calibri"/>
                <w:vertAlign w:val="superscript"/>
                <w:lang w:val="en-GB" w:eastAsia="en-US"/>
              </w:rPr>
              <w:t>3</w:t>
            </w:r>
          </w:p>
        </w:tc>
        <w:tc>
          <w:tcPr>
            <w:tcW w:w="899" w:type="dxa"/>
            <w:tcBorders>
              <w:top w:val="single" w:sz="4" w:space="0" w:color="7F7F7F"/>
              <w:bottom w:val="single" w:sz="4" w:space="0" w:color="7F7F7F"/>
            </w:tcBorders>
            <w:shd w:val="clear" w:color="auto" w:fill="auto"/>
            <w:noWrap/>
            <w:vAlign w:val="center"/>
            <w:hideMark/>
          </w:tcPr>
          <w:p w14:paraId="2113981F" w14:textId="77777777" w:rsidR="00C7764C" w:rsidRPr="00C81B1E" w:rsidRDefault="00C7764C" w:rsidP="00C81B1E">
            <w:pPr>
              <w:pStyle w:val="MDPI42tablebody"/>
              <w:rPr>
                <w:rFonts w:eastAsia="Calibri"/>
                <w:lang w:val="en-GB" w:eastAsia="en-US"/>
              </w:rPr>
            </w:pPr>
            <w:r w:rsidRPr="00C81B1E">
              <w:rPr>
                <w:rFonts w:eastAsia="Calibri"/>
                <w:lang w:val="en-GB" w:eastAsia="en-US"/>
              </w:rPr>
              <w:t>TT</w:t>
            </w:r>
          </w:p>
        </w:tc>
        <w:tc>
          <w:tcPr>
            <w:tcW w:w="5615" w:type="dxa"/>
            <w:vMerge w:val="restart"/>
            <w:tcBorders>
              <w:top w:val="single" w:sz="4" w:space="0" w:color="7F7F7F"/>
              <w:bottom w:val="single" w:sz="4" w:space="0" w:color="7F7F7F"/>
            </w:tcBorders>
            <w:shd w:val="clear" w:color="auto" w:fill="auto"/>
            <w:noWrap/>
            <w:vAlign w:val="center"/>
            <w:hideMark/>
          </w:tcPr>
          <w:p w14:paraId="07BF99E2" w14:textId="77777777" w:rsidR="00C7764C" w:rsidRPr="00C81B1E" w:rsidRDefault="00C7764C" w:rsidP="00C81B1E">
            <w:pPr>
              <w:pStyle w:val="MDPI42tablebody"/>
              <w:rPr>
                <w:rFonts w:eastAsia="Calibri"/>
                <w:lang w:val="en-GB" w:eastAsia="en-US"/>
              </w:rPr>
            </w:pPr>
            <w:r w:rsidRPr="00C81B1E">
              <w:rPr>
                <w:rFonts w:eastAsia="Calibri"/>
                <w:lang w:val="en-GB" w:eastAsia="en-US"/>
              </w:rPr>
              <w:fldChar w:fldCharType="begin" w:fldLock="1"/>
            </w:r>
            <w:r w:rsidRPr="00C81B1E">
              <w:rPr>
                <w:rFonts w:eastAsia="Calibri"/>
                <w:lang w:val="en-GB" w:eastAsia="en-US"/>
              </w:rPr>
              <w:instrText>ADDIN CSL_CITATION {"citationItems":[{"id":"ITEM-1","itemData":{"DOI":"10.1016/j.scitotenv.2007.06.037","ISBN":"0048-9697","ISSN":"0048-9697","PMID":"17761214","abstract":"During the last decade, there have been remarkable changes in food waste management in Korea following a ban on direct landfilling. To evaluate the environmental impacts of food waste management systems, we examined individual treatment systems with the LCA approach -- landfill, incineration, composting, and feed manufacturing -- and estimated the change from 1997 to 2005. The efficient system was different in each impact category, but it was evaluated that landfill is the main contributor to human toxicity and global warming (based on fossil CO(2)). In contrast, due to the increase of food waste recycling, acidification, eutrophication, and fresh water aquatic ecotoxicity impact was increased. Especially, the high energy consumption and generated residue in recycling systems caused the large burdens in toxicity categories.","author":[{"dropping-particle":"","family":"Lee","given":"Suk-Hui","non-dropping-particle":"","parse-names":false,"suffix":""},{"dropping-particle":"","family":"Choi","given":"Ki-In","non-dropping-particle":"","parse-names":false,"suffix":""},{"dropping-particle":"","family":"Osako","given":"Masahiro","non-dropping-particle":"","parse-names":false,"suffix":""},{"dropping-particle":"","family":"Dong","given":"Jong-In","non-dropping-particle":"","parse-names":false,"suffix":""}],"container-title":"The Science of the Total Environment","id":"ITEM-1","issue":"1-3","issued":{"date-parts":[["2007"]]},"page":"42-53","title":"Evaluation of environmental burdens caused by changes of food waste management systems in Seoul, Korea","type":"article-journal","volume":"387"},"uris":["http://www.mendeley.com/documents/?uuid=8f64984c-3fd3-4af6-a302-a6effe418376"]}],"mendeley":{"formattedCitation":"(Lee et al., 2007)","manualFormatting":"Lee et al. (2007)","plainTextFormattedCitation":"(Lee et al., 2007)","previouslyFormattedCitation":"(Lee et al., 2007)"},"properties":{"noteIndex":0},"schema":"https://github.com/citation-style-language/schema/raw/master/csl-citation.json"}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Lee et al. (2007)</w:t>
            </w:r>
            <w:r w:rsidRPr="00C81B1E">
              <w:rPr>
                <w:rFonts w:eastAsia="Calibri"/>
                <w:lang w:val="en-GB" w:eastAsia="en-US"/>
              </w:rPr>
              <w:fldChar w:fldCharType="end"/>
            </w:r>
          </w:p>
        </w:tc>
      </w:tr>
      <w:tr w:rsidR="00C81B1E" w:rsidRPr="00C81B1E" w14:paraId="09364D8D" w14:textId="77777777" w:rsidTr="00C81B1E">
        <w:trPr>
          <w:trHeight w:val="285"/>
        </w:trPr>
        <w:tc>
          <w:tcPr>
            <w:tcW w:w="1560" w:type="dxa"/>
            <w:shd w:val="clear" w:color="auto" w:fill="auto"/>
            <w:noWrap/>
            <w:vAlign w:val="center"/>
            <w:hideMark/>
          </w:tcPr>
          <w:p w14:paraId="14AA30EF"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Cd</w:t>
            </w:r>
          </w:p>
        </w:tc>
        <w:tc>
          <w:tcPr>
            <w:tcW w:w="992" w:type="dxa"/>
            <w:shd w:val="clear" w:color="auto" w:fill="auto"/>
            <w:noWrap/>
            <w:vAlign w:val="center"/>
            <w:hideMark/>
          </w:tcPr>
          <w:p w14:paraId="6023F007" w14:textId="77777777" w:rsidR="00C7764C" w:rsidRPr="00C81B1E" w:rsidRDefault="00C7764C" w:rsidP="00C81B1E">
            <w:pPr>
              <w:pStyle w:val="MDPI42tablebody"/>
              <w:rPr>
                <w:rFonts w:eastAsia="Calibri"/>
                <w:lang w:val="en-GB" w:eastAsia="en-US"/>
              </w:rPr>
            </w:pPr>
            <w:r w:rsidRPr="00C81B1E">
              <w:rPr>
                <w:rFonts w:eastAsia="Calibri"/>
                <w:lang w:val="en-GB" w:eastAsia="en-US"/>
              </w:rPr>
              <w:t>mg/m</w:t>
            </w:r>
            <w:r w:rsidRPr="00C81B1E">
              <w:rPr>
                <w:rFonts w:eastAsia="Calibri"/>
                <w:vertAlign w:val="superscript"/>
                <w:lang w:val="en-GB" w:eastAsia="en-US"/>
              </w:rPr>
              <w:t>3</w:t>
            </w:r>
          </w:p>
        </w:tc>
        <w:tc>
          <w:tcPr>
            <w:tcW w:w="899" w:type="dxa"/>
            <w:shd w:val="clear" w:color="auto" w:fill="auto"/>
            <w:noWrap/>
            <w:vAlign w:val="center"/>
            <w:hideMark/>
          </w:tcPr>
          <w:p w14:paraId="5DBC2704" w14:textId="77777777" w:rsidR="00C7764C" w:rsidRPr="00C81B1E" w:rsidRDefault="00C7764C" w:rsidP="00C81B1E">
            <w:pPr>
              <w:pStyle w:val="MDPI42tablebody"/>
              <w:rPr>
                <w:rFonts w:eastAsia="Calibri"/>
                <w:lang w:val="en-GB" w:eastAsia="en-US"/>
              </w:rPr>
            </w:pPr>
            <w:r w:rsidRPr="00C81B1E">
              <w:rPr>
                <w:rFonts w:eastAsia="Calibri"/>
                <w:lang w:val="en-GB" w:eastAsia="en-US"/>
              </w:rPr>
              <w:t>TT</w:t>
            </w:r>
          </w:p>
        </w:tc>
        <w:tc>
          <w:tcPr>
            <w:tcW w:w="5615" w:type="dxa"/>
            <w:vMerge/>
            <w:shd w:val="clear" w:color="auto" w:fill="auto"/>
            <w:noWrap/>
            <w:vAlign w:val="center"/>
          </w:tcPr>
          <w:p w14:paraId="1631A291" w14:textId="77777777" w:rsidR="00C7764C" w:rsidRPr="00C81B1E" w:rsidRDefault="00C7764C" w:rsidP="00C81B1E">
            <w:pPr>
              <w:pStyle w:val="MDPI42tablebody"/>
              <w:rPr>
                <w:rFonts w:eastAsia="Calibri"/>
                <w:lang w:val="en-GB" w:eastAsia="en-US"/>
              </w:rPr>
            </w:pPr>
          </w:p>
        </w:tc>
      </w:tr>
      <w:tr w:rsidR="00C81B1E" w:rsidRPr="00C81B1E" w14:paraId="1350AEAD" w14:textId="77777777" w:rsidTr="00C81B1E">
        <w:trPr>
          <w:trHeight w:val="285"/>
        </w:trPr>
        <w:tc>
          <w:tcPr>
            <w:tcW w:w="1560" w:type="dxa"/>
            <w:tcBorders>
              <w:top w:val="single" w:sz="4" w:space="0" w:color="7F7F7F"/>
              <w:bottom w:val="single" w:sz="4" w:space="0" w:color="7F7F7F"/>
            </w:tcBorders>
            <w:shd w:val="clear" w:color="auto" w:fill="auto"/>
            <w:noWrap/>
            <w:vAlign w:val="center"/>
            <w:hideMark/>
          </w:tcPr>
          <w:p w14:paraId="0349C888"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Hg</w:t>
            </w:r>
          </w:p>
        </w:tc>
        <w:tc>
          <w:tcPr>
            <w:tcW w:w="992" w:type="dxa"/>
            <w:tcBorders>
              <w:top w:val="single" w:sz="4" w:space="0" w:color="7F7F7F"/>
              <w:bottom w:val="single" w:sz="4" w:space="0" w:color="7F7F7F"/>
            </w:tcBorders>
            <w:shd w:val="clear" w:color="auto" w:fill="auto"/>
            <w:noWrap/>
            <w:vAlign w:val="center"/>
            <w:hideMark/>
          </w:tcPr>
          <w:p w14:paraId="409EC69F" w14:textId="77777777" w:rsidR="00C7764C" w:rsidRPr="00C81B1E" w:rsidRDefault="00C7764C" w:rsidP="00C81B1E">
            <w:pPr>
              <w:pStyle w:val="MDPI42tablebody"/>
              <w:rPr>
                <w:rFonts w:eastAsia="Calibri"/>
                <w:lang w:val="en-GB" w:eastAsia="en-US"/>
              </w:rPr>
            </w:pPr>
            <w:r w:rsidRPr="00C81B1E">
              <w:rPr>
                <w:rFonts w:eastAsia="Calibri"/>
                <w:lang w:val="en-GB" w:eastAsia="en-US"/>
              </w:rPr>
              <w:t>mg/m</w:t>
            </w:r>
            <w:r w:rsidRPr="00C81B1E">
              <w:rPr>
                <w:rFonts w:eastAsia="Calibri"/>
                <w:vertAlign w:val="superscript"/>
                <w:lang w:val="en-GB" w:eastAsia="en-US"/>
              </w:rPr>
              <w:t>3</w:t>
            </w:r>
          </w:p>
        </w:tc>
        <w:tc>
          <w:tcPr>
            <w:tcW w:w="899" w:type="dxa"/>
            <w:tcBorders>
              <w:top w:val="single" w:sz="4" w:space="0" w:color="7F7F7F"/>
              <w:bottom w:val="single" w:sz="4" w:space="0" w:color="7F7F7F"/>
            </w:tcBorders>
            <w:shd w:val="clear" w:color="auto" w:fill="auto"/>
            <w:noWrap/>
            <w:vAlign w:val="center"/>
            <w:hideMark/>
          </w:tcPr>
          <w:p w14:paraId="2636AAF7" w14:textId="77777777" w:rsidR="00C7764C" w:rsidRPr="00C81B1E" w:rsidRDefault="00C7764C" w:rsidP="00C81B1E">
            <w:pPr>
              <w:pStyle w:val="MDPI42tablebody"/>
              <w:rPr>
                <w:rFonts w:eastAsia="Calibri"/>
                <w:lang w:val="en-GB" w:eastAsia="en-US"/>
              </w:rPr>
            </w:pPr>
            <w:r w:rsidRPr="00C81B1E">
              <w:rPr>
                <w:rFonts w:eastAsia="Calibri"/>
                <w:lang w:val="en-GB" w:eastAsia="en-US"/>
              </w:rPr>
              <w:t>TT</w:t>
            </w:r>
          </w:p>
        </w:tc>
        <w:tc>
          <w:tcPr>
            <w:tcW w:w="5615" w:type="dxa"/>
            <w:vMerge/>
            <w:tcBorders>
              <w:top w:val="single" w:sz="4" w:space="0" w:color="7F7F7F"/>
              <w:bottom w:val="single" w:sz="4" w:space="0" w:color="7F7F7F"/>
            </w:tcBorders>
            <w:shd w:val="clear" w:color="auto" w:fill="auto"/>
            <w:noWrap/>
            <w:vAlign w:val="center"/>
          </w:tcPr>
          <w:p w14:paraId="1A49911C" w14:textId="77777777" w:rsidR="00C7764C" w:rsidRPr="00C81B1E" w:rsidRDefault="00C7764C" w:rsidP="00C81B1E">
            <w:pPr>
              <w:pStyle w:val="MDPI42tablebody"/>
              <w:rPr>
                <w:rFonts w:eastAsia="Calibri"/>
                <w:lang w:val="en-GB" w:eastAsia="en-US"/>
              </w:rPr>
            </w:pPr>
          </w:p>
        </w:tc>
      </w:tr>
      <w:tr w:rsidR="00C81B1E" w:rsidRPr="00C81B1E" w14:paraId="02DF5FB2" w14:textId="77777777" w:rsidTr="00C81B1E">
        <w:trPr>
          <w:trHeight w:val="285"/>
        </w:trPr>
        <w:tc>
          <w:tcPr>
            <w:tcW w:w="1560" w:type="dxa"/>
            <w:shd w:val="clear" w:color="auto" w:fill="auto"/>
            <w:noWrap/>
            <w:vAlign w:val="center"/>
            <w:hideMark/>
          </w:tcPr>
          <w:p w14:paraId="1949CB9D"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Zn</w:t>
            </w:r>
          </w:p>
        </w:tc>
        <w:tc>
          <w:tcPr>
            <w:tcW w:w="992" w:type="dxa"/>
            <w:shd w:val="clear" w:color="auto" w:fill="auto"/>
            <w:noWrap/>
            <w:vAlign w:val="center"/>
            <w:hideMark/>
          </w:tcPr>
          <w:p w14:paraId="3F14F251" w14:textId="77777777" w:rsidR="00C7764C" w:rsidRPr="00C81B1E" w:rsidRDefault="00C7764C" w:rsidP="00C81B1E">
            <w:pPr>
              <w:pStyle w:val="MDPI42tablebody"/>
              <w:rPr>
                <w:rFonts w:eastAsia="Calibri"/>
                <w:lang w:val="en-GB" w:eastAsia="en-US"/>
              </w:rPr>
            </w:pPr>
            <w:r w:rsidRPr="00C81B1E">
              <w:rPr>
                <w:rFonts w:eastAsia="Calibri"/>
                <w:lang w:val="en-GB" w:eastAsia="en-US"/>
              </w:rPr>
              <w:t>mg/m</w:t>
            </w:r>
            <w:r w:rsidRPr="00C81B1E">
              <w:rPr>
                <w:rFonts w:eastAsia="Calibri"/>
                <w:vertAlign w:val="superscript"/>
                <w:lang w:val="en-GB" w:eastAsia="en-US"/>
              </w:rPr>
              <w:t>3</w:t>
            </w:r>
          </w:p>
        </w:tc>
        <w:tc>
          <w:tcPr>
            <w:tcW w:w="899" w:type="dxa"/>
            <w:shd w:val="clear" w:color="auto" w:fill="auto"/>
            <w:noWrap/>
            <w:vAlign w:val="center"/>
            <w:hideMark/>
          </w:tcPr>
          <w:p w14:paraId="21A0F4AE" w14:textId="77777777" w:rsidR="00C7764C" w:rsidRPr="00C81B1E" w:rsidRDefault="00C7764C" w:rsidP="00C81B1E">
            <w:pPr>
              <w:pStyle w:val="MDPI42tablebody"/>
              <w:rPr>
                <w:rFonts w:eastAsia="Calibri"/>
                <w:lang w:val="en-GB" w:eastAsia="en-US"/>
              </w:rPr>
            </w:pPr>
            <w:r w:rsidRPr="00C81B1E">
              <w:rPr>
                <w:rFonts w:eastAsia="Calibri"/>
                <w:lang w:val="en-GB" w:eastAsia="en-US"/>
              </w:rPr>
              <w:t>TT</w:t>
            </w:r>
          </w:p>
        </w:tc>
        <w:tc>
          <w:tcPr>
            <w:tcW w:w="5615" w:type="dxa"/>
            <w:vMerge/>
            <w:shd w:val="clear" w:color="auto" w:fill="auto"/>
            <w:noWrap/>
            <w:vAlign w:val="center"/>
          </w:tcPr>
          <w:p w14:paraId="36D7763A" w14:textId="77777777" w:rsidR="00C7764C" w:rsidRPr="00C81B1E" w:rsidRDefault="00C7764C" w:rsidP="00C81B1E">
            <w:pPr>
              <w:pStyle w:val="MDPI42tablebody"/>
              <w:rPr>
                <w:rFonts w:eastAsia="Calibri"/>
                <w:lang w:val="en-GB" w:eastAsia="en-US"/>
              </w:rPr>
            </w:pPr>
          </w:p>
        </w:tc>
      </w:tr>
      <w:tr w:rsidR="00C81B1E" w:rsidRPr="00C81B1E" w14:paraId="03E807A8" w14:textId="77777777" w:rsidTr="00C81B1E">
        <w:trPr>
          <w:trHeight w:val="285"/>
        </w:trPr>
        <w:tc>
          <w:tcPr>
            <w:tcW w:w="1560" w:type="dxa"/>
            <w:tcBorders>
              <w:top w:val="single" w:sz="4" w:space="0" w:color="7F7F7F"/>
              <w:bottom w:val="single" w:sz="4" w:space="0" w:color="7F7F7F"/>
            </w:tcBorders>
            <w:shd w:val="clear" w:color="auto" w:fill="auto"/>
            <w:noWrap/>
            <w:vAlign w:val="center"/>
            <w:hideMark/>
          </w:tcPr>
          <w:p w14:paraId="4E66F439"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Cr</w:t>
            </w:r>
          </w:p>
        </w:tc>
        <w:tc>
          <w:tcPr>
            <w:tcW w:w="992" w:type="dxa"/>
            <w:tcBorders>
              <w:top w:val="single" w:sz="4" w:space="0" w:color="7F7F7F"/>
              <w:bottom w:val="single" w:sz="4" w:space="0" w:color="7F7F7F"/>
            </w:tcBorders>
            <w:shd w:val="clear" w:color="auto" w:fill="auto"/>
            <w:noWrap/>
            <w:vAlign w:val="center"/>
            <w:hideMark/>
          </w:tcPr>
          <w:p w14:paraId="5EB41044" w14:textId="77777777" w:rsidR="00C7764C" w:rsidRPr="00C81B1E" w:rsidRDefault="00C7764C" w:rsidP="00C81B1E">
            <w:pPr>
              <w:pStyle w:val="MDPI42tablebody"/>
              <w:rPr>
                <w:rFonts w:eastAsia="Calibri"/>
                <w:lang w:val="en-GB" w:eastAsia="en-US"/>
              </w:rPr>
            </w:pPr>
            <w:r w:rsidRPr="00C81B1E">
              <w:rPr>
                <w:rFonts w:eastAsia="Calibri"/>
                <w:lang w:val="en-GB" w:eastAsia="en-US"/>
              </w:rPr>
              <w:t>mg/m</w:t>
            </w:r>
            <w:r w:rsidRPr="00C81B1E">
              <w:rPr>
                <w:rFonts w:eastAsia="Calibri"/>
                <w:vertAlign w:val="superscript"/>
                <w:lang w:val="en-GB" w:eastAsia="en-US"/>
              </w:rPr>
              <w:t>3</w:t>
            </w:r>
          </w:p>
        </w:tc>
        <w:tc>
          <w:tcPr>
            <w:tcW w:w="899" w:type="dxa"/>
            <w:tcBorders>
              <w:top w:val="single" w:sz="4" w:space="0" w:color="7F7F7F"/>
              <w:bottom w:val="single" w:sz="4" w:space="0" w:color="7F7F7F"/>
            </w:tcBorders>
            <w:shd w:val="clear" w:color="auto" w:fill="auto"/>
            <w:noWrap/>
            <w:vAlign w:val="center"/>
            <w:hideMark/>
          </w:tcPr>
          <w:p w14:paraId="3CE0DE37" w14:textId="77777777" w:rsidR="00C7764C" w:rsidRPr="00C81B1E" w:rsidRDefault="00C7764C" w:rsidP="00C81B1E">
            <w:pPr>
              <w:pStyle w:val="MDPI42tablebody"/>
              <w:rPr>
                <w:rFonts w:eastAsia="Calibri"/>
                <w:lang w:val="en-GB" w:eastAsia="en-US"/>
              </w:rPr>
            </w:pPr>
            <w:r w:rsidRPr="00C81B1E">
              <w:rPr>
                <w:rFonts w:eastAsia="Calibri"/>
                <w:lang w:val="en-GB" w:eastAsia="en-US"/>
              </w:rPr>
              <w:t>TT</w:t>
            </w:r>
          </w:p>
        </w:tc>
        <w:tc>
          <w:tcPr>
            <w:tcW w:w="5615" w:type="dxa"/>
            <w:vMerge/>
            <w:tcBorders>
              <w:top w:val="single" w:sz="4" w:space="0" w:color="7F7F7F"/>
              <w:bottom w:val="single" w:sz="4" w:space="0" w:color="7F7F7F"/>
            </w:tcBorders>
            <w:shd w:val="clear" w:color="auto" w:fill="auto"/>
            <w:noWrap/>
            <w:vAlign w:val="center"/>
          </w:tcPr>
          <w:p w14:paraId="19B9B1D5" w14:textId="77777777" w:rsidR="00C7764C" w:rsidRPr="00C81B1E" w:rsidRDefault="00C7764C" w:rsidP="00C81B1E">
            <w:pPr>
              <w:pStyle w:val="MDPI42tablebody"/>
              <w:rPr>
                <w:rFonts w:eastAsia="Calibri"/>
                <w:lang w:val="en-GB" w:eastAsia="en-US"/>
              </w:rPr>
            </w:pPr>
          </w:p>
        </w:tc>
      </w:tr>
      <w:tr w:rsidR="00C81B1E" w:rsidRPr="00C81B1E" w14:paraId="2253190B" w14:textId="77777777" w:rsidTr="00C81B1E">
        <w:trPr>
          <w:trHeight w:val="285"/>
        </w:trPr>
        <w:tc>
          <w:tcPr>
            <w:tcW w:w="1560" w:type="dxa"/>
            <w:shd w:val="clear" w:color="auto" w:fill="auto"/>
            <w:noWrap/>
            <w:vAlign w:val="center"/>
            <w:hideMark/>
          </w:tcPr>
          <w:p w14:paraId="777A723F"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Ni</w:t>
            </w:r>
          </w:p>
        </w:tc>
        <w:tc>
          <w:tcPr>
            <w:tcW w:w="992" w:type="dxa"/>
            <w:shd w:val="clear" w:color="auto" w:fill="auto"/>
            <w:noWrap/>
            <w:vAlign w:val="center"/>
            <w:hideMark/>
          </w:tcPr>
          <w:p w14:paraId="2F7DE043" w14:textId="77777777" w:rsidR="00C7764C" w:rsidRPr="00C81B1E" w:rsidRDefault="00C7764C" w:rsidP="00C81B1E">
            <w:pPr>
              <w:pStyle w:val="MDPI42tablebody"/>
              <w:rPr>
                <w:rFonts w:eastAsia="Calibri"/>
                <w:lang w:val="en-GB" w:eastAsia="en-US"/>
              </w:rPr>
            </w:pPr>
            <w:r w:rsidRPr="00C81B1E">
              <w:rPr>
                <w:rFonts w:eastAsia="Calibri"/>
                <w:lang w:val="en-GB" w:eastAsia="en-US"/>
              </w:rPr>
              <w:t>mg/m</w:t>
            </w:r>
            <w:r w:rsidRPr="00C81B1E">
              <w:rPr>
                <w:rFonts w:eastAsia="Calibri"/>
                <w:vertAlign w:val="superscript"/>
                <w:lang w:val="en-GB" w:eastAsia="en-US"/>
              </w:rPr>
              <w:t>3</w:t>
            </w:r>
          </w:p>
        </w:tc>
        <w:tc>
          <w:tcPr>
            <w:tcW w:w="899" w:type="dxa"/>
            <w:shd w:val="clear" w:color="auto" w:fill="auto"/>
            <w:noWrap/>
            <w:vAlign w:val="center"/>
            <w:hideMark/>
          </w:tcPr>
          <w:p w14:paraId="0B112A1B" w14:textId="77777777" w:rsidR="00C7764C" w:rsidRPr="00C81B1E" w:rsidRDefault="00C7764C" w:rsidP="00C81B1E">
            <w:pPr>
              <w:pStyle w:val="MDPI42tablebody"/>
              <w:rPr>
                <w:rFonts w:eastAsia="Calibri"/>
                <w:lang w:val="en-GB" w:eastAsia="en-US"/>
              </w:rPr>
            </w:pPr>
            <w:r w:rsidRPr="00C81B1E">
              <w:rPr>
                <w:rFonts w:eastAsia="Calibri"/>
                <w:lang w:val="en-GB" w:eastAsia="en-US"/>
              </w:rPr>
              <w:t>TT</w:t>
            </w:r>
          </w:p>
        </w:tc>
        <w:tc>
          <w:tcPr>
            <w:tcW w:w="5615" w:type="dxa"/>
            <w:vMerge/>
            <w:shd w:val="clear" w:color="auto" w:fill="auto"/>
            <w:noWrap/>
            <w:vAlign w:val="center"/>
          </w:tcPr>
          <w:p w14:paraId="2C891764" w14:textId="77777777" w:rsidR="00C7764C" w:rsidRPr="00C81B1E" w:rsidRDefault="00C7764C" w:rsidP="00C81B1E">
            <w:pPr>
              <w:pStyle w:val="MDPI42tablebody"/>
              <w:rPr>
                <w:rFonts w:eastAsia="Calibri"/>
                <w:lang w:val="en-GB" w:eastAsia="en-US"/>
              </w:rPr>
            </w:pPr>
          </w:p>
        </w:tc>
      </w:tr>
      <w:tr w:rsidR="00C81B1E" w:rsidRPr="00C81B1E" w14:paraId="0215E5F2" w14:textId="77777777" w:rsidTr="00C81B1E">
        <w:trPr>
          <w:trHeight w:val="285"/>
        </w:trPr>
        <w:tc>
          <w:tcPr>
            <w:tcW w:w="1560" w:type="dxa"/>
            <w:tcBorders>
              <w:top w:val="single" w:sz="4" w:space="0" w:color="7F7F7F"/>
              <w:bottom w:val="single" w:sz="4" w:space="0" w:color="7F7F7F"/>
            </w:tcBorders>
            <w:shd w:val="clear" w:color="auto" w:fill="auto"/>
            <w:noWrap/>
            <w:vAlign w:val="center"/>
            <w:hideMark/>
          </w:tcPr>
          <w:p w14:paraId="68F479EF"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Pb</w:t>
            </w:r>
          </w:p>
        </w:tc>
        <w:tc>
          <w:tcPr>
            <w:tcW w:w="992" w:type="dxa"/>
            <w:tcBorders>
              <w:top w:val="single" w:sz="4" w:space="0" w:color="7F7F7F"/>
              <w:bottom w:val="single" w:sz="4" w:space="0" w:color="7F7F7F"/>
            </w:tcBorders>
            <w:shd w:val="clear" w:color="auto" w:fill="auto"/>
            <w:noWrap/>
            <w:vAlign w:val="center"/>
            <w:hideMark/>
          </w:tcPr>
          <w:p w14:paraId="05F6B5D9" w14:textId="77777777" w:rsidR="00C7764C" w:rsidRPr="00C81B1E" w:rsidRDefault="00C7764C" w:rsidP="00C81B1E">
            <w:pPr>
              <w:pStyle w:val="MDPI42tablebody"/>
              <w:rPr>
                <w:rFonts w:eastAsia="Calibri"/>
                <w:lang w:val="en-GB" w:eastAsia="en-US"/>
              </w:rPr>
            </w:pPr>
            <w:r w:rsidRPr="00C81B1E">
              <w:rPr>
                <w:rFonts w:eastAsia="Calibri"/>
                <w:lang w:val="en-GB" w:eastAsia="en-US"/>
              </w:rPr>
              <w:t>mg/m</w:t>
            </w:r>
            <w:r w:rsidRPr="00C81B1E">
              <w:rPr>
                <w:rFonts w:eastAsia="Calibri"/>
                <w:vertAlign w:val="superscript"/>
                <w:lang w:val="en-GB" w:eastAsia="en-US"/>
              </w:rPr>
              <w:t>3</w:t>
            </w:r>
          </w:p>
        </w:tc>
        <w:tc>
          <w:tcPr>
            <w:tcW w:w="899" w:type="dxa"/>
            <w:tcBorders>
              <w:top w:val="single" w:sz="4" w:space="0" w:color="7F7F7F"/>
              <w:bottom w:val="single" w:sz="4" w:space="0" w:color="7F7F7F"/>
            </w:tcBorders>
            <w:shd w:val="clear" w:color="auto" w:fill="auto"/>
            <w:noWrap/>
            <w:vAlign w:val="center"/>
            <w:hideMark/>
          </w:tcPr>
          <w:p w14:paraId="64AAE826" w14:textId="77777777" w:rsidR="00C7764C" w:rsidRPr="00C81B1E" w:rsidRDefault="00C7764C" w:rsidP="00C81B1E">
            <w:pPr>
              <w:pStyle w:val="MDPI42tablebody"/>
              <w:rPr>
                <w:rFonts w:eastAsia="Calibri"/>
                <w:lang w:val="en-GB" w:eastAsia="en-US"/>
              </w:rPr>
            </w:pPr>
            <w:r w:rsidRPr="00C81B1E">
              <w:rPr>
                <w:rFonts w:eastAsia="Calibri"/>
                <w:lang w:val="en-GB" w:eastAsia="en-US"/>
              </w:rPr>
              <w:t>TT</w:t>
            </w:r>
          </w:p>
        </w:tc>
        <w:tc>
          <w:tcPr>
            <w:tcW w:w="5615" w:type="dxa"/>
            <w:vMerge/>
            <w:tcBorders>
              <w:top w:val="single" w:sz="4" w:space="0" w:color="7F7F7F"/>
              <w:bottom w:val="single" w:sz="4" w:space="0" w:color="7F7F7F"/>
            </w:tcBorders>
            <w:shd w:val="clear" w:color="auto" w:fill="auto"/>
            <w:noWrap/>
            <w:vAlign w:val="center"/>
          </w:tcPr>
          <w:p w14:paraId="0B98DAFD" w14:textId="77777777" w:rsidR="00C7764C" w:rsidRPr="00C81B1E" w:rsidRDefault="00C7764C" w:rsidP="00C81B1E">
            <w:pPr>
              <w:pStyle w:val="MDPI42tablebody"/>
              <w:rPr>
                <w:rFonts w:eastAsia="Calibri"/>
                <w:lang w:val="en-GB" w:eastAsia="en-US"/>
              </w:rPr>
            </w:pPr>
          </w:p>
        </w:tc>
      </w:tr>
      <w:tr w:rsidR="00C81B1E" w:rsidRPr="00C81B1E" w14:paraId="46D14EEE" w14:textId="77777777" w:rsidTr="00C81B1E">
        <w:trPr>
          <w:trHeight w:val="285"/>
        </w:trPr>
        <w:tc>
          <w:tcPr>
            <w:tcW w:w="1560" w:type="dxa"/>
            <w:shd w:val="clear" w:color="auto" w:fill="auto"/>
            <w:noWrap/>
            <w:vAlign w:val="center"/>
            <w:hideMark/>
          </w:tcPr>
          <w:p w14:paraId="1D2313B6"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Cu</w:t>
            </w:r>
          </w:p>
        </w:tc>
        <w:tc>
          <w:tcPr>
            <w:tcW w:w="992" w:type="dxa"/>
            <w:shd w:val="clear" w:color="auto" w:fill="auto"/>
            <w:noWrap/>
            <w:vAlign w:val="center"/>
            <w:hideMark/>
          </w:tcPr>
          <w:p w14:paraId="65B7F9B2" w14:textId="77777777" w:rsidR="00C7764C" w:rsidRPr="00C81B1E" w:rsidRDefault="00C7764C" w:rsidP="00C81B1E">
            <w:pPr>
              <w:pStyle w:val="MDPI42tablebody"/>
              <w:rPr>
                <w:rFonts w:eastAsia="Calibri"/>
                <w:lang w:val="en-GB" w:eastAsia="en-US"/>
              </w:rPr>
            </w:pPr>
            <w:r w:rsidRPr="00C81B1E">
              <w:rPr>
                <w:rFonts w:eastAsia="Calibri"/>
                <w:lang w:val="en-GB" w:eastAsia="en-US"/>
              </w:rPr>
              <w:t>mg/m</w:t>
            </w:r>
            <w:r w:rsidRPr="00C81B1E">
              <w:rPr>
                <w:rFonts w:eastAsia="Calibri"/>
                <w:vertAlign w:val="superscript"/>
                <w:lang w:val="en-GB" w:eastAsia="en-US"/>
              </w:rPr>
              <w:t>3</w:t>
            </w:r>
          </w:p>
        </w:tc>
        <w:tc>
          <w:tcPr>
            <w:tcW w:w="899" w:type="dxa"/>
            <w:shd w:val="clear" w:color="auto" w:fill="auto"/>
            <w:noWrap/>
            <w:vAlign w:val="center"/>
            <w:hideMark/>
          </w:tcPr>
          <w:p w14:paraId="5DF30491" w14:textId="77777777" w:rsidR="00C7764C" w:rsidRPr="00C81B1E" w:rsidRDefault="00C7764C" w:rsidP="00C81B1E">
            <w:pPr>
              <w:pStyle w:val="MDPI42tablebody"/>
              <w:rPr>
                <w:rFonts w:eastAsia="Calibri"/>
                <w:lang w:val="en-GB" w:eastAsia="en-US"/>
              </w:rPr>
            </w:pPr>
            <w:r w:rsidRPr="00C81B1E">
              <w:rPr>
                <w:rFonts w:eastAsia="Calibri"/>
                <w:lang w:val="en-GB" w:eastAsia="en-US"/>
              </w:rPr>
              <w:t>TT</w:t>
            </w:r>
          </w:p>
        </w:tc>
        <w:tc>
          <w:tcPr>
            <w:tcW w:w="5615" w:type="dxa"/>
            <w:vMerge/>
            <w:shd w:val="clear" w:color="auto" w:fill="auto"/>
            <w:noWrap/>
            <w:vAlign w:val="center"/>
          </w:tcPr>
          <w:p w14:paraId="4F0325E3" w14:textId="77777777" w:rsidR="00C7764C" w:rsidRPr="00C81B1E" w:rsidRDefault="00C7764C" w:rsidP="00C81B1E">
            <w:pPr>
              <w:pStyle w:val="MDPI42tablebody"/>
              <w:rPr>
                <w:rFonts w:eastAsia="Calibri"/>
                <w:lang w:val="en-GB" w:eastAsia="en-US"/>
              </w:rPr>
            </w:pPr>
          </w:p>
        </w:tc>
      </w:tr>
    </w:tbl>
    <w:p w14:paraId="66CDD5A7" w14:textId="77777777" w:rsidR="00C7764C" w:rsidRPr="00C7764C" w:rsidRDefault="00C7764C" w:rsidP="00C7764C">
      <w:pPr>
        <w:spacing w:after="160" w:line="259" w:lineRule="auto"/>
        <w:rPr>
          <w:rFonts w:eastAsia="Calibri"/>
          <w:color w:val="auto"/>
          <w:sz w:val="16"/>
          <w:szCs w:val="16"/>
          <w:lang w:val="en-GB" w:eastAsia="en-US"/>
        </w:rPr>
      </w:pPr>
    </w:p>
    <w:p w14:paraId="3305271C" w14:textId="77777777" w:rsidR="00C7764C" w:rsidRPr="00C7764C" w:rsidRDefault="00C7764C" w:rsidP="00BA2E09">
      <w:pPr>
        <w:pStyle w:val="MDPI41tablecaption"/>
        <w:rPr>
          <w:rFonts w:eastAsia="Calibri"/>
          <w:lang w:val="en-GB" w:eastAsia="en-US"/>
        </w:rPr>
      </w:pPr>
      <w:r w:rsidRPr="00C7764C">
        <w:rPr>
          <w:rFonts w:eastAsia="Calibri"/>
          <w:b/>
          <w:lang w:val="en-GB" w:eastAsia="en-US"/>
        </w:rPr>
        <w:t xml:space="preserve">Table </w:t>
      </w:r>
      <w:r w:rsidRPr="00C7764C">
        <w:rPr>
          <w:rFonts w:eastAsia="Calibri"/>
          <w:b/>
          <w:lang w:val="en-GB" w:eastAsia="en-US"/>
        </w:rPr>
        <w:fldChar w:fldCharType="begin"/>
      </w:r>
      <w:r w:rsidRPr="00C7764C">
        <w:rPr>
          <w:rFonts w:eastAsia="Calibri"/>
          <w:b/>
          <w:lang w:val="en-GB" w:eastAsia="en-US"/>
        </w:rPr>
        <w:instrText xml:space="preserve"> SEQ Table \* ARABIC </w:instrText>
      </w:r>
      <w:r w:rsidRPr="00C7764C">
        <w:rPr>
          <w:rFonts w:eastAsia="Calibri"/>
          <w:b/>
          <w:lang w:val="en-GB" w:eastAsia="en-US"/>
        </w:rPr>
        <w:fldChar w:fldCharType="separate"/>
      </w:r>
      <w:r w:rsidRPr="00C7764C">
        <w:rPr>
          <w:rFonts w:eastAsia="Calibri"/>
          <w:b/>
          <w:noProof/>
          <w:lang w:val="en-GB" w:eastAsia="en-US"/>
        </w:rPr>
        <w:t>7</w:t>
      </w:r>
      <w:r w:rsidRPr="00C7764C">
        <w:rPr>
          <w:rFonts w:eastAsia="Calibri"/>
          <w:b/>
          <w:lang w:val="en-GB" w:eastAsia="en-US"/>
        </w:rPr>
        <w:fldChar w:fldCharType="end"/>
      </w:r>
      <w:r w:rsidRPr="00C7764C">
        <w:rPr>
          <w:rFonts w:eastAsia="Calibri"/>
          <w:lang w:val="en-GB" w:eastAsia="en-US"/>
        </w:rPr>
        <w:t>. Environmental indicators: impacts to water</w:t>
      </w:r>
    </w:p>
    <w:tbl>
      <w:tblPr>
        <w:tblW w:w="9072" w:type="dxa"/>
        <w:tblBorders>
          <w:top w:val="single" w:sz="4" w:space="0" w:color="7F7F7F"/>
          <w:bottom w:val="single" w:sz="4" w:space="0" w:color="7F7F7F"/>
        </w:tblBorders>
        <w:tblLook w:val="04A0" w:firstRow="1" w:lastRow="0" w:firstColumn="1" w:lastColumn="0" w:noHBand="0" w:noVBand="1"/>
      </w:tblPr>
      <w:tblGrid>
        <w:gridCol w:w="1439"/>
        <w:gridCol w:w="1167"/>
        <w:gridCol w:w="899"/>
        <w:gridCol w:w="5567"/>
      </w:tblGrid>
      <w:tr w:rsidR="00C81B1E" w:rsidRPr="00C81B1E" w14:paraId="0E4A4390" w14:textId="77777777" w:rsidTr="00C81B1E">
        <w:trPr>
          <w:trHeight w:val="285"/>
        </w:trPr>
        <w:tc>
          <w:tcPr>
            <w:tcW w:w="1439" w:type="dxa"/>
            <w:tcBorders>
              <w:bottom w:val="single" w:sz="4" w:space="0" w:color="7F7F7F"/>
            </w:tcBorders>
            <w:shd w:val="clear" w:color="auto" w:fill="auto"/>
            <w:noWrap/>
            <w:vAlign w:val="center"/>
          </w:tcPr>
          <w:p w14:paraId="67BA3A88"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Indicator</w:t>
            </w:r>
          </w:p>
        </w:tc>
        <w:tc>
          <w:tcPr>
            <w:tcW w:w="1167" w:type="dxa"/>
            <w:tcBorders>
              <w:bottom w:val="single" w:sz="4" w:space="0" w:color="7F7F7F"/>
            </w:tcBorders>
            <w:shd w:val="clear" w:color="auto" w:fill="auto"/>
            <w:noWrap/>
            <w:vAlign w:val="center"/>
          </w:tcPr>
          <w:p w14:paraId="6E64652F"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Example or unit</w:t>
            </w:r>
          </w:p>
        </w:tc>
        <w:tc>
          <w:tcPr>
            <w:tcW w:w="899" w:type="dxa"/>
            <w:tcBorders>
              <w:bottom w:val="single" w:sz="4" w:space="0" w:color="7F7F7F"/>
            </w:tcBorders>
            <w:shd w:val="clear" w:color="auto" w:fill="auto"/>
            <w:noWrap/>
            <w:vAlign w:val="center"/>
          </w:tcPr>
          <w:p w14:paraId="1C8AA247"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FWMS</w:t>
            </w:r>
          </w:p>
        </w:tc>
        <w:tc>
          <w:tcPr>
            <w:tcW w:w="5567" w:type="dxa"/>
            <w:tcBorders>
              <w:bottom w:val="single" w:sz="4" w:space="0" w:color="7F7F7F"/>
            </w:tcBorders>
            <w:shd w:val="clear" w:color="auto" w:fill="auto"/>
            <w:noWrap/>
            <w:vAlign w:val="center"/>
          </w:tcPr>
          <w:p w14:paraId="0D804E58"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Reference</w:t>
            </w:r>
          </w:p>
        </w:tc>
      </w:tr>
      <w:tr w:rsidR="00C81B1E" w:rsidRPr="00C81B1E" w14:paraId="45AC23EA" w14:textId="77777777" w:rsidTr="00C81B1E">
        <w:trPr>
          <w:trHeight w:val="285"/>
        </w:trPr>
        <w:tc>
          <w:tcPr>
            <w:tcW w:w="1439" w:type="dxa"/>
            <w:tcBorders>
              <w:top w:val="single" w:sz="4" w:space="0" w:color="7F7F7F"/>
              <w:bottom w:val="single" w:sz="4" w:space="0" w:color="7F7F7F"/>
            </w:tcBorders>
            <w:shd w:val="clear" w:color="auto" w:fill="auto"/>
            <w:noWrap/>
            <w:vAlign w:val="center"/>
            <w:hideMark/>
          </w:tcPr>
          <w:p w14:paraId="520EAAA0"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lastRenderedPageBreak/>
              <w:t>Wastewater flow</w:t>
            </w:r>
          </w:p>
        </w:tc>
        <w:tc>
          <w:tcPr>
            <w:tcW w:w="1167" w:type="dxa"/>
            <w:tcBorders>
              <w:top w:val="single" w:sz="4" w:space="0" w:color="7F7F7F"/>
              <w:bottom w:val="single" w:sz="4" w:space="0" w:color="7F7F7F"/>
            </w:tcBorders>
            <w:shd w:val="clear" w:color="auto" w:fill="auto"/>
            <w:noWrap/>
            <w:vAlign w:val="center"/>
            <w:hideMark/>
          </w:tcPr>
          <w:p w14:paraId="17B4A8A0" w14:textId="77777777" w:rsidR="00C7764C" w:rsidRPr="00C81B1E" w:rsidRDefault="00C7764C" w:rsidP="00C81B1E">
            <w:pPr>
              <w:pStyle w:val="MDPI42tablebody"/>
              <w:rPr>
                <w:rFonts w:eastAsia="Calibri"/>
                <w:lang w:val="en-GB" w:eastAsia="en-US"/>
              </w:rPr>
            </w:pPr>
            <w:r w:rsidRPr="00C81B1E">
              <w:rPr>
                <w:rFonts w:eastAsia="Calibri"/>
                <w:lang w:val="en-GB" w:eastAsia="en-US"/>
              </w:rPr>
              <w:t>m</w:t>
            </w:r>
            <w:r w:rsidRPr="00C81B1E">
              <w:rPr>
                <w:rFonts w:eastAsia="Calibri"/>
                <w:vertAlign w:val="superscript"/>
                <w:lang w:val="en-GB" w:eastAsia="en-US"/>
              </w:rPr>
              <w:t>3</w:t>
            </w:r>
            <w:r w:rsidRPr="00C81B1E">
              <w:rPr>
                <w:rFonts w:eastAsia="Calibri"/>
                <w:lang w:val="en-GB" w:eastAsia="en-US"/>
              </w:rPr>
              <w:t>/day</w:t>
            </w:r>
          </w:p>
        </w:tc>
        <w:tc>
          <w:tcPr>
            <w:tcW w:w="899" w:type="dxa"/>
            <w:tcBorders>
              <w:top w:val="single" w:sz="4" w:space="0" w:color="7F7F7F"/>
              <w:bottom w:val="single" w:sz="4" w:space="0" w:color="7F7F7F"/>
            </w:tcBorders>
            <w:shd w:val="clear" w:color="auto" w:fill="auto"/>
            <w:noWrap/>
            <w:vAlign w:val="center"/>
            <w:hideMark/>
          </w:tcPr>
          <w:p w14:paraId="08B5B634" w14:textId="77777777" w:rsidR="00C7764C" w:rsidRPr="00C81B1E" w:rsidRDefault="00C7764C" w:rsidP="00C81B1E">
            <w:pPr>
              <w:pStyle w:val="MDPI42tablebody"/>
              <w:rPr>
                <w:rFonts w:eastAsia="Calibri"/>
                <w:lang w:val="en-GB" w:eastAsia="en-US"/>
              </w:rPr>
            </w:pPr>
            <w:r w:rsidRPr="00C81B1E">
              <w:rPr>
                <w:rFonts w:eastAsia="Calibri"/>
                <w:lang w:val="en-GB" w:eastAsia="en-US"/>
              </w:rPr>
              <w:t>AF, AD, C, TT</w:t>
            </w:r>
          </w:p>
        </w:tc>
        <w:tc>
          <w:tcPr>
            <w:tcW w:w="5567" w:type="dxa"/>
            <w:vMerge w:val="restart"/>
            <w:tcBorders>
              <w:top w:val="single" w:sz="4" w:space="0" w:color="7F7F7F"/>
              <w:bottom w:val="single" w:sz="4" w:space="0" w:color="7F7F7F"/>
            </w:tcBorders>
            <w:shd w:val="clear" w:color="auto" w:fill="auto"/>
            <w:noWrap/>
            <w:vAlign w:val="center"/>
            <w:hideMark/>
          </w:tcPr>
          <w:p w14:paraId="3E1BA595"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AF: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{"citationItems":[{"id":"ITEM-1","itemData":{"DOI":"10.1016/j.scitotenv.2007.06.037","ISBN":"0048-9697","ISSN":"0048-9697","PMID":"17761214","abstract":"During the last decade, there have been remarkable changes in food waste management in Korea following a ban on direct landfilling. To evaluate the environmental impacts of food waste management systems, we examined individual treatment systems with the LCA approach -- landfill, incineration, composting, and feed manufacturing -- and estimated the change from 1997 to 2005. The efficient system was different in each impact category, but it was evaluated that landfill is the main contributor to human toxicity and global warming (based on fossil CO(2)). In contrast, due to the increase of food waste recycling, acidification, eutrophication, and fresh water aquatic ecotoxicity impact was increased. Especially, the high energy consumption and generated residue in recycling systems caused the large burdens in toxicity categories.","author":[{"dropping-particle":"","family":"Lee","given":"Suk-Hui","non-dropping-particle":"","parse-names":false,"suffix":""},{"dropping-particle":"","family":"Choi","given":"Ki-In","non-dropping-particle":"","parse-names":false,"suffix":""},{"dropping-particle":"","family":"Osako","given":"Masahiro","non-dropping-particle":"","parse-names":false,"suffix":""},{"dropping-particle":"","family":"Dong","given":"Jong-In","non-dropping-particle":"","parse-names":false,"suffix":""}],"container-title":"The Science of the Total Environment","id":"ITEM-1","issue":"1-3","issued":{"date-parts":[["2007"]]},"page":"42-53","title":"Evaluation of environmental burdens caused by changes of food waste management systems in Seoul, Korea","type":"article-journal","volume":"387"},"uris":["http://www.mendeley.com/documents/?uuid=8f64984c-3fd3-4af6-a302-a6effe418376"]}],"mendeley":{"formattedCitation":"(Lee et al., 2007)","manualFormatting":"Lee et al. (2007)","plainTextFormattedCitation":"(Lee et al., 2007)","previouslyFormattedCitation":"(Lee et al., 2007)"},"properties":{"noteIndex":0},"schema":"https://github.com/citation-style-language/schema/raw/master/csl-citation.json"}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Lee et al. (2007)</w:t>
            </w:r>
            <w:r w:rsidRPr="00C81B1E">
              <w:rPr>
                <w:rFonts w:eastAsia="Calibri"/>
                <w:lang w:val="en-GB" w:eastAsia="en-US"/>
              </w:rPr>
              <w:fldChar w:fldCharType="end"/>
            </w:r>
            <w:r w:rsidRPr="00C81B1E">
              <w:rPr>
                <w:rFonts w:eastAsia="Calibri"/>
                <w:lang w:val="en-GB" w:eastAsia="en-US"/>
              </w:rPr>
              <w:t xml:space="preserve">, AD: </w:t>
            </w:r>
            <w:r w:rsidRPr="00C81B1E">
              <w:rPr>
                <w:rFonts w:eastAsia="Calibri"/>
                <w:lang w:val="en-GB" w:eastAsia="en-US"/>
              </w:rPr>
              <w:fldChar w:fldCharType="begin" w:fldLock="1"/>
            </w:r>
            <w:r w:rsidRPr="00C81B1E">
              <w:rPr>
                <w:rFonts w:eastAsia="Calibri"/>
                <w:lang w:val="en-GB" w:eastAsia="en-US"/>
              </w:rPr>
              <w:instrText>ADDIN CSL_CITATION {"citationItems":[{"id":"ITEM-1","itemData":{"DOI":"10.1063/1.4935559","ISSN":"1941-7012","abstract":"This paper presents the results of laboratory experiments carried out on an anaerobic digestion of food waste with respect to the effect of solid concentration and pH. Total solid (TS) content ranging from 5.0% to 15.0% and pH value ranging from 5 to 9 were analyzed. Laboratory scale experiments using 2 l bioreactors were performed in batch mode operated at mesophilic temperature condition with a hydraulic retention time of 30 days. The cumulative volume of biogas produced was used to measure the reactor performance. The methane and carbon dioxide composition of the gas produced was measured using infra-red gas analyzers. The kinetics of biogas produced has been predicted using three different models (Gompertz model, modified Gompertz model, and Logistic model). The experimental results showed that the solid concentration 7.5% of TS and 7 pH produced a maximum biogas yield. The kinetic study showed that modified Gompertz model produced perfect goodness of fit and root mean square error when compared to other two models.","author":[{"dropping-particle":"","family":"Deepanraj","given":"B.","non-dropping-particle":"","parse-names":false,"suffix":""},{"dropping-particle":"","family":"Sivasubramanian","given":"V.","non-dropping-particle":"","parse-names":false,"suffix":""},{"dropping-particle":"","family":"Jayaraj","given":"S.","non-dropping-particle":"","parse-names":false,"suffix":""}],"container-title":"Journal of Renewable and Sustainable Energy","id":"ITEM-1","issue":"6","issued":{"date-parts":[["2015"]]},"page":"063104","title":"Experimental and kinetic study on anaerobic digestion of food waste: The effect of total solids and pH","type":"article-journal","volume":"7"},"uris":["http://www.mendeley.com/documents/?uuid=b4224b1b-2bea-4b79-a851-2dc2626c136b"]}],"mendeley":{"formattedCitation":"(Deepanraj et al., 2015)","manualFormatting":"Deepanraj et al. (2015)","plainTextFormattedCitation":"(Deepanraj et al., 2015)","previouslyFormattedCitation":"(Deepanraj et al., 2015)"},"properties":{"noteIndex":0},"schema":"https://github.com/citation-style-language/schema/raw/master/csl-citation.json"}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Deepanraj et al. (2015)</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{"citationItems":[{"id":"ITEM-1","itemData":{"DOI":"10.1023/B:WATE.0000019932.04020.b6","ISBN":"0049-6979","ISSN":"00496979","abstract":"Because of its agronomic benefits, farm-scale composting is an efficient means of recycling agricultural waste. Composting process is an aerobic degradation of fresh organic matter in mature compost. Nevertheless, according to the literature, composting may induce some environmental problems. The environmental impacts of composting will be described, along with an assessment of farm-scale composting practices which play a major role in pollution. The main environmental components potentially affected by composting pollution are air and water. Various gases released by composting, such as NH3, CH4 and N2O, can impact air quality and are therefore studied because they all have environmental impacts and can be controlled by composting management. The effect on water quality can be evaluated by considering loss of NO3-, NH4+, organic compounds and PO43-. Technical evaluation criteria for the impact of farm-scale composting on the air are determined from the physical and chemical characteristics of the raw materials, the use of additives, the turning method and frequency and the duration of the composting operations. Regarding water, the weather conditions at the beginning of the composting operation, the location of the heap, the protection against rain, the water addition during the process, the use of covers and the recovery of leaching and runoff water are also taken into account. The two main practices which control the air and water pollution from composting are: the choice of the raw material which influences gas emissions and the choice of composting location which have an high effect on losses by leaching and runoff. © 2004 Kluwer Academic Publishers.","author":[{"dropping-particle":"","family":"Peigne","given":"Josephine","non-dropping-particle":"","parse-names":false,"suffix":""},{"dropping-particle":"","family":"Girardin","given":"Philippe","non-dropping-particle":"","parse-names":false,"suffix":""}],"container-title":"Water, Air, and Soil Pollution","id":"ITEM-1","issued":{"date-parts":[["2004"]]},"page":"45-68","title":"Environmental impacts of farm-scale composting practices","type":"article-journal","volume":"153"},"uris":["http://www.mendeley.com/documents/?uuid=1cac405a-2c5f-4ec5-905c-fffa125841e9"]}],"mendeley":{"formattedCitation":"(Peigne and Girardin, 2004)","manualFormatting":"Peigne &amp; Girardin (2004)","plainTextFormattedCitation":"(Peigne and Girardin, 2004)","previouslyFormattedCitation":"(Peigne and Girardin, 2004)"},"properties":{"noteIndex":0},"schema":"https://github.com/citation-style-language/schema/raw/master/csl-citation.json"}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Peigne &amp; Girardin (2004)</w:t>
            </w:r>
            <w:r w:rsidRPr="00C81B1E">
              <w:rPr>
                <w:rFonts w:eastAsia="Calibri"/>
                <w:lang w:val="en-GB" w:eastAsia="en-US"/>
              </w:rPr>
              <w:fldChar w:fldCharType="end"/>
            </w:r>
            <w:r w:rsidRPr="00C81B1E">
              <w:rPr>
                <w:rFonts w:eastAsia="Calibri"/>
                <w:lang w:val="en-GB" w:eastAsia="en-US"/>
              </w:rPr>
              <w:t xml:space="preserve">, TT: </w:t>
            </w:r>
            <w:r w:rsidRPr="00C81B1E">
              <w:rPr>
                <w:rFonts w:eastAsia="Calibri"/>
                <w:lang w:val="en-GB" w:eastAsia="en-US"/>
              </w:rPr>
              <w:fldChar w:fldCharType="begin" w:fldLock="1"/>
            </w:r>
            <w:r w:rsidRPr="00C81B1E">
              <w:rPr>
                <w:rFonts w:eastAsia="Calibri"/>
                <w:lang w:val="en-GB" w:eastAsia="en-US"/>
              </w:rPr>
              <w:instrText>ADDIN CSL_CITATION {"citationItems":[{"id":"ITEM-1","itemData":{"abstract":"This project deals with combustion installations with a rated thermal\\ninput exceeding 50 MW. Plants with a thermal input lower than 50\\nMW are, however, discussed where technically relevant because smaller\\nunits can potentially be added to a plant to build one larger installation\\nexceeding 50 MW. All kinds of conventional power plants (e.g. utility\\nboiler plants, combined heat and power plants, district heating plants)\\nused for mechanical power and heat generation are covered in this\\nwork. Industrial combustion installations are covered if they use\\nconventional fuel. The commercial availability of the fuel on the\\nmarket has been used as an indicator to identify conventional fuels.\\nThe criterion for classifying a fuel as a 'conventional fuel' is\\na known composition which remains relatively constant, and indeed\\nis usually standardised. Coal, lignite, biomass, peat, liquid and\\ngaseous fuels (including hydrogen and biogas) are regarded as conventional\\nfuels. The use of waste as a secondary fuel is also covered in this\\nwork.","author":[{"dropping-particle":"","family":"European Commission","given":"","non-dropping-particle":"","parse-names":false,"suffix":""}],"container-title":"Integrated Pollution Prevention Control","id":"ITEM-1","issue":"August","issued":{"date-parts":[["2006"]]},"title":"Reference Document on the Best Available Techniques for Waste Incineration","type":"article-journal"},"uris":["http://www.mendeley.com/documents/?uuid=cafb8d98-221f-4574-9995-e04c7a48fca0"]}],"mendeley":{"formattedCitation":"(European Commission, 2006a)","manualFormatting":"European Commission (2006c)","plainTextFormattedCitation":"(European Commission, 2006a)","previouslyFormattedCitation":"(European Commission, 2006a)"},"properties":{"noteIndex":0},"schema":"https://github.com/citation-style-language/schema/raw/master/csl-citation.json"}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European Commission (2006c)</w:t>
            </w:r>
            <w:r w:rsidRPr="00C81B1E">
              <w:rPr>
                <w:rFonts w:eastAsia="Calibri"/>
                <w:lang w:val="en-GB" w:eastAsia="en-US"/>
              </w:rPr>
              <w:fldChar w:fldCharType="end"/>
            </w:r>
          </w:p>
        </w:tc>
      </w:tr>
      <w:tr w:rsidR="00C81B1E" w:rsidRPr="00C81B1E" w14:paraId="61A94A2F" w14:textId="77777777" w:rsidTr="00C81B1E">
        <w:trPr>
          <w:trHeight w:val="285"/>
        </w:trPr>
        <w:tc>
          <w:tcPr>
            <w:tcW w:w="1439" w:type="dxa"/>
            <w:shd w:val="clear" w:color="auto" w:fill="auto"/>
            <w:noWrap/>
            <w:vAlign w:val="center"/>
            <w:hideMark/>
          </w:tcPr>
          <w:p w14:paraId="77EA993A"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Chemical oxygen demand (COD)</w:t>
            </w:r>
          </w:p>
        </w:tc>
        <w:tc>
          <w:tcPr>
            <w:tcW w:w="1167" w:type="dxa"/>
            <w:shd w:val="clear" w:color="auto" w:fill="auto"/>
            <w:noWrap/>
            <w:vAlign w:val="center"/>
            <w:hideMark/>
          </w:tcPr>
          <w:p w14:paraId="7E05425F" w14:textId="77777777" w:rsidR="00C7764C" w:rsidRPr="00C81B1E" w:rsidRDefault="00C7764C" w:rsidP="00C81B1E">
            <w:pPr>
              <w:pStyle w:val="MDPI42tablebody"/>
              <w:rPr>
                <w:rFonts w:eastAsia="Calibri"/>
                <w:lang w:val="en-GB" w:eastAsia="en-US"/>
              </w:rPr>
            </w:pPr>
            <w:r w:rsidRPr="00C81B1E">
              <w:rPr>
                <w:rFonts w:eastAsia="Calibri"/>
                <w:lang w:val="en-GB" w:eastAsia="en-US"/>
              </w:rPr>
              <w:t>g/m</w:t>
            </w:r>
            <w:r w:rsidRPr="00C81B1E">
              <w:rPr>
                <w:rFonts w:eastAsia="Calibri"/>
                <w:vertAlign w:val="superscript"/>
                <w:lang w:val="en-GB" w:eastAsia="en-US"/>
              </w:rPr>
              <w:t>3</w:t>
            </w:r>
          </w:p>
        </w:tc>
        <w:tc>
          <w:tcPr>
            <w:tcW w:w="899" w:type="dxa"/>
            <w:shd w:val="clear" w:color="auto" w:fill="auto"/>
            <w:noWrap/>
            <w:vAlign w:val="center"/>
            <w:hideMark/>
          </w:tcPr>
          <w:p w14:paraId="2AD043E7" w14:textId="77777777" w:rsidR="00C7764C" w:rsidRPr="00C81B1E" w:rsidRDefault="00C7764C" w:rsidP="00C81B1E">
            <w:pPr>
              <w:pStyle w:val="MDPI42tablebody"/>
              <w:rPr>
                <w:rFonts w:eastAsia="Calibri"/>
                <w:lang w:val="en-GB" w:eastAsia="en-US"/>
              </w:rPr>
            </w:pPr>
            <w:r w:rsidRPr="00C81B1E">
              <w:rPr>
                <w:rFonts w:eastAsia="Calibri"/>
                <w:lang w:val="en-GB" w:eastAsia="en-US"/>
              </w:rPr>
              <w:t>AF, AD, C, TT</w:t>
            </w:r>
          </w:p>
        </w:tc>
        <w:tc>
          <w:tcPr>
            <w:tcW w:w="5567" w:type="dxa"/>
            <w:vMerge/>
            <w:shd w:val="clear" w:color="auto" w:fill="auto"/>
            <w:noWrap/>
            <w:vAlign w:val="center"/>
            <w:hideMark/>
          </w:tcPr>
          <w:p w14:paraId="12C9C578" w14:textId="77777777" w:rsidR="00C7764C" w:rsidRPr="00C81B1E" w:rsidRDefault="00C7764C" w:rsidP="00C81B1E">
            <w:pPr>
              <w:pStyle w:val="MDPI42tablebody"/>
              <w:rPr>
                <w:rFonts w:eastAsia="Calibri"/>
                <w:lang w:val="en-GB" w:eastAsia="en-US"/>
              </w:rPr>
            </w:pPr>
          </w:p>
        </w:tc>
      </w:tr>
      <w:tr w:rsidR="00C81B1E" w:rsidRPr="00C81B1E" w14:paraId="5E42C609" w14:textId="77777777" w:rsidTr="00C81B1E">
        <w:trPr>
          <w:trHeight w:val="285"/>
        </w:trPr>
        <w:tc>
          <w:tcPr>
            <w:tcW w:w="1439" w:type="dxa"/>
            <w:tcBorders>
              <w:top w:val="single" w:sz="4" w:space="0" w:color="7F7F7F"/>
              <w:bottom w:val="single" w:sz="4" w:space="0" w:color="7F7F7F"/>
            </w:tcBorders>
            <w:shd w:val="clear" w:color="auto" w:fill="auto"/>
            <w:noWrap/>
            <w:vAlign w:val="center"/>
            <w:hideMark/>
          </w:tcPr>
          <w:p w14:paraId="368FD2C1"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Biochemical oxygen demand (BOD)</w:t>
            </w:r>
          </w:p>
        </w:tc>
        <w:tc>
          <w:tcPr>
            <w:tcW w:w="1167" w:type="dxa"/>
            <w:tcBorders>
              <w:top w:val="single" w:sz="4" w:space="0" w:color="7F7F7F"/>
              <w:bottom w:val="single" w:sz="4" w:space="0" w:color="7F7F7F"/>
            </w:tcBorders>
            <w:shd w:val="clear" w:color="auto" w:fill="auto"/>
            <w:noWrap/>
            <w:vAlign w:val="center"/>
            <w:hideMark/>
          </w:tcPr>
          <w:p w14:paraId="4694FC3F" w14:textId="77777777" w:rsidR="00C7764C" w:rsidRPr="00C81B1E" w:rsidRDefault="00C7764C" w:rsidP="00C81B1E">
            <w:pPr>
              <w:pStyle w:val="MDPI42tablebody"/>
              <w:rPr>
                <w:rFonts w:eastAsia="Calibri"/>
                <w:lang w:val="en-GB" w:eastAsia="en-US"/>
              </w:rPr>
            </w:pPr>
            <w:r w:rsidRPr="00C81B1E">
              <w:rPr>
                <w:rFonts w:eastAsia="Calibri"/>
                <w:lang w:val="en-GB" w:eastAsia="en-US"/>
              </w:rPr>
              <w:t>g/m</w:t>
            </w:r>
            <w:r w:rsidRPr="00C81B1E">
              <w:rPr>
                <w:rFonts w:eastAsia="Calibri"/>
                <w:vertAlign w:val="superscript"/>
                <w:lang w:val="en-GB" w:eastAsia="en-US"/>
              </w:rPr>
              <w:t>3</w:t>
            </w:r>
          </w:p>
        </w:tc>
        <w:tc>
          <w:tcPr>
            <w:tcW w:w="899" w:type="dxa"/>
            <w:tcBorders>
              <w:top w:val="single" w:sz="4" w:space="0" w:color="7F7F7F"/>
              <w:bottom w:val="single" w:sz="4" w:space="0" w:color="7F7F7F"/>
            </w:tcBorders>
            <w:shd w:val="clear" w:color="auto" w:fill="auto"/>
            <w:noWrap/>
            <w:vAlign w:val="center"/>
            <w:hideMark/>
          </w:tcPr>
          <w:p w14:paraId="5C9DD753" w14:textId="77777777" w:rsidR="00C7764C" w:rsidRPr="00C81B1E" w:rsidRDefault="00C7764C" w:rsidP="00C81B1E">
            <w:pPr>
              <w:pStyle w:val="MDPI42tablebody"/>
              <w:rPr>
                <w:rFonts w:eastAsia="Calibri"/>
                <w:lang w:val="en-GB" w:eastAsia="en-US"/>
              </w:rPr>
            </w:pPr>
            <w:r w:rsidRPr="00C81B1E">
              <w:rPr>
                <w:rFonts w:eastAsia="Calibri"/>
                <w:lang w:val="en-GB" w:eastAsia="en-US"/>
              </w:rPr>
              <w:t>AF, AD, C, TT</w:t>
            </w:r>
          </w:p>
        </w:tc>
        <w:tc>
          <w:tcPr>
            <w:tcW w:w="5567" w:type="dxa"/>
            <w:tcBorders>
              <w:top w:val="single" w:sz="4" w:space="0" w:color="7F7F7F"/>
              <w:bottom w:val="single" w:sz="4" w:space="0" w:color="7F7F7F"/>
            </w:tcBorders>
            <w:shd w:val="clear" w:color="auto" w:fill="auto"/>
            <w:noWrap/>
            <w:vAlign w:val="center"/>
            <w:hideMark/>
          </w:tcPr>
          <w:p w14:paraId="2E5A6E35"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AF: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{"citationItems":[{"id":"ITEM-1","itemData":{"DOI":"10.1016/j.scitotenv.2007.06.037","ISBN":"0048-9697","ISSN":"0048-9697","PMID":"17761214","abstract":"During the last decade, there have been remarkable changes in food waste management in Korea following a ban on direct landfilling. To evaluate the environmental impacts of food waste management systems, we examined individual treatment systems with the LCA approach -- landfill, incineration, composting, and feed manufacturing -- and estimated the change from 1997 to 2005. The efficient system was different in each impact category, but it was evaluated that landfill is the main contributor to human toxicity and global warming (based on fossil CO(2)). In contrast, due to the increase of food waste recycling, acidification, eutrophication, and fresh water aquatic ecotoxicity impact was increased. Especially, the high energy consumption and generated residue in recycling systems caused the large burdens in toxicity categories.","author":[{"dropping-particle":"","family":"Lee","given":"Suk-Hui","non-dropping-particle":"","parse-names":false,"suffix":""},{"dropping-particle":"","family":"Choi","given":"Ki-In","non-dropping-particle":"","parse-names":false,"suffix":""},{"dropping-particle":"","family":"Osako","given":"Masahiro","non-dropping-particle":"","parse-names":false,"suffix":""},{"dropping-particle":"","family":"Dong","given":"Jong-In","non-dropping-particle":"","parse-names":false,"suffix":""}],"container-title":"The Science of the Total Environment","id":"ITEM-1","issue":"1-3","issued":{"date-parts":[["2007"]]},"page":"42-53","title":"Evaluation of environmental burdens caused by changes of food waste management systems in Seoul, Korea","type":"article-journal","volume":"387"},"uris":["http://www.mendeley.com/documents/?uuid=8f64984c-3fd3-4af6-a302-a6effe418376"]}],"mendeley":{"formattedCitation":"(Lee et al., 2007)","manualFormatting":"Lee et al. (2007)","plainTextFormattedCitation":"(Lee et al., 2007)","previouslyFormattedCitation":"(Lee et al., 2007)"},"properties":{"noteIndex":0},"schema":"https://github.com/citation-style-language/schema/raw/master/csl-citation.json"}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Lee et al. (2007)</w:t>
            </w:r>
            <w:r w:rsidRPr="00C81B1E">
              <w:rPr>
                <w:rFonts w:eastAsia="Calibri"/>
                <w:lang w:val="en-GB" w:eastAsia="en-US"/>
              </w:rPr>
              <w:fldChar w:fldCharType="end"/>
            </w:r>
            <w:r w:rsidRPr="00C81B1E">
              <w:rPr>
                <w:rFonts w:eastAsia="Calibri"/>
                <w:lang w:val="en-GB" w:eastAsia="en-US"/>
              </w:rPr>
              <w:t xml:space="preserve">, AD: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wasman.2015.04.028","ISSN":"0956053X","author":[{"dropping-particle":"","family":"Suwannarat","given":"Jutarat","non-dropping-particle":"","parse-names":false,"suffix":""},{"dropping-particle":"","family":"Ritchie","given":"Raymond J.","non-dropping-particle":"","parse-names":false,"suffix":""}],"container-title":"Waste Management","id":"ITEM-1","issued":{"date-parts":[["2015"]]},"page":"61-66","publisher":"Elsevier Ltd","title":"Anaerobic digestion of food waste using yeast","type":"article-journal","volume":"42"},"uris":["http://www.mendeley.com/documents/?uuid=cf04c82e-8f7b-48fa-b878-5de0fe13eb73"]}],"mendeley":{"formattedCitation":"(Suwannarat and Ritchie, 2015)","manualFormatting":"Suwannarat &amp; Ritchie (2015)","plainTextFormattedCitation":"(Suwannarat and Ritchie, 2015)","previouslyFormattedCitation":"(Suwannarat and Ritchie, 2015)"},"properties":{"noteIndex":0},"schema":"https://github.com/citation-style-language/schema/raw/master/csl-citation.json"}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Suwannarat &amp; Ritchie (2015)</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{"citationItems":[{"id":"ITEM-1","itemData":{"DOI":"10.1023/B:WATE.0000019932.04020.b6","ISBN":"0049-6979","ISSN":"00496979","abstract":"Because of its agronomic benefits, farm-scale composting is an efficient means of recycling agricultural waste. Composting process is an aerobic degradation of fresh organic matter in mature compost. Nevertheless, according to the literature, composting may induce some environmental problems. The environmental impacts of composting will be described, along with an assessment of farm-scale composting practices which play a major role in pollution. The main environmental components potentially affected by composting pollution are air and water. Various gases released by composting, such as NH3, CH4 and N2O, can impact air quality and are therefore studied because they all have environmental impacts and can be controlled by composting management. The effect on water quality can be evaluated by considering loss of NO3-, NH4+, organic compounds and PO43-. Technical evaluation criteria for the impact of farm-scale composting on the air are determined from the physical and chemical characteristics of the raw materials, the use of additives, the turning method and frequency and the duration of the composting operations. Regarding water, the weather conditions at the beginning of the composting operation, the location of the heap, the protection against rain, the water addition during the process, the use of covers and the recovery of leaching and runoff water are also taken into account. The two main practices which control the air and water pollution from composting are: the choice of the raw material which influences gas emissions and the choice of composting location which have an high effect on losses by leaching and runoff. © 2004 Kluwer Academic Publishers.","author":[{"dropping-particle":"","family":"Peigne","given":"Josephine","non-dropping-particle":"","parse-names":false,"suffix":""},{"dropping-particle":"","family":"Girardin","given":"Philippe","non-dropping-particle":"","parse-names":false,"suffix":""}],"container-title":"Water, Air, and Soil Pollution","id":"ITEM-1","issued":{"date-parts":[["2004"]]},"page":"45-68","title":"Environmental impacts of farm-scale composting practices","type":"article-journal","volume":"153"},"uris":["http://www.mendeley.com/documents/?uuid=1cac405a-2c5f-4ec5-905c-fffa125841e9"]}],"mendeley":{"formattedCitation":"(Peigne and Girardin, 2004)","manualFormatting":"Peigne &amp; Girardin (2004)","plainTextFormattedCitation":"(Peigne and Girardin, 2004)","previouslyFormattedCitation":"(Peigne and Girardin, 2004)"},"properties":{"noteIndex":0},"schema":"https://github.com/citation-style-language/schema/raw/master/csl-citation.json"}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Peigne &amp; Girardin (2004)</w:t>
            </w:r>
            <w:r w:rsidRPr="00C81B1E">
              <w:rPr>
                <w:rFonts w:eastAsia="Calibri"/>
                <w:lang w:val="en-GB" w:eastAsia="en-US"/>
              </w:rPr>
              <w:fldChar w:fldCharType="end"/>
            </w:r>
            <w:r w:rsidRPr="00C81B1E">
              <w:rPr>
                <w:rFonts w:eastAsia="Calibri"/>
                <w:lang w:val="en-GB" w:eastAsia="en-US"/>
              </w:rPr>
              <w:t xml:space="preserve">, TT: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{"citationItems":[{"id":"ITEM-1","itemData":{"DOI":"10.1016/j.rser.2009.11.006","ISBN":"1364-0321","ISSN":"13640321","abstract":"Biomass is the first-ever fuel used by humankind and is also the fuel which was the mainstay of the global fuel economy till the middle of the 18th century. Then fossil fuels took over because fossil fuels were not only more abundant and denser in their energy content, but also generated less pollution when burnt, in comparison to biomass. In recent years there is a resurgence of interest in biomass energy because biomass is perceived as a carbon-neutral source of energy unlike net carbon-emitting fossil fuels of which copious use has led to global warming and ocean acidification. The paper takes stock of the various sources of biomass and the possible ways in which it can be utilized for generating energy. It then examines the environmental impacts, including impact vis a vis greenhouse gas emissions, of different biomass energy generation-utilization options. ?? 2009 Elsevier Ltd. All rights reserved.","author":[{"dropping-particle":"","family":"Abbasi","given":"Tasneem","non-dropping-particle":"","parse-names":false,"suffix":""},{"dropping-particle":"","family":"Abbasi","given":"S. A.","non-dropping-particle":"","parse-names":false,"suffix":""}],"container-title":"Renewable and Sustainable Energy Reviews","id":"ITEM-1","issue":"3","issued":{"date-parts":[["2010"]]},"page":"919-937","title":"Biomass energy and the environmental impacts associated with its production and utilization","type":"article-journal","volume":"14"},"uris":["http://www.mendeley.com/documents/?uuid=d8cf33e5-cb40-49e4-989a-9a11cce8307f"]}],"mendeley":{"formattedCitation":"(Abbasi and Abbasi, 2010)","manualFormatting":"Abbasi &amp; Abbasi (2010)","plainTextFormattedCitation":"(Abbasi and Abbasi, 2010)","previouslyFormattedCitation":"(Abbasi and Abbasi, 2010)"},"properties":{"noteIndex":0},"schema":"https://github.com/citation-style-language/schema/raw/master/csl-citation.json"}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Abbasi &amp; Abbasi (2010)</w:t>
            </w:r>
            <w:r w:rsidRPr="00C81B1E">
              <w:rPr>
                <w:rFonts w:eastAsia="Calibri"/>
                <w:lang w:val="en-GB" w:eastAsia="en-US"/>
              </w:rPr>
              <w:fldChar w:fldCharType="end"/>
            </w:r>
          </w:p>
        </w:tc>
      </w:tr>
      <w:tr w:rsidR="00C81B1E" w:rsidRPr="00C81B1E" w14:paraId="27A39820" w14:textId="77777777" w:rsidTr="00C81B1E">
        <w:trPr>
          <w:trHeight w:val="285"/>
        </w:trPr>
        <w:tc>
          <w:tcPr>
            <w:tcW w:w="1439" w:type="dxa"/>
            <w:shd w:val="clear" w:color="auto" w:fill="auto"/>
            <w:noWrap/>
            <w:vAlign w:val="center"/>
            <w:hideMark/>
          </w:tcPr>
          <w:p w14:paraId="42B43EDB"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Total suspended solids (TSS)</w:t>
            </w:r>
          </w:p>
        </w:tc>
        <w:tc>
          <w:tcPr>
            <w:tcW w:w="1167" w:type="dxa"/>
            <w:shd w:val="clear" w:color="auto" w:fill="auto"/>
            <w:noWrap/>
            <w:vAlign w:val="center"/>
            <w:hideMark/>
          </w:tcPr>
          <w:p w14:paraId="17DC2D81" w14:textId="77777777" w:rsidR="00C7764C" w:rsidRPr="00C81B1E" w:rsidRDefault="00C7764C" w:rsidP="00C81B1E">
            <w:pPr>
              <w:pStyle w:val="MDPI42tablebody"/>
              <w:rPr>
                <w:rFonts w:eastAsia="Calibri"/>
                <w:lang w:val="en-GB" w:eastAsia="en-US"/>
              </w:rPr>
            </w:pPr>
            <w:r w:rsidRPr="00C81B1E">
              <w:rPr>
                <w:rFonts w:eastAsia="Calibri"/>
                <w:lang w:val="en-GB" w:eastAsia="en-US"/>
              </w:rPr>
              <w:t>g/m</w:t>
            </w:r>
            <w:r w:rsidRPr="00C81B1E">
              <w:rPr>
                <w:rFonts w:eastAsia="Calibri"/>
                <w:vertAlign w:val="superscript"/>
                <w:lang w:val="en-GB" w:eastAsia="en-US"/>
              </w:rPr>
              <w:t>3</w:t>
            </w:r>
          </w:p>
        </w:tc>
        <w:tc>
          <w:tcPr>
            <w:tcW w:w="899" w:type="dxa"/>
            <w:shd w:val="clear" w:color="auto" w:fill="auto"/>
            <w:noWrap/>
            <w:vAlign w:val="center"/>
            <w:hideMark/>
          </w:tcPr>
          <w:p w14:paraId="74CA6E73" w14:textId="77777777" w:rsidR="00C7764C" w:rsidRPr="00C81B1E" w:rsidRDefault="00C7764C" w:rsidP="00C81B1E">
            <w:pPr>
              <w:pStyle w:val="MDPI42tablebody"/>
              <w:rPr>
                <w:rFonts w:eastAsia="Calibri"/>
                <w:lang w:val="en-GB" w:eastAsia="en-US"/>
              </w:rPr>
            </w:pPr>
            <w:r w:rsidRPr="00C81B1E">
              <w:rPr>
                <w:rFonts w:eastAsia="Calibri"/>
                <w:lang w:val="en-GB" w:eastAsia="en-US"/>
              </w:rPr>
              <w:t>AF, AD, C, TT</w:t>
            </w:r>
          </w:p>
        </w:tc>
        <w:tc>
          <w:tcPr>
            <w:tcW w:w="5567" w:type="dxa"/>
            <w:shd w:val="clear" w:color="auto" w:fill="auto"/>
            <w:noWrap/>
            <w:vAlign w:val="center"/>
            <w:hideMark/>
          </w:tcPr>
          <w:p w14:paraId="14FC21A6"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AF: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{"citationItems":[{"id":"ITEM-1","itemData":{"DOI":"10.1016/j.scitotenv.2007.06.037","ISBN":"0048-9697","ISSN":"0048-9697","PMID":"17761214","abstract":"During the last decade, there have been remarkable changes in food waste management in Korea following a ban on direct landfilling. To evaluate the environmental impacts of food waste management systems, we examined individual treatment systems with the LCA approach -- landfill, incineration, composting, and feed manufacturing -- and estimated the change from 1997 to 2005. The efficient system was different in each impact category, but it was evaluated that landfill is the main contributor to human toxicity and global warming (based on fossil CO(2)). In contrast, due to the increase of food waste recycling, acidification, eutrophication, and fresh water aquatic ecotoxicity impact was increased. Especially, the high energy consumption and generated residue in recycling systems caused the large burdens in toxicity categories.","author":[{"dropping-particle":"","family":"Lee","given":"Suk-Hui","non-dropping-particle":"","parse-names":false,"suffix":""},{"dropping-particle":"","family":"Choi","given":"Ki-In","non-dropping-particle":"","parse-names":false,"suffix":""},{"dropping-particle":"","family":"Osako","given":"Masahiro","non-dropping-particle":"","parse-names":false,"suffix":""},{"dropping-particle":"","family":"Dong","given":"Jong-In","non-dropping-particle":"","parse-names":false,"suffix":""}],"container-title":"The Science of the Total Environment","id":"ITEM-1","issue":"1-3","issued":{"date-parts":[["2007"]]},"page":"42-53","title":"Evaluation of environmental burdens caused by changes of food waste management systems in Seoul, Korea","type":"article-journal","volume":"387"},"uris":["http://www.mendeley.com/documents/?uuid=8f64984c-3fd3-4af6-a302-a6effe418376"]}],"mendeley":{"formattedCitation":"(Lee et al., 2007)","manualFormatting":"Lee et al. (2007)","plainTextFormattedCitation":"(Lee et al., 2007)","previouslyFormattedCitation":"(Lee et al., 2007)"},"properties":{"noteIndex":0},"schema":"https://github.com/citation-style-language/schema/raw/master/csl-citation.json"}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Lee et al. (2007)</w:t>
            </w:r>
            <w:r w:rsidRPr="00C81B1E">
              <w:rPr>
                <w:rFonts w:eastAsia="Calibri"/>
                <w:lang w:val="en-GB" w:eastAsia="en-US"/>
              </w:rPr>
              <w:fldChar w:fldCharType="end"/>
            </w:r>
            <w:r w:rsidRPr="00C81B1E">
              <w:rPr>
                <w:rFonts w:eastAsia="Calibri"/>
                <w:lang w:val="en-GB" w:eastAsia="en-US"/>
              </w:rPr>
              <w:t xml:space="preserve">, AD: </w:t>
            </w:r>
            <w:r w:rsidRPr="00C81B1E">
              <w:rPr>
                <w:rFonts w:eastAsia="Calibri"/>
                <w:lang w:val="en-GB" w:eastAsia="en-US"/>
              </w:rPr>
              <w:fldChar w:fldCharType="begin" w:fldLock="1"/>
            </w:r>
            <w:r w:rsidRPr="00C81B1E">
              <w:rPr>
                <w:rFonts w:eastAsia="Calibri"/>
                <w:lang w:val="en-GB" w:eastAsia="en-US"/>
              </w:rPr>
              <w:instrText>ADDIN CSL_CITATION {"citationItems":[{"id":"ITEM-1","itemData":{"DOI":"http://dx.doi.org/10.1016/j.biortech.2016.03.050","ISSN":"0960-8524","abstract":"Abstract A novel method of two-phase anaerobic digestion where the acid reactor is operated at low pH 4.0 was proposed and investigated. A completely stirred tank acid reactor and an up-flow anaerobic sludge bed methane reactor were operated to examine the possibility of efficient degradation of lactate and to identify their optimal operating conditions. Lactate with an average concentration of 14.8 g/L was the dominant fermentative product and Lactobacillus was the predominant microorganism in the acid reactor. The effluent from the acid reactor was efficiently degraded in the methane reactor and the average methane yield was 261.4 ml/g COD removed. Organisms of Methanosaeta were the predominant methanogen in granular sludge of methane reactor, however, after acclimation hydrogenotrophic methanogens enriched, which benefited for the conversion of lactate to acetate. The two-phase AD system exhibited a low hydraulic retention time of 3.56 days and high methane yield of 348.5 ml/g VS removed.","author":[{"dropping-particle":"","family":"Wu","given":"Yuanyuan","non-dropping-particle":"","parse-names":false,"suffix":""},{"dropping-particle":"","family":"Wang","given":"Cuiping","non-dropping-particle":"","parse-names":false,"suffix":""},{"dropping-particle":"","family":"Liu","given":"Xiaoji","non-dropping-particle":"","parse-names":false,"suffix":""},{"dropping-particle":"","family":"Ma","given":"Hailing","non-dropping-particle":"","parse-names":false,"suffix":""},{"dropping-particle":"","family":"Wu","given":"Jing","non-dropping-particle":"","parse-names":false,"suffix":""},{"dropping-particle":"","family":"Zuo","given":"Jiane","non-dropping-particle":"","parse-names":false,"suffix":""},{"dropping-particle":"","family":"Wang","given":"Kaijun","non-dropping-particle":"","parse-names":false,"suffix":""}],"container-title":"Bioresource Technology","id":"ITEM-1","issued":{"date-parts":[["2016"]]},"page":"16-23","publisher":"Elsevier Ltd","title":"A new method of two-phase anaerobic digestion for fruit and vegetable waste treatment","type":"article-journal","volume":"211"},"uris":["http://www.mendeley.com/documents/?uuid=6844ddba-6d3e-41bc-a06b-e477180be3a4"]}],"mendeley":{"formattedCitation":"(Wu et al., 2016)","manualFormatting":"Wu et al. (2016)","plainTextFormattedCitation":"(Wu et al., 2016)","previouslyFormattedCitation":"(Wu et al., 2016)"},"properties":{"noteIndex":0},"schema":"https://github.com/citation-style-language/schema/raw/master/csl-citation.json"}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Wu et al. (2016)</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{"citationItems":[{"id":"ITEM-1","itemData":{"DOI":"10.1016/S0043-1354(98)00143-2","ISBN":"0043-1354","ISSN":"00431354","abstract":"Stability is an important compost quality characteristic, but also one that is difficult to measure. A simple respirometric technique for the assessment of compost stability (SOUR test) was developed, that utilises a dissolved oxygen probe to measure changes in the oxygen concentration in an aqueous compost extract, under conditions ensuring optimum microbial activity and maximum reaction rates. A fully automated procedure is described and possible problems are discussed. The method was used to follow changes in stability of sewage sludge composts from a commercial plant using the windrow composting system. Two different batches of material were monitored. Results were compared with three other stability tests, a respirometric method utilising solid compost samples and the COD and optical density of compost water extracts. Both respiration tests indicated increasing compost stability with processing time and gave significant correlation both with compost age and with each other. The SOUR of the raw mixture was different for the two batches (9.3 and 18.4 mg O2/g VS/h), but after composting and maturation both dropped to about 1 mg O2/g VS/h. Measuring the respiration rate of an aqueous compost suspension rather than a solid compost sample offers certain advantages: the test is not affected by variations in the matric water potential of the samples; there is immediate contact between substrate, microbes and oxygen leading to maximum reaction rates; and the gas-liquid barrier for oxygen diffusion at the surface of the compost particles is omitted. The COD and the optical density of the water extracts did not show clear trends and did not allow any conclusions about compost stability to be drawn.","author":[{"dropping-particle":"","family":"Lasaridi","given":"Katia E.","non-dropping-particle":"","parse-names":false,"suffix":""},{"dropping-particle":"","family":"Stentiford","given":"Ed I.","non-dropping-particle":"","parse-names":false,"suffix":""}],"container-title":"Water Research","id":"ITEM-1","issue":"12","issued":{"date-parts":[["1998"]]},"page":"3717-3723","title":"A simple respirometric technique for assessing compost stability","type":"article-journal","volume":"32"},"uris":["http://www.mendeley.com/documents/?uuid=2292cb15-d6b2-4498-9493-3ed6050894b2"]}],"mendeley":{"formattedCitation":"(Lasaridi and Stentiford, 1998)","manualFormatting":"Lasaridi &amp; Stentiford (1998)","plainTextFormattedCitation":"(Lasaridi and Stentiford, 1998)","previouslyFormattedCitation":"(Lasaridi and Stentiford, 1998)"},"properties":{"noteIndex":0},"schema":"https://github.com/citation-style-language/schema/raw/master/csl-citation.json"}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Lasaridi &amp; Stentiford (1998)</w:t>
            </w:r>
            <w:r w:rsidRPr="00C81B1E">
              <w:rPr>
                <w:rFonts w:eastAsia="Calibri"/>
                <w:lang w:val="en-GB" w:eastAsia="en-US"/>
              </w:rPr>
              <w:fldChar w:fldCharType="end"/>
            </w:r>
            <w:r w:rsidRPr="00C81B1E">
              <w:rPr>
                <w:rFonts w:eastAsia="Calibri"/>
                <w:lang w:val="en-GB" w:eastAsia="en-US"/>
              </w:rPr>
              <w:t xml:space="preserve">, TT: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{"citationItems":[{"id":"ITEM-1","itemData":{"DOI":"10.1016/j.rser.2009.11.006","ISBN":"1364-0321","ISSN":"13640321","abstract":"Biomass is the first-ever fuel used by humankind and is also the fuel which was the mainstay of the global fuel economy till the middle of the 18th century. Then fossil fuels took over because fossil fuels were not only more abundant and denser in their energy content, but also generated less pollution when burnt, in comparison to biomass. In recent years there is a resurgence of interest in biomass energy because biomass is perceived as a carbon-neutral source of energy unlike net carbon-emitting fossil fuels of which copious use has led to global warming and ocean acidification. The paper takes stock of the various sources of biomass and the possible ways in which it can be utilized for generating energy. It then examines the environmental impacts, including impact vis a vis greenhouse gas emissions, of different biomass energy generation-utilization options. ?? 2009 Elsevier Ltd. All rights reserved.","author":[{"dropping-particle":"","family":"Abbasi","given":"Tasneem","non-dropping-particle":"","parse-names":false,"suffix":""},{"dropping-particle":"","family":"Abbasi","given":"S. A.","non-dropping-particle":"","parse-names":false,"suffix":""}],"container-title":"Renewable and Sustainable Energy Reviews","id":"ITEM-1","issue":"3","issued":{"date-parts":[["2010"]]},"page":"919-937","title":"Biomass energy and the environmental impacts associated with its production and utilization","type":"article-journal","volume":"14"},"uris":["http://www.mendeley.com/documents/?uuid=d8cf33e5-cb40-49e4-989a-9a11cce8307f"]}],"mendeley":{"formattedCitation":"(Abbasi and Abbasi, 2010)","manualFormatting":"Abbasi &amp; Abbasi (2010)","plainTextFormattedCitation":"(Abbasi and Abbasi, 2010)","previouslyFormattedCitation":"(Abbasi and Abbasi, 2010)"},"properties":{"noteIndex":0},"schema":"https://github.com/citation-style-language/schema/raw/master/csl-citation.json"}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Abbasi &amp; Abbasi (2010)</w:t>
            </w:r>
            <w:r w:rsidRPr="00C81B1E">
              <w:rPr>
                <w:rFonts w:eastAsia="Calibri"/>
                <w:lang w:val="en-GB" w:eastAsia="en-US"/>
              </w:rPr>
              <w:fldChar w:fldCharType="end"/>
            </w:r>
          </w:p>
        </w:tc>
      </w:tr>
      <w:tr w:rsidR="00C81B1E" w:rsidRPr="00C81B1E" w14:paraId="15317AFF" w14:textId="77777777" w:rsidTr="00C81B1E">
        <w:trPr>
          <w:trHeight w:val="315"/>
        </w:trPr>
        <w:tc>
          <w:tcPr>
            <w:tcW w:w="1439" w:type="dxa"/>
            <w:tcBorders>
              <w:top w:val="single" w:sz="4" w:space="0" w:color="7F7F7F"/>
              <w:bottom w:val="single" w:sz="4" w:space="0" w:color="7F7F7F"/>
            </w:tcBorders>
            <w:shd w:val="clear" w:color="auto" w:fill="auto"/>
            <w:noWrap/>
            <w:vAlign w:val="center"/>
            <w:hideMark/>
          </w:tcPr>
          <w:p w14:paraId="4A0FCDA7"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NH</w:t>
            </w:r>
            <w:r w:rsidRPr="00C81B1E">
              <w:rPr>
                <w:rFonts w:eastAsia="Calibri"/>
                <w:b/>
                <w:bCs/>
                <w:vertAlign w:val="subscript"/>
                <w:lang w:val="en-GB" w:eastAsia="en-US"/>
              </w:rPr>
              <w:t>4</w:t>
            </w:r>
            <w:r w:rsidRPr="00C81B1E">
              <w:rPr>
                <w:rFonts w:eastAsia="Calibri"/>
                <w:b/>
                <w:bCs/>
                <w:vertAlign w:val="superscript"/>
                <w:lang w:val="en-GB" w:eastAsia="en-US"/>
              </w:rPr>
              <w:t>+</w:t>
            </w:r>
          </w:p>
        </w:tc>
        <w:tc>
          <w:tcPr>
            <w:tcW w:w="1167" w:type="dxa"/>
            <w:tcBorders>
              <w:top w:val="single" w:sz="4" w:space="0" w:color="7F7F7F"/>
              <w:bottom w:val="single" w:sz="4" w:space="0" w:color="7F7F7F"/>
            </w:tcBorders>
            <w:shd w:val="clear" w:color="auto" w:fill="auto"/>
            <w:noWrap/>
            <w:vAlign w:val="center"/>
            <w:hideMark/>
          </w:tcPr>
          <w:p w14:paraId="5B516B30" w14:textId="77777777" w:rsidR="00C7764C" w:rsidRPr="00C81B1E" w:rsidRDefault="00C7764C" w:rsidP="00C81B1E">
            <w:pPr>
              <w:pStyle w:val="MDPI42tablebody"/>
              <w:rPr>
                <w:rFonts w:eastAsia="Calibri"/>
                <w:lang w:val="en-GB" w:eastAsia="en-US"/>
              </w:rPr>
            </w:pPr>
            <w:r w:rsidRPr="00C81B1E">
              <w:rPr>
                <w:rFonts w:eastAsia="Calibri"/>
                <w:lang w:val="en-GB" w:eastAsia="en-US"/>
              </w:rPr>
              <w:t>g/m</w:t>
            </w:r>
            <w:r w:rsidRPr="00C81B1E">
              <w:rPr>
                <w:rFonts w:eastAsia="Calibri"/>
                <w:vertAlign w:val="superscript"/>
                <w:lang w:val="en-GB" w:eastAsia="en-US"/>
              </w:rPr>
              <w:t>3</w:t>
            </w:r>
          </w:p>
        </w:tc>
        <w:tc>
          <w:tcPr>
            <w:tcW w:w="899" w:type="dxa"/>
            <w:tcBorders>
              <w:top w:val="single" w:sz="4" w:space="0" w:color="7F7F7F"/>
              <w:bottom w:val="single" w:sz="4" w:space="0" w:color="7F7F7F"/>
            </w:tcBorders>
            <w:shd w:val="clear" w:color="auto" w:fill="auto"/>
            <w:noWrap/>
            <w:vAlign w:val="center"/>
            <w:hideMark/>
          </w:tcPr>
          <w:p w14:paraId="5D8A0360" w14:textId="77777777" w:rsidR="00C7764C" w:rsidRPr="00C81B1E" w:rsidRDefault="00C7764C" w:rsidP="00C81B1E">
            <w:pPr>
              <w:pStyle w:val="MDPI42tablebody"/>
              <w:rPr>
                <w:rFonts w:eastAsia="Calibri"/>
                <w:lang w:val="en-GB" w:eastAsia="en-US"/>
              </w:rPr>
            </w:pPr>
            <w:r w:rsidRPr="00C81B1E">
              <w:rPr>
                <w:rFonts w:eastAsia="Calibri"/>
                <w:lang w:val="en-GB" w:eastAsia="en-US"/>
              </w:rPr>
              <w:t>AF, C</w:t>
            </w:r>
          </w:p>
        </w:tc>
        <w:tc>
          <w:tcPr>
            <w:tcW w:w="5567" w:type="dxa"/>
            <w:tcBorders>
              <w:top w:val="single" w:sz="4" w:space="0" w:color="7F7F7F"/>
              <w:bottom w:val="single" w:sz="4" w:space="0" w:color="7F7F7F"/>
            </w:tcBorders>
            <w:shd w:val="clear" w:color="auto" w:fill="auto"/>
            <w:noWrap/>
            <w:vAlign w:val="center"/>
            <w:hideMark/>
          </w:tcPr>
          <w:p w14:paraId="12B06C25" w14:textId="77777777" w:rsidR="00C7764C" w:rsidRPr="00C81B1E" w:rsidRDefault="00C7764C" w:rsidP="00C81B1E">
            <w:pPr>
              <w:pStyle w:val="MDPI42tablebody"/>
              <w:rPr>
                <w:rFonts w:eastAsia="Calibri"/>
                <w:lang w:val="en-GB" w:eastAsia="en-US"/>
              </w:rPr>
            </w:pPr>
            <w:r w:rsidRPr="00C81B1E">
              <w:rPr>
                <w:rFonts w:eastAsia="Calibri"/>
                <w:lang w:val="es-ES" w:eastAsia="en-US"/>
              </w:rPr>
              <w:t xml:space="preserve">AF: </w:t>
            </w:r>
            <w:r w:rsidRPr="00C81B1E">
              <w:rPr>
                <w:rFonts w:eastAsia="Calibri"/>
                <w:lang w:val="en-GB" w:eastAsia="en-US"/>
              </w:rPr>
              <w:fldChar w:fldCharType="begin" w:fldLock="1"/>
            </w:r>
            <w:r w:rsidRPr="00C81B1E">
              <w:rPr>
                <w:rFonts w:eastAsia="Calibri"/>
                <w:lang w:val="es-ES" w:eastAsia="en-US"/>
              </w:rPr>
              <w:instrText>ADDIN CSL_CITATION {"citationItems":[{"id":"ITEM-1","itemData":{"DOI":"10.1016/j.scitotenv.2007.06.037","ISBN":"0048-9697","ISSN":"0048-9697","PMID":"17761214","abstract":"During the last decade, there have been remarkable changes in food waste management in Korea following a ban on direct landfilling. To evaluate the environmental impacts of food waste management systems, we examined individual treatment systems with the LCA approach -- landfill, incineration, composting, and feed manufacturing -- and estimated the change from 1997 to 2005. The efficient system was different in each impact category, but it was evaluated that landfill is the main contributor to human toxicity and global warming (based on fossil CO(2)). In contrast, due to the increase of food waste recycling, acidification, eutrophication, and fresh water aquatic ecotoxicity impact was increased. Especially, the high energy consumption and generated residue in recycling systems caused the large burdens in toxicity categories.","author":[{"dropping-particle":"","family":"Lee","given":"Suk-Hui","non-dropping-particle":"","parse-names":false,"suffix":""},{"dropping-particle":"","family":"Choi","given":"Ki-In","non-dropping-particle":"","parse-names":false,"suffix":""},{"dropping-particle":"","family":"Osako","given":"Masahiro","non-dropping-particle":"","parse-names":false,"suffix":""},{"dropping-particle":"","family":"Dong","given":"Jong-In","non-dropping-particle":"","parse-names":false,"suffix":""}],"container-title":"The Science of the Total Environment","id":"ITEM-1","issue":"1-3","issued":{"date-parts":[["2007"]]},"page":"42-53","title":"Evaluation of environmental burdens caused by changes of food waste management systems in Seoul, Korea","type":"article-journal","volume":"387"},"uris":["http://www.mendeley.com/documents/?uuid=8f64984c-3fd3-4af6-a302-a6effe418376"]}],"mendeley":{"formattedCitation":"(Lee et al., 2007)","manualFormatting":"Lee et al. (2007)","plainTextFormattedCitation":"(Lee et al., 2007)","previouslyFormattedCitation":"(Lee et al., 2007)"},"properties":{"noteIndex":0},"schema":"https://github.com/citation-style-language/schema/raw/master/csl-citation.json"}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s-ES" w:eastAsia="en-US"/>
              </w:rPr>
              <w:t>Lee et al. (2007)</w:t>
            </w:r>
            <w:r w:rsidRPr="00C81B1E">
              <w:rPr>
                <w:rFonts w:eastAsia="Calibri"/>
                <w:lang w:val="en-GB" w:eastAsia="en-US"/>
              </w:rPr>
              <w:fldChar w:fldCharType="end"/>
            </w:r>
            <w:r w:rsidRPr="00C81B1E">
              <w:rPr>
                <w:rFonts w:eastAsia="Calibri"/>
                <w:lang w:val="es-ES" w:eastAsia="en-US"/>
              </w:rPr>
              <w:t xml:space="preserve">, C: </w:t>
            </w:r>
            <w:r w:rsidRPr="00C81B1E">
              <w:rPr>
                <w:rFonts w:eastAsia="Calibri"/>
                <w:lang w:val="en-GB" w:eastAsia="en-US"/>
              </w:rPr>
              <w:fldChar w:fldCharType="begin" w:fldLock="1"/>
            </w:r>
            <w:r w:rsidRPr="00C81B1E">
              <w:rPr>
                <w:rFonts w:eastAsia="Calibri"/>
                <w:lang w:val="es-ES" w:eastAsia="en-US"/>
              </w:rPr>
              <w:instrText>ADDIN CSL_CITATION {"citationItems":[{"id":"ITEM-1","itemData":{"DOI":"10.1023/B:WATE.0000019932.04020.b6","ISBN":"0049-6979","ISSN":"00496979","abstract":"Because of its agronomic benefits, farm-scale composting is an efficient means of recycling agricultural waste. Composting process is an aerobic degradation of fresh organic matter in mature compost. Nevertheless, according to the literature, composting may induce some environmental problems. The environmental impacts of composting will be described, along with an assessment of farm-scale composting practices which play a major role in pollution. The main environmental components potentially affected by composting pollution are air and water. Various gases released by composting, such as NH3, CH4 and N2O, can impact air quality and are therefore studied because they all have environmental impacts and can be controlled by composting management. The effect on water quality can be evaluated by considering loss of NO3-, NH4+, organic compounds and PO43-. Technical evaluation criteria for the impact of farm-scale composting on the air are determined from the physical and chemical characteristics of the raw materials, the use of additives, the turning method and frequency and the duration of the composting operations. Regarding water, the weather conditions at the beginning of the composting operation, the location of the heap, the protection against rain, the water addition during the process, the use of covers and the recovery of leaching and runoff water are also taken into account. The two main practices which control the air and water pollution from composting are: the choice of the raw material which influences gas emissions and the choice of composting location which have an high effect on losses by leaching and runoff. © 2004 Kluwer Academic Publishers.","author":[{"dropping-particle":"","family":"Peigne","given":"Josephine","non-dropping-particle":"","parse-names":false,"suffix":""},{"dropping-particle":"","family":"Girardin","given":"Philippe","non-dropping-particle":"","parse-names":false,"suffix":""}],"container-title":"Water, Air, and Soil Pollution","id":"ITEM-1","issued":{"date-parts":[["2004"]]},"page":"45-68","title":"Environmental impacts of farm-scale composting practices","type":"article-journal","volume":"153"},"uris":["http://www.mendeley.com/documents/?uuid=1cac405a-2c5f-4ec5-905c-fffa125841e9"]}],"mendeley":{"formattedCitation":"(Peigne and Girardin, 2004)","manualFormatting":"Peigne &amp; Girardin (2004)","plainTextFormattedCitation":"(Peigne and Girardin, 2004)","previouslyFormattedCitation":"(Peigne and Girardin, 2004)"},"properties":{"noteIndex":0},"schema":"https://github.com/citation-style-language/schema/raw/master/csl-citation.json"}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Peigne &amp; Girardin (2004)</w:t>
            </w:r>
            <w:r w:rsidRPr="00C81B1E">
              <w:rPr>
                <w:rFonts w:eastAsia="Calibri"/>
                <w:lang w:val="en-GB" w:eastAsia="en-US"/>
              </w:rPr>
              <w:fldChar w:fldCharType="end"/>
            </w:r>
          </w:p>
        </w:tc>
      </w:tr>
      <w:tr w:rsidR="00C81B1E" w:rsidRPr="00C81B1E" w14:paraId="518F9778" w14:textId="77777777" w:rsidTr="00C81B1E">
        <w:trPr>
          <w:trHeight w:val="315"/>
        </w:trPr>
        <w:tc>
          <w:tcPr>
            <w:tcW w:w="1439" w:type="dxa"/>
            <w:shd w:val="clear" w:color="auto" w:fill="auto"/>
            <w:noWrap/>
            <w:vAlign w:val="center"/>
            <w:hideMark/>
          </w:tcPr>
          <w:p w14:paraId="26483AEA"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P</w:t>
            </w:r>
          </w:p>
        </w:tc>
        <w:tc>
          <w:tcPr>
            <w:tcW w:w="1167" w:type="dxa"/>
            <w:shd w:val="clear" w:color="auto" w:fill="auto"/>
            <w:noWrap/>
            <w:vAlign w:val="center"/>
            <w:hideMark/>
          </w:tcPr>
          <w:p w14:paraId="3C08F847" w14:textId="77777777" w:rsidR="00C7764C" w:rsidRPr="00C81B1E" w:rsidRDefault="00C7764C" w:rsidP="00C81B1E">
            <w:pPr>
              <w:pStyle w:val="MDPI42tablebody"/>
              <w:rPr>
                <w:rFonts w:eastAsia="Calibri"/>
                <w:lang w:val="en-GB" w:eastAsia="en-US"/>
              </w:rPr>
            </w:pPr>
            <w:r w:rsidRPr="00C81B1E">
              <w:rPr>
                <w:rFonts w:eastAsia="Calibri"/>
                <w:lang w:val="en-GB" w:eastAsia="en-US"/>
              </w:rPr>
              <w:t>g P</w:t>
            </w:r>
            <w:r w:rsidRPr="00C81B1E">
              <w:rPr>
                <w:rFonts w:eastAsia="Calibri"/>
                <w:vertAlign w:val="subscript"/>
                <w:lang w:val="en-GB" w:eastAsia="en-US"/>
              </w:rPr>
              <w:t>2</w:t>
            </w:r>
            <w:r w:rsidRPr="00C81B1E">
              <w:rPr>
                <w:rFonts w:eastAsia="Calibri"/>
                <w:lang w:val="en-GB" w:eastAsia="en-US"/>
              </w:rPr>
              <w:t>O</w:t>
            </w:r>
            <w:r w:rsidRPr="00C81B1E">
              <w:rPr>
                <w:rFonts w:eastAsia="Calibri"/>
                <w:vertAlign w:val="subscript"/>
                <w:lang w:val="en-GB" w:eastAsia="en-US"/>
              </w:rPr>
              <w:t>5</w:t>
            </w:r>
            <w:r w:rsidRPr="00C81B1E">
              <w:rPr>
                <w:rFonts w:eastAsia="Calibri"/>
                <w:lang w:val="en-GB" w:eastAsia="en-US"/>
              </w:rPr>
              <w:t>/PO</w:t>
            </w:r>
            <w:r w:rsidRPr="00C81B1E">
              <w:rPr>
                <w:rFonts w:eastAsia="Calibri"/>
                <w:vertAlign w:val="subscript"/>
                <w:lang w:val="en-GB" w:eastAsia="en-US"/>
              </w:rPr>
              <w:t>4</w:t>
            </w:r>
            <w:r w:rsidRPr="00C81B1E">
              <w:rPr>
                <w:rFonts w:eastAsia="Calibri"/>
                <w:vertAlign w:val="superscript"/>
                <w:lang w:val="en-GB" w:eastAsia="en-US"/>
              </w:rPr>
              <w:t xml:space="preserve">-3 </w:t>
            </w:r>
            <w:r w:rsidRPr="00C81B1E">
              <w:rPr>
                <w:rFonts w:eastAsia="Calibri"/>
                <w:lang w:val="en-GB" w:eastAsia="en-US"/>
              </w:rPr>
              <w:t>/ m</w:t>
            </w:r>
            <w:r w:rsidRPr="00C81B1E">
              <w:rPr>
                <w:rFonts w:eastAsia="Calibri"/>
                <w:vertAlign w:val="superscript"/>
                <w:lang w:val="en-GB" w:eastAsia="en-US"/>
              </w:rPr>
              <w:t>3</w:t>
            </w:r>
          </w:p>
        </w:tc>
        <w:tc>
          <w:tcPr>
            <w:tcW w:w="899" w:type="dxa"/>
            <w:shd w:val="clear" w:color="auto" w:fill="auto"/>
            <w:noWrap/>
            <w:vAlign w:val="center"/>
            <w:hideMark/>
          </w:tcPr>
          <w:p w14:paraId="3F298A65" w14:textId="77777777" w:rsidR="00C7764C" w:rsidRPr="00C81B1E" w:rsidRDefault="00C7764C" w:rsidP="00C81B1E">
            <w:pPr>
              <w:pStyle w:val="MDPI42tablebody"/>
              <w:rPr>
                <w:rFonts w:eastAsia="Calibri"/>
                <w:lang w:val="en-GB" w:eastAsia="en-US"/>
              </w:rPr>
            </w:pPr>
            <w:r w:rsidRPr="00C81B1E">
              <w:rPr>
                <w:rFonts w:eastAsia="Calibri"/>
                <w:lang w:val="en-GB" w:eastAsia="en-US"/>
              </w:rPr>
              <w:t>AF, AD, C</w:t>
            </w:r>
          </w:p>
        </w:tc>
        <w:tc>
          <w:tcPr>
            <w:tcW w:w="5567" w:type="dxa"/>
            <w:shd w:val="clear" w:color="auto" w:fill="auto"/>
            <w:noWrap/>
            <w:vAlign w:val="center"/>
            <w:hideMark/>
          </w:tcPr>
          <w:p w14:paraId="37AF0CEC"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AF: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{"citationItems":[{"id":"ITEM-1","itemData":{"DOI":"10.1016/j.scitotenv.2007.06.037","ISBN":"0048-9697","ISSN":"0048-9697","PMID":"17761214","abstract":"During the last decade, there have been remarkable changes in food waste management in Korea following a ban on direct landfilling. To evaluate the environmental impacts of food waste management systems, we examined individual treatment systems with the LCA approach -- landfill, incineration, composting, and feed manufacturing -- and estimated the change from 1997 to 2005. The efficient system was different in each impact category, but it was evaluated that landfill is the main contributor to human toxicity and global warming (based on fossil CO(2)). In contrast, due to the increase of food waste recycling, acidification, eutrophication, and fresh water aquatic ecotoxicity impact was increased. Especially, the high energy consumption and generated residue in recycling systems caused the large burdens in toxicity categories.","author":[{"dropping-particle":"","family":"Lee","given":"Suk-Hui","non-dropping-particle":"","parse-names":false,"suffix":""},{"dropping-particle":"","family":"Choi","given":"Ki-In","non-dropping-particle":"","parse-names":false,"suffix":""},{"dropping-particle":"","family":"Osako","given":"Masahiro","non-dropping-particle":"","parse-names":false,"suffix":""},{"dropping-particle":"","family":"Dong","given":"Jong-In","non-dropping-particle":"","parse-names":false,"suffix":""}],"container-title":"The Science of the Total Environment","id":"ITEM-1","issue":"1-3","issued":{"date-parts":[["2007"]]},"page":"42-53","title":"Evaluation of environmental burdens caused by changes of food waste management systems in Seoul, Korea","type":"article-journal","volume":"387"},"uris":["http://www.mendeley.com/documents/?uuid=8f64984c-3fd3-4af6-a302-a6effe418376"]}],"mendeley":{"formattedCitation":"(Lee et al., 2007)","manualFormatting":"Lee et al. (2007)","plainTextFormattedCitation":"(Lee et al., 2007)","previouslyFormattedCitation":"(Lee et al., 2007)"},"properties":{"noteIndex":0},"schema":"https://github.com/citation-style-language/schema/raw/master/csl-citation.json"}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Lee et al. (2007)</w:t>
            </w:r>
            <w:r w:rsidRPr="00C81B1E">
              <w:rPr>
                <w:rFonts w:eastAsia="Calibri"/>
                <w:lang w:val="en-GB" w:eastAsia="en-US"/>
              </w:rPr>
              <w:fldChar w:fldCharType="end"/>
            </w:r>
            <w:r w:rsidRPr="00C81B1E">
              <w:rPr>
                <w:rFonts w:eastAsia="Calibri"/>
                <w:lang w:val="en-GB" w:eastAsia="en-US"/>
              </w:rPr>
              <w:t xml:space="preserve">, AD: </w:t>
            </w:r>
            <w:r w:rsidRPr="00C81B1E">
              <w:rPr>
                <w:rFonts w:eastAsia="Calibri"/>
                <w:lang w:val="en-GB" w:eastAsia="en-US"/>
              </w:rPr>
              <w:fldChar w:fldCharType="begin" w:fldLock="1"/>
            </w:r>
            <w:r w:rsidRPr="00C81B1E">
              <w:rPr>
                <w:rFonts w:eastAsia="Calibri"/>
                <w:lang w:val="en-GB" w:eastAsia="en-US"/>
              </w:rPr>
              <w:instrText>ADDIN CSL_CITATION {"citationItems":[{"id":"ITEM-1","itemData":{"ISBN":"9783906484587","abstract":"SW&amp;C-04\\nThe publication presents anaerobic digestion with biogas production as a solution to organic waste treatment. basic information about suitable feedstock, anaerobic digestion technologies, processes and plant operation as well as the utilization of biogas and effluent are described. On top of that, the publication analyses costs-and benefits, environmental as well as socio-cultural aspects of this approach and presents a number of Case Studies from Asia, Africa, and Latin America.","author":[{"dropping-particle":"","family":"Vögeli","given":"Yvonne","non-dropping-particle":"","parse-names":false,"suffix":""},{"dropping-particle":"","family":"Riu","given":"Christian","non-dropping-particle":"","parse-names":false,"suffix":""},{"dropping-particle":"","family":"Gallardo","given":"Amalia","non-dropping-particle":"","parse-names":false,"suffix":""},{"dropping-particle":"","family":"Diener","given":"Stefan","non-dropping-particle":"","parse-names":false,"suffix":""},{"dropping-particle":"","family":"Zurbrügg","given":"Christian","non-dropping-particle":"","parse-names":false,"suffix":""}],"id":"ITEM-1","issued":{"date-parts":[["2014"]]},"publisher":"Swiss Federal Institute of Aquatic Science and Technology (Eawag)","publisher-place":"Dübendorf (Switzerland)","title":"Anaerobic digestion of biowaste in developing countries. Practical information and case studies","type":"book"},"uris":["http://www.mendeley.com/documents/?uuid=34e3c271-c743-45ba-b136-467fc88d9b90"]}],"mendeley":{"formattedCitation":"(Vögeli et al., 2014)","manualFormatting":"Vögeli et al. (2014)","plainTextFormattedCitation":"(Vögeli et al., 2014)","previouslyFormattedCitation":"(Vögeli et al., 2014)"},"properties":{"noteIndex":0},"schema":"https://github.com/citation-style-language/schema/raw/master/csl-citation.json"}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Vögeli et al. (2014)</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{"citationItems":[{"id":"ITEM-1","itemData":{"DOI":"10.1128/AEM.71.9.4951","ISBN":"058045195X","author":[{"dropping-particle":"","family":"British Standards Institution","given":"","non-dropping-particle":"","parse-names":false,"suffix":""}],"id":"ITEM-1","issued":{"date-parts":[["2011"]]},"title":"PAS 100:2011 Specification for Composted Materials","type":"report","volume":"January"},"uris":["http://www.mendeley.com/documents/?uuid=f0f7c64c-b25d-4a88-8d84-9a437c7611e0"]}],"mendeley":{"formattedCitation":"(British Standards Institution, 2011)","manualFormatting":"British Standards Institution (2011)","plainTextFormattedCitation":"(British Standards Institution, 2011)","previouslyFormattedCitation":"(British Standards Institution, 2011)"},"properties":{"noteIndex":0},"schema":"https://github.com/citation-style-language/schema/raw/master/csl-citation.json"}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British Standards Institution (2011)</w:t>
            </w:r>
            <w:r w:rsidRPr="00C81B1E">
              <w:rPr>
                <w:rFonts w:eastAsia="Calibri"/>
                <w:lang w:val="en-GB" w:eastAsia="en-US"/>
              </w:rPr>
              <w:fldChar w:fldCharType="end"/>
            </w:r>
          </w:p>
        </w:tc>
      </w:tr>
      <w:tr w:rsidR="00C81B1E" w:rsidRPr="00C81B1E" w14:paraId="25571F3B" w14:textId="77777777" w:rsidTr="00C81B1E">
        <w:trPr>
          <w:trHeight w:val="285"/>
        </w:trPr>
        <w:tc>
          <w:tcPr>
            <w:tcW w:w="1439" w:type="dxa"/>
            <w:tcBorders>
              <w:top w:val="single" w:sz="4" w:space="0" w:color="7F7F7F"/>
              <w:bottom w:val="single" w:sz="4" w:space="0" w:color="7F7F7F"/>
            </w:tcBorders>
            <w:shd w:val="clear" w:color="auto" w:fill="auto"/>
            <w:noWrap/>
            <w:vAlign w:val="center"/>
            <w:hideMark/>
          </w:tcPr>
          <w:p w14:paraId="0CB2B95A"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Cd</w:t>
            </w:r>
          </w:p>
        </w:tc>
        <w:tc>
          <w:tcPr>
            <w:tcW w:w="1167" w:type="dxa"/>
            <w:tcBorders>
              <w:top w:val="single" w:sz="4" w:space="0" w:color="7F7F7F"/>
              <w:bottom w:val="single" w:sz="4" w:space="0" w:color="7F7F7F"/>
            </w:tcBorders>
            <w:shd w:val="clear" w:color="auto" w:fill="auto"/>
            <w:noWrap/>
            <w:vAlign w:val="center"/>
            <w:hideMark/>
          </w:tcPr>
          <w:p w14:paraId="3F7D749B" w14:textId="77777777" w:rsidR="00C7764C" w:rsidRPr="00C81B1E" w:rsidRDefault="00C7764C" w:rsidP="00C81B1E">
            <w:pPr>
              <w:pStyle w:val="MDPI42tablebody"/>
              <w:rPr>
                <w:rFonts w:eastAsia="Calibri"/>
                <w:lang w:val="en-GB" w:eastAsia="en-US"/>
              </w:rPr>
            </w:pPr>
            <w:r w:rsidRPr="00C81B1E">
              <w:rPr>
                <w:rFonts w:eastAsia="Calibri"/>
                <w:lang w:val="en-GB" w:eastAsia="en-US"/>
              </w:rPr>
              <w:t>g/m</w:t>
            </w:r>
            <w:r w:rsidRPr="00C81B1E">
              <w:rPr>
                <w:rFonts w:eastAsia="Calibri"/>
                <w:vertAlign w:val="superscript"/>
                <w:lang w:val="en-GB" w:eastAsia="en-US"/>
              </w:rPr>
              <w:t>3</w:t>
            </w:r>
          </w:p>
        </w:tc>
        <w:tc>
          <w:tcPr>
            <w:tcW w:w="899" w:type="dxa"/>
            <w:tcBorders>
              <w:top w:val="single" w:sz="4" w:space="0" w:color="7F7F7F"/>
              <w:bottom w:val="single" w:sz="4" w:space="0" w:color="7F7F7F"/>
            </w:tcBorders>
            <w:shd w:val="clear" w:color="auto" w:fill="auto"/>
            <w:noWrap/>
            <w:vAlign w:val="center"/>
            <w:hideMark/>
          </w:tcPr>
          <w:p w14:paraId="4AEF4004"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 TT</w:t>
            </w:r>
          </w:p>
        </w:tc>
        <w:tc>
          <w:tcPr>
            <w:tcW w:w="5567" w:type="dxa"/>
            <w:vMerge w:val="restart"/>
            <w:tcBorders>
              <w:top w:val="single" w:sz="4" w:space="0" w:color="7F7F7F"/>
              <w:bottom w:val="single" w:sz="4" w:space="0" w:color="7F7F7F"/>
            </w:tcBorders>
            <w:shd w:val="clear" w:color="auto" w:fill="auto"/>
            <w:noWrap/>
            <w:vAlign w:val="center"/>
            <w:hideMark/>
          </w:tcPr>
          <w:p w14:paraId="5777ADE5"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AD: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rser.2015.04.164","ISSN":"1364-0321","author":[{"dropping-particle":"","family":"Xu","given":"Changqing","non-dropping-particle":"","parse-names":false,"suffix":""},{"dropping-particle":"","family":"Shi","given":"Wenxiao","non-dropping-particle":"","parse-names":false,"suffix":""},{"dropping-particle":"","family":"Hong","given":"Jinglan","non-dropping-particle":"","parse-names":false,"suffix":""},{"dropping-particle":"","family":"Zhang","given":"Fangfang","non-dropping-particle":"","parse-names":false,"suffix":""},{"dropping-particle":"","family":"Chen","given":"Wei","non-dropping-particle":"","parse-names":false,"suffix":""}],"container-title":"Renewable and Sustainable Energy Reviews","id":"ITEM-1","issued":{"date-parts":[["2015"]]},"page":"169-177","publisher":"Elsevier","title":"Life cycle assessment of food waste-based biogas generation","type":"article-journal","volume":"49"},"uris":["http://www.mendeley.com/documents/?uuid=d881818c-5df0-4743-8667-8efc959eea9b"]}],"mendeley":{"formattedCitation":"(Xu et al., 2015)","manualFormatting":"Xu et al. (2015)","plainTextFormattedCitation":"(Xu et al., 2015)","previouslyFormattedCitation":"(Xu et al., 2015)"},"properties":{"noteIndex":0},"schema":"https://github.com/citation-style-language/schema/raw/master/csl-citation.json"}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Xu et al. (2015)</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{"citationItems":[{"id":"ITEM-1","itemData":{"DOI":"10.1128/AEM.71.9.4951","ISBN":"058045195X","author":[{"dropping-particle":"","family":"British Standards Institution","given":"","non-dropping-particle":"","parse-names":false,"suffix":""}],"id":"ITEM-1","issued":{"date-parts":[["2011"]]},"title":"PAS 100:2011 Specification for Composted Materials","type":"report","volume":"January"},"uris":["http://www.mendeley.com/documents/?uuid=f0f7c64c-b25d-4a88-8d84-9a437c7611e0"]}],"mendeley":{"formattedCitation":"(British Standards Institution, 2011)","manualFormatting":"British Standards Institution (2011)","plainTextFormattedCitation":"(British Standards Institution, 2011)","previouslyFormattedCitation":"(British Standards Institution, 2011)"},"properties":{"noteIndex":0},"schema":"https://github.com/citation-style-language/schema/raw/master/csl-citation.json"}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British Standards Institution (2011)</w:t>
            </w:r>
            <w:r w:rsidRPr="00C81B1E">
              <w:rPr>
                <w:rFonts w:eastAsia="Calibri"/>
                <w:lang w:val="en-GB" w:eastAsia="en-US"/>
              </w:rPr>
              <w:fldChar w:fldCharType="end"/>
            </w:r>
            <w:r w:rsidRPr="00C81B1E">
              <w:rPr>
                <w:rFonts w:eastAsia="Calibri"/>
                <w:lang w:val="en-GB" w:eastAsia="en-US"/>
              </w:rPr>
              <w:t xml:space="preserve">, TT: </w:t>
            </w:r>
            <w:r w:rsidRPr="00C81B1E">
              <w:rPr>
                <w:rFonts w:eastAsia="Calibri"/>
                <w:lang w:val="en-GB" w:eastAsia="en-US"/>
              </w:rPr>
              <w:fldChar w:fldCharType="begin" w:fldLock="1"/>
            </w:r>
            <w:r w:rsidRPr="00C81B1E">
              <w:rPr>
                <w:rFonts w:eastAsia="Calibri"/>
                <w:lang w:val="en-GB" w:eastAsia="en-US"/>
              </w:rPr>
              <w:instrText>ADDIN CSL_CITATION {"citationItems":[{"id":"ITEM-1","itemData":{"abstract":"This project deals with combustion installations with a rated thermal\\ninput exceeding 50 MW. Plants with a thermal input lower than 50\\nMW are, however, discussed where technically relevant because smaller\\nunits can potentially be added to a plant to build one larger installation\\nexceeding 50 MW. All kinds of conventional power plants (e.g. utility\\nboiler plants, combined heat and power plants, district heating plants)\\nused for mechanical power and heat generation are covered in this\\nwork. Industrial combustion installations are covered if they use\\nconventional fuel. The commercial availability of the fuel on the\\nmarket has been used as an indicator to identify conventional fuels.\\nThe criterion for classifying a fuel as a 'conventional fuel' is\\na known composition which remains relatively constant, and indeed\\nis usually standardised. Coal, lignite, biomass, peat, liquid and\\ngaseous fuels (including hydrogen and biogas) are regarded as conventional\\nfuels. The use of waste as a secondary fuel is also covered in this\\nwork.","author":[{"dropping-particle":"","family":"European Commission","given":"","non-dropping-particle":"","parse-names":false,"suffix":""}],"container-title":"Integrated Pollution Prevention Control","id":"ITEM-1","issue":"August","issued":{"date-parts":[["2006"]]},"title":"Reference Document on the Best Available Techniques for Waste Incineration","type":"article-journal"},"uris":["http://www.mendeley.com/documents/?uuid=cafb8d98-221f-4574-9995-e04c7a48fca0"]}],"mendeley":{"formattedCitation":"(European Commission, 2006a)","manualFormatting":"European Commission (2006c)","plainTextFormattedCitation":"(European Commission, 2006a)","previouslyFormattedCitation":"(European Commission, 2006a)"},"properties":{"noteIndex":0},"schema":"https://github.com/citation-style-language/schema/raw/master/csl-citation.json"}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European Commission (2006c)</w:t>
            </w:r>
            <w:r w:rsidRPr="00C81B1E">
              <w:rPr>
                <w:rFonts w:eastAsia="Calibri"/>
                <w:lang w:val="en-GB" w:eastAsia="en-US"/>
              </w:rPr>
              <w:fldChar w:fldCharType="end"/>
            </w:r>
          </w:p>
        </w:tc>
      </w:tr>
      <w:tr w:rsidR="00C81B1E" w:rsidRPr="00C81B1E" w14:paraId="44544F65" w14:textId="77777777" w:rsidTr="00C81B1E">
        <w:trPr>
          <w:trHeight w:val="285"/>
        </w:trPr>
        <w:tc>
          <w:tcPr>
            <w:tcW w:w="1439" w:type="dxa"/>
            <w:shd w:val="clear" w:color="auto" w:fill="auto"/>
            <w:noWrap/>
            <w:vAlign w:val="center"/>
            <w:hideMark/>
          </w:tcPr>
          <w:p w14:paraId="1A55E9A3"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Zn</w:t>
            </w:r>
          </w:p>
        </w:tc>
        <w:tc>
          <w:tcPr>
            <w:tcW w:w="1167" w:type="dxa"/>
            <w:shd w:val="clear" w:color="auto" w:fill="auto"/>
            <w:noWrap/>
            <w:vAlign w:val="center"/>
            <w:hideMark/>
          </w:tcPr>
          <w:p w14:paraId="6CF0C577" w14:textId="77777777" w:rsidR="00C7764C" w:rsidRPr="00C81B1E" w:rsidRDefault="00C7764C" w:rsidP="00C81B1E">
            <w:pPr>
              <w:pStyle w:val="MDPI42tablebody"/>
              <w:rPr>
                <w:rFonts w:eastAsia="Calibri"/>
                <w:lang w:val="en-GB" w:eastAsia="en-US"/>
              </w:rPr>
            </w:pPr>
            <w:r w:rsidRPr="00C81B1E">
              <w:rPr>
                <w:rFonts w:eastAsia="Calibri"/>
                <w:lang w:val="en-GB" w:eastAsia="en-US"/>
              </w:rPr>
              <w:t>g/m</w:t>
            </w:r>
            <w:r w:rsidRPr="00C81B1E">
              <w:rPr>
                <w:rFonts w:eastAsia="Calibri"/>
                <w:vertAlign w:val="superscript"/>
                <w:lang w:val="en-GB" w:eastAsia="en-US"/>
              </w:rPr>
              <w:t>3</w:t>
            </w:r>
          </w:p>
        </w:tc>
        <w:tc>
          <w:tcPr>
            <w:tcW w:w="899" w:type="dxa"/>
            <w:shd w:val="clear" w:color="auto" w:fill="auto"/>
            <w:noWrap/>
            <w:vAlign w:val="center"/>
            <w:hideMark/>
          </w:tcPr>
          <w:p w14:paraId="6BD4495C"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 TT</w:t>
            </w:r>
          </w:p>
        </w:tc>
        <w:tc>
          <w:tcPr>
            <w:tcW w:w="5567" w:type="dxa"/>
            <w:vMerge/>
            <w:shd w:val="clear" w:color="auto" w:fill="auto"/>
            <w:noWrap/>
            <w:vAlign w:val="center"/>
          </w:tcPr>
          <w:p w14:paraId="4A0F3440" w14:textId="77777777" w:rsidR="00C7764C" w:rsidRPr="00C81B1E" w:rsidRDefault="00C7764C" w:rsidP="00C81B1E">
            <w:pPr>
              <w:pStyle w:val="MDPI42tablebody"/>
              <w:rPr>
                <w:rFonts w:eastAsia="Calibri"/>
                <w:lang w:val="en-GB" w:eastAsia="en-US"/>
              </w:rPr>
            </w:pPr>
          </w:p>
        </w:tc>
      </w:tr>
      <w:tr w:rsidR="00C81B1E" w:rsidRPr="00C81B1E" w14:paraId="2A7B0C2C" w14:textId="77777777" w:rsidTr="00C81B1E">
        <w:trPr>
          <w:trHeight w:val="285"/>
        </w:trPr>
        <w:tc>
          <w:tcPr>
            <w:tcW w:w="1439" w:type="dxa"/>
            <w:tcBorders>
              <w:top w:val="single" w:sz="4" w:space="0" w:color="7F7F7F"/>
              <w:bottom w:val="single" w:sz="4" w:space="0" w:color="7F7F7F"/>
            </w:tcBorders>
            <w:shd w:val="clear" w:color="auto" w:fill="auto"/>
            <w:noWrap/>
            <w:vAlign w:val="center"/>
            <w:hideMark/>
          </w:tcPr>
          <w:p w14:paraId="7176AEDA"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Cr</w:t>
            </w:r>
          </w:p>
        </w:tc>
        <w:tc>
          <w:tcPr>
            <w:tcW w:w="1167" w:type="dxa"/>
            <w:tcBorders>
              <w:top w:val="single" w:sz="4" w:space="0" w:color="7F7F7F"/>
              <w:bottom w:val="single" w:sz="4" w:space="0" w:color="7F7F7F"/>
            </w:tcBorders>
            <w:shd w:val="clear" w:color="auto" w:fill="auto"/>
            <w:noWrap/>
            <w:vAlign w:val="center"/>
            <w:hideMark/>
          </w:tcPr>
          <w:p w14:paraId="711EE73D" w14:textId="77777777" w:rsidR="00C7764C" w:rsidRPr="00C81B1E" w:rsidRDefault="00C7764C" w:rsidP="00C81B1E">
            <w:pPr>
              <w:pStyle w:val="MDPI42tablebody"/>
              <w:rPr>
                <w:rFonts w:eastAsia="Calibri"/>
                <w:lang w:val="en-GB" w:eastAsia="en-US"/>
              </w:rPr>
            </w:pPr>
            <w:r w:rsidRPr="00C81B1E">
              <w:rPr>
                <w:rFonts w:eastAsia="Calibri"/>
                <w:lang w:val="en-GB" w:eastAsia="en-US"/>
              </w:rPr>
              <w:t>g/m</w:t>
            </w:r>
            <w:r w:rsidRPr="00C81B1E">
              <w:rPr>
                <w:rFonts w:eastAsia="Calibri"/>
                <w:vertAlign w:val="superscript"/>
                <w:lang w:val="en-GB" w:eastAsia="en-US"/>
              </w:rPr>
              <w:t>3</w:t>
            </w:r>
          </w:p>
        </w:tc>
        <w:tc>
          <w:tcPr>
            <w:tcW w:w="899" w:type="dxa"/>
            <w:tcBorders>
              <w:top w:val="single" w:sz="4" w:space="0" w:color="7F7F7F"/>
              <w:bottom w:val="single" w:sz="4" w:space="0" w:color="7F7F7F"/>
            </w:tcBorders>
            <w:shd w:val="clear" w:color="auto" w:fill="auto"/>
            <w:noWrap/>
            <w:vAlign w:val="center"/>
            <w:hideMark/>
          </w:tcPr>
          <w:p w14:paraId="499A0DB7"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 TT</w:t>
            </w:r>
          </w:p>
        </w:tc>
        <w:tc>
          <w:tcPr>
            <w:tcW w:w="5567" w:type="dxa"/>
            <w:vMerge/>
            <w:tcBorders>
              <w:top w:val="single" w:sz="4" w:space="0" w:color="7F7F7F"/>
              <w:bottom w:val="single" w:sz="4" w:space="0" w:color="7F7F7F"/>
            </w:tcBorders>
            <w:shd w:val="clear" w:color="auto" w:fill="auto"/>
            <w:noWrap/>
            <w:vAlign w:val="center"/>
          </w:tcPr>
          <w:p w14:paraId="360CF761" w14:textId="77777777" w:rsidR="00C7764C" w:rsidRPr="00C81B1E" w:rsidRDefault="00C7764C" w:rsidP="00C81B1E">
            <w:pPr>
              <w:pStyle w:val="MDPI42tablebody"/>
              <w:rPr>
                <w:rFonts w:eastAsia="Calibri"/>
                <w:lang w:val="en-GB" w:eastAsia="en-US"/>
              </w:rPr>
            </w:pPr>
          </w:p>
        </w:tc>
      </w:tr>
      <w:tr w:rsidR="00C81B1E" w:rsidRPr="00C81B1E" w14:paraId="098FE6C2" w14:textId="77777777" w:rsidTr="00C81B1E">
        <w:trPr>
          <w:trHeight w:val="285"/>
        </w:trPr>
        <w:tc>
          <w:tcPr>
            <w:tcW w:w="1439" w:type="dxa"/>
            <w:shd w:val="clear" w:color="auto" w:fill="auto"/>
            <w:noWrap/>
            <w:vAlign w:val="center"/>
            <w:hideMark/>
          </w:tcPr>
          <w:p w14:paraId="4D8EB5D9"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Pb</w:t>
            </w:r>
          </w:p>
        </w:tc>
        <w:tc>
          <w:tcPr>
            <w:tcW w:w="1167" w:type="dxa"/>
            <w:shd w:val="clear" w:color="auto" w:fill="auto"/>
            <w:noWrap/>
            <w:vAlign w:val="center"/>
            <w:hideMark/>
          </w:tcPr>
          <w:p w14:paraId="76E312B5" w14:textId="77777777" w:rsidR="00C7764C" w:rsidRPr="00C81B1E" w:rsidRDefault="00C7764C" w:rsidP="00C81B1E">
            <w:pPr>
              <w:pStyle w:val="MDPI42tablebody"/>
              <w:rPr>
                <w:rFonts w:eastAsia="Calibri"/>
                <w:lang w:val="en-GB" w:eastAsia="en-US"/>
              </w:rPr>
            </w:pPr>
            <w:r w:rsidRPr="00C81B1E">
              <w:rPr>
                <w:rFonts w:eastAsia="Calibri"/>
                <w:lang w:val="en-GB" w:eastAsia="en-US"/>
              </w:rPr>
              <w:t>g/m</w:t>
            </w:r>
            <w:r w:rsidRPr="00C81B1E">
              <w:rPr>
                <w:rFonts w:eastAsia="Calibri"/>
                <w:vertAlign w:val="superscript"/>
                <w:lang w:val="en-GB" w:eastAsia="en-US"/>
              </w:rPr>
              <w:t>3</w:t>
            </w:r>
          </w:p>
        </w:tc>
        <w:tc>
          <w:tcPr>
            <w:tcW w:w="899" w:type="dxa"/>
            <w:shd w:val="clear" w:color="auto" w:fill="auto"/>
            <w:noWrap/>
            <w:vAlign w:val="center"/>
            <w:hideMark/>
          </w:tcPr>
          <w:p w14:paraId="00519189"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 TT</w:t>
            </w:r>
          </w:p>
        </w:tc>
        <w:tc>
          <w:tcPr>
            <w:tcW w:w="5567" w:type="dxa"/>
            <w:vMerge/>
            <w:shd w:val="clear" w:color="auto" w:fill="auto"/>
            <w:noWrap/>
            <w:vAlign w:val="center"/>
          </w:tcPr>
          <w:p w14:paraId="5448D7E9" w14:textId="77777777" w:rsidR="00C7764C" w:rsidRPr="00C81B1E" w:rsidRDefault="00C7764C" w:rsidP="00C81B1E">
            <w:pPr>
              <w:pStyle w:val="MDPI42tablebody"/>
              <w:rPr>
                <w:rFonts w:eastAsia="Calibri"/>
                <w:lang w:val="en-GB" w:eastAsia="en-US"/>
              </w:rPr>
            </w:pPr>
          </w:p>
        </w:tc>
      </w:tr>
      <w:tr w:rsidR="00C81B1E" w:rsidRPr="00C81B1E" w14:paraId="05E29F5C" w14:textId="77777777" w:rsidTr="00C81B1E">
        <w:trPr>
          <w:trHeight w:val="315"/>
        </w:trPr>
        <w:tc>
          <w:tcPr>
            <w:tcW w:w="1439" w:type="dxa"/>
            <w:tcBorders>
              <w:top w:val="single" w:sz="4" w:space="0" w:color="7F7F7F"/>
              <w:bottom w:val="single" w:sz="4" w:space="0" w:color="7F7F7F"/>
            </w:tcBorders>
            <w:shd w:val="clear" w:color="auto" w:fill="auto"/>
            <w:noWrap/>
            <w:vAlign w:val="center"/>
            <w:hideMark/>
          </w:tcPr>
          <w:p w14:paraId="70944B8F"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NO</w:t>
            </w:r>
            <w:r w:rsidRPr="00C81B1E">
              <w:rPr>
                <w:rFonts w:eastAsia="Calibri"/>
                <w:b/>
                <w:bCs/>
                <w:vertAlign w:val="subscript"/>
                <w:lang w:val="en-GB" w:eastAsia="en-US"/>
              </w:rPr>
              <w:t>3</w:t>
            </w:r>
            <w:r w:rsidRPr="00C81B1E">
              <w:rPr>
                <w:rFonts w:eastAsia="Calibri"/>
                <w:b/>
                <w:bCs/>
                <w:vertAlign w:val="superscript"/>
                <w:lang w:val="en-GB" w:eastAsia="en-US"/>
              </w:rPr>
              <w:t>-</w:t>
            </w:r>
          </w:p>
        </w:tc>
        <w:tc>
          <w:tcPr>
            <w:tcW w:w="1167" w:type="dxa"/>
            <w:tcBorders>
              <w:top w:val="single" w:sz="4" w:space="0" w:color="7F7F7F"/>
              <w:bottom w:val="single" w:sz="4" w:space="0" w:color="7F7F7F"/>
            </w:tcBorders>
            <w:shd w:val="clear" w:color="auto" w:fill="auto"/>
            <w:noWrap/>
            <w:vAlign w:val="center"/>
            <w:hideMark/>
          </w:tcPr>
          <w:p w14:paraId="042397CD" w14:textId="77777777" w:rsidR="00C7764C" w:rsidRPr="00C81B1E" w:rsidRDefault="00C7764C" w:rsidP="00C81B1E">
            <w:pPr>
              <w:pStyle w:val="MDPI42tablebody"/>
              <w:rPr>
                <w:rFonts w:eastAsia="Calibri"/>
                <w:lang w:val="en-GB" w:eastAsia="en-US"/>
              </w:rPr>
            </w:pPr>
            <w:r w:rsidRPr="00C81B1E">
              <w:rPr>
                <w:rFonts w:eastAsia="Calibri"/>
                <w:lang w:val="en-GB" w:eastAsia="en-US"/>
              </w:rPr>
              <w:t>g/m</w:t>
            </w:r>
            <w:r w:rsidRPr="00C81B1E">
              <w:rPr>
                <w:rFonts w:eastAsia="Calibri"/>
                <w:vertAlign w:val="superscript"/>
                <w:lang w:val="en-GB" w:eastAsia="en-US"/>
              </w:rPr>
              <w:t>3</w:t>
            </w:r>
          </w:p>
        </w:tc>
        <w:tc>
          <w:tcPr>
            <w:tcW w:w="899" w:type="dxa"/>
            <w:tcBorders>
              <w:top w:val="single" w:sz="4" w:space="0" w:color="7F7F7F"/>
              <w:bottom w:val="single" w:sz="4" w:space="0" w:color="7F7F7F"/>
            </w:tcBorders>
            <w:shd w:val="clear" w:color="auto" w:fill="auto"/>
            <w:noWrap/>
            <w:vAlign w:val="center"/>
            <w:hideMark/>
          </w:tcPr>
          <w:p w14:paraId="648347D8"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w:t>
            </w:r>
          </w:p>
        </w:tc>
        <w:tc>
          <w:tcPr>
            <w:tcW w:w="5567" w:type="dxa"/>
            <w:tcBorders>
              <w:top w:val="single" w:sz="4" w:space="0" w:color="7F7F7F"/>
              <w:bottom w:val="single" w:sz="4" w:space="0" w:color="7F7F7F"/>
            </w:tcBorders>
            <w:shd w:val="clear" w:color="auto" w:fill="auto"/>
            <w:noWrap/>
            <w:vAlign w:val="center"/>
            <w:hideMark/>
          </w:tcPr>
          <w:p w14:paraId="1B682866"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AD: </w:t>
            </w:r>
            <w:r w:rsidRPr="00C81B1E">
              <w:rPr>
                <w:rFonts w:eastAsia="Calibri"/>
                <w:lang w:val="en-GB" w:eastAsia="en-US"/>
              </w:rPr>
              <w:fldChar w:fldCharType="begin" w:fldLock="1"/>
            </w:r>
            <w:r w:rsidRPr="00C81B1E">
              <w:rPr>
                <w:rFonts w:eastAsia="Calibri"/>
                <w:lang w:val="en-GB" w:eastAsia="en-US"/>
              </w:rPr>
              <w:instrText>ADDIN CSL_CITATION {"citationItems":[{"id":"ITEM-1","itemData":{"author":[{"dropping-particle":"","family":"Ortner","given":"Markus","non-dropping-particle":"","parse-names":false,"suffix":""},{"dropping-particle":"","family":"Drosg","given":"Bernhard","non-dropping-particle":"","parse-names":false,"suffix":""},{"dropping-particle":"","family":"Stoyanova","given":"Elitza","non-dropping-particle":"","parse-names":false,"suffix":""},{"dropping-particle":"","family":"Bochman","given":"Günther","non-dropping-particle":"","parse-names":false,"suffix":""}],"chapter-number":"8","container-title":"Bioenergy production by anaerobic digestion. Using agricultural biomass and organic wastes","editor":[{"dropping-particle":"","family":"Korres","given":"Nicholas E.","non-dropping-particle":"","parse-names":false,"suffix":""},{"dropping-particle":"","family":"O'Kiley","given":"Padraig","non-dropping-particle":"","parse-names":false,"suffix":""},{"dropping-particle":"","family":"Benzie","given":"John A. H.","non-dropping-particle":"","parse-names":false,"suffix":""},{"dropping-particle":"","family":"West","given":"Jonathan S.","non-dropping-particle":"","parse-names":false,"suffix":""}],"id":"ITEM-1","issued":{"date-parts":[["2013"]]},"page":"111-135","publisher":"Earthscan","title":"Industrial residues for biomethane production","type":"chapter"},"uris":["http://www.mendeley.com/documents/?uuid=8efc12b8-7163-4401-abc5-1f33d61e6b26"]}],"mendeley":{"formattedCitation":"(Ortner et al., 2013)","manualFormatting":"Ortner et al. (2013)","plainTextFormattedCitation":"(Ortner et al., 2013)","previouslyFormattedCitation":"(Ortner et al., 2013)"},"properties":{"noteIndex":0},"schema":"https://github.com/citation-style-language/schema/raw/master/csl-citation.json"}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Ortner et al. (2013)</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{"citationItems":[{"id":"ITEM-1","itemData":{"DOI":"10.1023/B:WATE.0000019932.04020.b6","ISBN":"0049-6979","ISSN":"00496979","abstract":"Because of its agronomic benefits, farm-scale composting is an efficient means of recycling agricultural waste. Composting process is an aerobic degradation of fresh organic matter in mature compost. Nevertheless, according to the literature, composting may induce some environmental problems. The environmental impacts of composting will be described, along with an assessment of farm-scale composting practices which play a major role in pollution. The main environmental components potentially affected by composting pollution are air and water. Various gases released by composting, such as NH3, CH4 and N2O, can impact air quality and are therefore studied because they all have environmental impacts and can be controlled by composting management. The effect on water quality can be evaluated by considering loss of NO3-, NH4+, organic compounds and PO43-. Technical evaluation criteria for the impact of farm-scale composting on the air are determined from the physical and chemical characteristics of the raw materials, the use of additives, the turning method and frequency and the duration of the composting operations. Regarding water, the weather conditions at the beginning of the composting operation, the location of the heap, the protection against rain, the water addition during the process, the use of covers and the recovery of leaching and runoff water are also taken into account. The two main practices which control the air and water pollution from composting are: the choice of the raw material which influences gas emissions and the choice of composting location which have an high effect on losses by leaching and runoff. © 2004 Kluwer Academic Publishers.","author":[{"dropping-particle":"","family":"Peigne","given":"Josephine","non-dropping-particle":"","parse-names":false,"suffix":""},{"dropping-particle":"","family":"Girardin","given":"Philippe","non-dropping-particle":"","parse-names":false,"suffix":""}],"container-title":"Water, Air, and Soil Pollution","id":"ITEM-1","issued":{"date-parts":[["2004"]]},"page":"45-68","title":"Environmental impacts of farm-scale composting practices","type":"article-journal","volume":"153"},"uris":["http://www.mendeley.com/documents/?uuid=1cac405a-2c5f-4ec5-905c-fffa125841e9"]}],"mendeley":{"formattedCitation":"(Peigne and Girardin, 2004)","manualFormatting":"Peigne &amp; Girardin (2004)","plainTextFormattedCitation":"(Peigne and Girardin, 2004)","previouslyFormattedCitation":"(Peigne and Girardin, 2004)"},"properties":{"noteIndex":0},"schema":"https://github.com/citation-style-language/schema/raw/master/csl-citation.json"}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Peigne &amp; Girardin (2004)</w:t>
            </w:r>
            <w:r w:rsidRPr="00C81B1E">
              <w:rPr>
                <w:rFonts w:eastAsia="Calibri"/>
                <w:lang w:val="en-GB" w:eastAsia="en-US"/>
              </w:rPr>
              <w:fldChar w:fldCharType="end"/>
            </w:r>
          </w:p>
        </w:tc>
      </w:tr>
      <w:tr w:rsidR="00C81B1E" w:rsidRPr="00C81B1E" w14:paraId="04DBD729" w14:textId="77777777" w:rsidTr="00C81B1E">
        <w:trPr>
          <w:trHeight w:val="285"/>
        </w:trPr>
        <w:tc>
          <w:tcPr>
            <w:tcW w:w="1439" w:type="dxa"/>
            <w:shd w:val="clear" w:color="auto" w:fill="auto"/>
            <w:noWrap/>
            <w:vAlign w:val="center"/>
            <w:hideMark/>
          </w:tcPr>
          <w:p w14:paraId="620838C7"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K</w:t>
            </w:r>
          </w:p>
        </w:tc>
        <w:tc>
          <w:tcPr>
            <w:tcW w:w="1167" w:type="dxa"/>
            <w:shd w:val="clear" w:color="auto" w:fill="auto"/>
            <w:noWrap/>
            <w:vAlign w:val="center"/>
            <w:hideMark/>
          </w:tcPr>
          <w:p w14:paraId="70771883" w14:textId="77777777" w:rsidR="00C7764C" w:rsidRPr="00C81B1E" w:rsidRDefault="00C7764C" w:rsidP="00C81B1E">
            <w:pPr>
              <w:pStyle w:val="MDPI42tablebody"/>
              <w:rPr>
                <w:rFonts w:eastAsia="Calibri"/>
                <w:lang w:val="en-GB" w:eastAsia="en-US"/>
              </w:rPr>
            </w:pPr>
            <w:r w:rsidRPr="00C81B1E">
              <w:rPr>
                <w:rFonts w:eastAsia="Calibri"/>
                <w:lang w:val="en-GB" w:eastAsia="en-US"/>
              </w:rPr>
              <w:t>g/m</w:t>
            </w:r>
            <w:r w:rsidRPr="00C81B1E">
              <w:rPr>
                <w:rFonts w:eastAsia="Calibri"/>
                <w:vertAlign w:val="superscript"/>
                <w:lang w:val="en-GB" w:eastAsia="en-US"/>
              </w:rPr>
              <w:t>3</w:t>
            </w:r>
          </w:p>
        </w:tc>
        <w:tc>
          <w:tcPr>
            <w:tcW w:w="899" w:type="dxa"/>
            <w:shd w:val="clear" w:color="auto" w:fill="auto"/>
            <w:noWrap/>
            <w:vAlign w:val="center"/>
            <w:hideMark/>
          </w:tcPr>
          <w:p w14:paraId="23F43AD9"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w:t>
            </w:r>
          </w:p>
        </w:tc>
        <w:tc>
          <w:tcPr>
            <w:tcW w:w="5567" w:type="dxa"/>
            <w:shd w:val="clear" w:color="auto" w:fill="auto"/>
            <w:noWrap/>
            <w:vAlign w:val="center"/>
            <w:hideMark/>
          </w:tcPr>
          <w:p w14:paraId="6B8267FA"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AD: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{"citationItems":[{"id":"ITEM-1","itemData":{"DOI":"10.1016/j.jenvman.2010.10.021","ISBN":"0301-4797","ISSN":"03014797","PMID":"21050654","abstract":"During anaerobic digestion of organic waste, both energy-rich biogas and a nutrient-rich digestate are produced. The digestate can be used as a fertiliser in agricultural soils if the levels of hazardous compounds and pathogens are low. This article reviews the main findings about phenols in anaerobic digestion processes degrading organic solid wastes, and examines the effect of process temperature on the anaerobic degradation of phenols, the microbial community and the quality of the digestate. The degradation efficiency of a number of different phenols has been shown to be correlated to the process temperature. Higher degradation efficiency is observed at mesophilic process temperature than at thermophilic temperature. Possible explanations for this variation in the degradation of phenols include differences in diversity, particularly of the phenol-degrading bacteria, and/or the presence of temperature-sensitive enzymes. Chemical analysis of digestate from bioreactors operating at thermophilic temperature detected a higher content of phenols compared to mesophilic bioreactors, verifying the degradation results. Digestate with the highest phenol content has the greatest negative impact on soil microbial activity. © 2010 Elsevier Ltd.","author":[{"dropping-particle":"","family":"Levén","given":"Lotta","non-dropping-particle":"","parse-names":false,"suffix":""},{"dropping-particle":"","family":"Nyberg","given":"Karin","non-dropping-particle":"","parse-names":false,"suffix":""},{"dropping-particle":"","family":"Schnürer","given":"Anna","non-dropping-particle":"","parse-names":false,"suffix":""}],"container-title":"Journal of Environmental Management","id":"ITEM-1","issue":"SUPPL.","issued":{"date-parts":[["2012"]]},"page":"S99-S103","publisher":"Elsevier Ltd","title":"Conversion of phenols during anaerobic digestion of organic solid waste - A review of important microorganisms and impact of temperature","type":"article-journal","volume":"95"},"uris":["http://www.mendeley.com/documents/?uuid=46374ed3-07d8-4cba-b723-e58cb13d563e"]}],"mendeley":{"formattedCitation":"(Levén et al., 2012)","manualFormatting":"Levén et al. (2012)","plainTextFormattedCitation":"(Levén et al., 2012)","previouslyFormattedCitation":"(Levén et al., 2012)"},"properties":{"noteIndex":0},"schema":"https://github.com/citation-style-language/schema/raw/master/csl-citation.json"}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Levén et al. (2012)</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{"citationItems":[{"id":"ITEM-1","itemData":{"DOI":"10.1128/AEM.71.9.4951","ISBN":"058045195X","author":[{"dropping-particle":"","family":"British Standards Institution","given":"","non-dropping-particle":"","parse-names":false,"suffix":""}],"id":"ITEM-1","issued":{"date-parts":[["2011"]]},"title":"PAS 100:2011 Specification for Composted Materials","type":"report","volume":"January"},"uris":["http://www.mendeley.com/documents/?uuid=f0f7c64c-b25d-4a88-8d84-9a437c7611e0"]}],"mendeley":{"formattedCitation":"(British Standards Institution, 2011)","manualFormatting":"British Standards Institution (2011)","plainTextFormattedCitation":"(British Standards Institution, 2011)","previouslyFormattedCitation":"(British Standards Institution, 2011)"},"properties":{"noteIndex":0},"schema":"https://github.com/citation-style-language/schema/raw/master/csl-citation.json"}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British Standards Institution (2011)</w:t>
            </w:r>
            <w:r w:rsidRPr="00C81B1E">
              <w:rPr>
                <w:rFonts w:eastAsia="Calibri"/>
                <w:lang w:val="en-GB" w:eastAsia="en-US"/>
              </w:rPr>
              <w:fldChar w:fldCharType="end"/>
            </w:r>
          </w:p>
        </w:tc>
      </w:tr>
      <w:tr w:rsidR="00C81B1E" w:rsidRPr="00C81B1E" w14:paraId="0A0A3215" w14:textId="77777777" w:rsidTr="00C81B1E">
        <w:trPr>
          <w:trHeight w:val="285"/>
        </w:trPr>
        <w:tc>
          <w:tcPr>
            <w:tcW w:w="1439" w:type="dxa"/>
            <w:tcBorders>
              <w:top w:val="single" w:sz="4" w:space="0" w:color="7F7F7F"/>
              <w:bottom w:val="single" w:sz="4" w:space="0" w:color="7F7F7F"/>
            </w:tcBorders>
            <w:shd w:val="clear" w:color="auto" w:fill="auto"/>
            <w:noWrap/>
            <w:vAlign w:val="center"/>
            <w:hideMark/>
          </w:tcPr>
          <w:p w14:paraId="00DA04C2"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Ca</w:t>
            </w:r>
          </w:p>
        </w:tc>
        <w:tc>
          <w:tcPr>
            <w:tcW w:w="1167" w:type="dxa"/>
            <w:tcBorders>
              <w:top w:val="single" w:sz="4" w:space="0" w:color="7F7F7F"/>
              <w:bottom w:val="single" w:sz="4" w:space="0" w:color="7F7F7F"/>
            </w:tcBorders>
            <w:shd w:val="clear" w:color="auto" w:fill="auto"/>
            <w:noWrap/>
            <w:vAlign w:val="center"/>
            <w:hideMark/>
          </w:tcPr>
          <w:p w14:paraId="46F5372E" w14:textId="77777777" w:rsidR="00C7764C" w:rsidRPr="00C81B1E" w:rsidRDefault="00C7764C" w:rsidP="00C81B1E">
            <w:pPr>
              <w:pStyle w:val="MDPI42tablebody"/>
              <w:rPr>
                <w:rFonts w:eastAsia="Calibri"/>
                <w:lang w:val="en-GB" w:eastAsia="en-US"/>
              </w:rPr>
            </w:pPr>
            <w:r w:rsidRPr="00C81B1E">
              <w:rPr>
                <w:rFonts w:eastAsia="Calibri"/>
                <w:lang w:val="en-GB" w:eastAsia="en-US"/>
              </w:rPr>
              <w:t>g/m</w:t>
            </w:r>
            <w:r w:rsidRPr="00C81B1E">
              <w:rPr>
                <w:rFonts w:eastAsia="Calibri"/>
                <w:vertAlign w:val="superscript"/>
                <w:lang w:val="en-GB" w:eastAsia="en-US"/>
              </w:rPr>
              <w:t>3</w:t>
            </w:r>
          </w:p>
        </w:tc>
        <w:tc>
          <w:tcPr>
            <w:tcW w:w="899" w:type="dxa"/>
            <w:tcBorders>
              <w:top w:val="single" w:sz="4" w:space="0" w:color="7F7F7F"/>
              <w:bottom w:val="single" w:sz="4" w:space="0" w:color="7F7F7F"/>
            </w:tcBorders>
            <w:shd w:val="clear" w:color="auto" w:fill="auto"/>
            <w:noWrap/>
            <w:vAlign w:val="center"/>
            <w:hideMark/>
          </w:tcPr>
          <w:p w14:paraId="4852BC19"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w:t>
            </w:r>
          </w:p>
        </w:tc>
        <w:tc>
          <w:tcPr>
            <w:tcW w:w="5567" w:type="dxa"/>
            <w:tcBorders>
              <w:top w:val="single" w:sz="4" w:space="0" w:color="7F7F7F"/>
              <w:bottom w:val="single" w:sz="4" w:space="0" w:color="7F7F7F"/>
            </w:tcBorders>
            <w:shd w:val="clear" w:color="auto" w:fill="auto"/>
            <w:noWrap/>
            <w:vAlign w:val="center"/>
            <w:hideMark/>
          </w:tcPr>
          <w:p w14:paraId="2906EEF7" w14:textId="3FB9225B" w:rsidR="00C7764C" w:rsidRPr="00C81B1E" w:rsidRDefault="00C7764C" w:rsidP="00C81B1E">
            <w:pPr>
              <w:pStyle w:val="MDPI42tablebody"/>
              <w:rPr>
                <w:rFonts w:eastAsia="Calibri"/>
                <w:lang w:val="en-GB" w:eastAsia="en-US"/>
              </w:rPr>
            </w:pPr>
            <w:r w:rsidRPr="00C81B1E">
              <w:rPr>
                <w:rFonts w:eastAsia="Calibri"/>
                <w:lang w:val="en-GB" w:eastAsia="en-US"/>
              </w:rPr>
              <w:t xml:space="preserve">AD: </w:t>
            </w:r>
            <w:r w:rsidRPr="00C81B1E">
              <w:rPr>
                <w:rFonts w:eastAsia="Calibri"/>
                <w:lang w:val="en-GB" w:eastAsia="en-US"/>
              </w:rPr>
              <w:fldChar w:fldCharType="begin" w:fldLock="1"/>
            </w:r>
            <w:r w:rsidRPr="00C81B1E">
              <w:rPr>
                <w:rFonts w:eastAsia="Calibri"/>
                <w:lang w:val="en-GB" w:eastAsia="en-US"/>
              </w:rPr>
              <w:instrText>ADDIN CSL_CITATION {"citationItems":[{"id":"ITEM-1","itemData":{"DOI":"10.1039/b617101j","ISBN":"1464-0325 (Print)\\r1464-0325 (Linking)","ISSN":"1464-0325","PMID":"17492091","abstract":"In Europe, 9.3 x 10(6) t(dry weight (dw)) of compost and digestate are produced per year. Most of this is applied to agricultural land, which can lead to considerable inputs of organic pollutants, such as polychlorinated biphenyls (PCB) and polycyclic aromatic hydrocarbons (PAH) to soil. This paper presents an inventory of the pollutant situation in source-separated composts, digestates and presswater in Switzerland by a detailed analysis of over 70 samples. PCB concentrations ( summation PCB 28, 52, 101, 118, 138, 153, 180) were significantly higher in urban (median: 30 microg kg(-1)dw, n = 52) than in rural samples (median: 14 microg kg(-1)dw, n = 16). Together with low concentrations in general, this points to aerial deposition on compost input material as the major contamination pathway. Enantiomeric fractions of atropisometric PCB were close to racemic. Median PAH concentration was 3010 microg kg(-1)dw( summation 15PAH, n = 69), and one quarter of the samples exhibited concentrations above the relevant Swiss guide value for compost (4000 microg kg(-1)dw). The levels were influenced by the treatment process (digestate &gt; compost), the season of input material collection (spring-summer &gt; winter &gt; autumn), the particle size (coarse-grained &gt; fine-grained), and maturity (mature &gt; less mature). The main source of PAH in compost was pyrogenic, probably influenced mainly by liquid fossil fuel combustion and some asphalt abrasion, as suggested by multiple linear regression. This study, together with a companion paper reporting on other organic contaminates including emerging compound classes, provides a starting point for a better risk-benefit estimation of the application of compost and digestate to agricultural soil in Switzerland.","author":[{"dropping-particle":"","family":"Brändli","given":"Rahel C.","non-dropping-particle":"","parse-names":false,"suffix":""},{"dropping-particle":"","family":"Bucheli","given":"Thomas D.","non-dropping-particle":"","parse-names":false,"suffix":""},{"dropping-particle":"","family":"Kupper","given":"Thomas","non-dropping-particle":"","parse-names":false,"suffix":""},{"dropping-particle":"","family":"Furrer","given":"Reinhard","non-dropping-particle":"","parse-names":false,"suffix":""},{"dropping-particle":"","family":"Stahel","given":"Werner A.","non-dropping-particle":"","parse-names":false,"suffix":""},{"dropping-particle":"","family":"Stadelmann","given":"Franz X.","non-dropping-particle":"","parse-names":false,"suffix":""},{"dropping-particle":"","family":"Tarradellas","given":"Joseph","non-dropping-particle":"","parse-names":false,"suffix":""}],"container-title":"Journal of Environmental Monitoring","id":"ITEM-1","issue":"5","issued":{"date-parts":[["2007"]]},"page":"456-464","title":"Organic pollutants in compost and digestate. Part 1. Polychlorinated biphenyls, polycyclic aromatic hydrocarbons and molecular markers","type":"article-journal","volume":"9"},"uris":["http://www.mendeley.com/documents/?uuid=6a2bcfa8-e240-4327-b896-20ea52d9c9e1"]}],"mendeley":{"formattedCitation":"(Brändli et al., 2007)","manualFormatting":"Brändli, Bucheli, et al. (2007)","plainTextFormattedCitation":"(Brändli et al., 2007)","previouslyFormattedCitation":"(Brändli et al., 2007)"},"properties":{"noteIndex":0},"schema":"https://github.com/citation-style-language/schema/raw/master/csl-citation.json"}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Brändli, et al. (2007)</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{"citationItems":[{"id":"ITEM-1","itemData":{"DOI":"10.1128/AEM.71.9.4951","ISBN":"058045195X","author":[{"dropping-particle":"","family":"British Standards Institution","given":"","non-dropping-particle":"","parse-names":false,"suffix":""}],"id":"ITEM-1","issued":{"date-parts":[["2011"]]},"title":"PAS 100:2011 Specification for Composted Materials","type":"report","volume":"January"},"uris":["http://www.mendeley.com/documents/?uuid=f0f7c64c-b25d-4a88-8d84-9a437c7611e0"]}],"mendeley":{"formattedCitation":"(British Standards Institution, 2011)","manualFormatting":"British Standards Institution (2011)","plainTextFormattedCitation":"(British Standards Institution, 2011)","previouslyFormattedCitation":"(British Standards Institution, 2011)"},"properties":{"noteIndex":0},"schema":"https://github.com/citation-style-language/schema/raw/master/csl-citation.json"}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British Standards Institution (2011)</w:t>
            </w:r>
            <w:r w:rsidRPr="00C81B1E">
              <w:rPr>
                <w:rFonts w:eastAsia="Calibri"/>
                <w:lang w:val="en-GB" w:eastAsia="en-US"/>
              </w:rPr>
              <w:fldChar w:fldCharType="end"/>
            </w:r>
          </w:p>
        </w:tc>
      </w:tr>
      <w:tr w:rsidR="00C81B1E" w:rsidRPr="00C81B1E" w14:paraId="32FA97DD" w14:textId="77777777" w:rsidTr="00C81B1E">
        <w:trPr>
          <w:trHeight w:val="285"/>
        </w:trPr>
        <w:tc>
          <w:tcPr>
            <w:tcW w:w="1439" w:type="dxa"/>
            <w:shd w:val="clear" w:color="auto" w:fill="auto"/>
            <w:noWrap/>
            <w:vAlign w:val="center"/>
            <w:hideMark/>
          </w:tcPr>
          <w:p w14:paraId="442FF385"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Mg</w:t>
            </w:r>
          </w:p>
        </w:tc>
        <w:tc>
          <w:tcPr>
            <w:tcW w:w="1167" w:type="dxa"/>
            <w:shd w:val="clear" w:color="auto" w:fill="auto"/>
            <w:noWrap/>
            <w:vAlign w:val="center"/>
            <w:hideMark/>
          </w:tcPr>
          <w:p w14:paraId="7E9E0F60" w14:textId="77777777" w:rsidR="00C7764C" w:rsidRPr="00C81B1E" w:rsidRDefault="00C7764C" w:rsidP="00C81B1E">
            <w:pPr>
              <w:pStyle w:val="MDPI42tablebody"/>
              <w:rPr>
                <w:rFonts w:eastAsia="Calibri"/>
                <w:lang w:val="en-GB" w:eastAsia="en-US"/>
              </w:rPr>
            </w:pPr>
            <w:r w:rsidRPr="00C81B1E">
              <w:rPr>
                <w:rFonts w:eastAsia="Calibri"/>
                <w:lang w:val="en-GB" w:eastAsia="en-US"/>
              </w:rPr>
              <w:t>g/m</w:t>
            </w:r>
            <w:r w:rsidRPr="00C81B1E">
              <w:rPr>
                <w:rFonts w:eastAsia="Calibri"/>
                <w:vertAlign w:val="superscript"/>
                <w:lang w:val="en-GB" w:eastAsia="en-US"/>
              </w:rPr>
              <w:t>3</w:t>
            </w:r>
          </w:p>
        </w:tc>
        <w:tc>
          <w:tcPr>
            <w:tcW w:w="899" w:type="dxa"/>
            <w:shd w:val="clear" w:color="auto" w:fill="auto"/>
            <w:noWrap/>
            <w:vAlign w:val="center"/>
            <w:hideMark/>
          </w:tcPr>
          <w:p w14:paraId="10C0E2D1"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w:t>
            </w:r>
          </w:p>
        </w:tc>
        <w:tc>
          <w:tcPr>
            <w:tcW w:w="5567" w:type="dxa"/>
            <w:shd w:val="clear" w:color="auto" w:fill="auto"/>
            <w:noWrap/>
            <w:vAlign w:val="center"/>
            <w:hideMark/>
          </w:tcPr>
          <w:p w14:paraId="52CA3907"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AD: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{"citationItems":[{"id":"ITEM-1","itemData":{"DOI":"10.1016/j.jenvman.2010.10.021","ISBN":"0301-4797","ISSN":"03014797","PMID":"21050654","abstract":"During anaerobic digestion of organic waste, both energy-rich biogas and a nutrient-rich digestate are produced. The digestate can be used as a fertiliser in agricultural soils if the levels of hazardous compounds and pathogens are low. This article reviews the main findings about phenols in anaerobic digestion processes degrading organic solid wastes, and examines the effect of process temperature on the anaerobic degradation of phenols, the microbial community and the quality of the digestate. The degradation efficiency of a number of different phenols has been shown to be correlated to the process temperature. Higher degradation efficiency is observed at mesophilic process temperature than at thermophilic temperature. Possible explanations for this variation in the degradation of phenols include differences in diversity, particularly of the phenol-degrading bacteria, and/or the presence of temperature-sensitive enzymes. Chemical analysis of digestate from bioreactors operating at thermophilic temperature detected a higher content of phenols compared to mesophilic bioreactors, verifying the degradation results. Digestate with the highest phenol content has the greatest negative impact on soil microbial activity. © 2010 Elsevier Ltd.","author":[{"dropping-particle":"","family":"Levén","given":"Lotta","non-dropping-particle":"","parse-names":false,"suffix":""},{"dropping-particle":"","family":"Nyberg","given":"Karin","non-dropping-particle":"","parse-names":false,"suffix":""},{"dropping-particle":"","family":"Schnürer","given":"Anna","non-dropping-particle":"","parse-names":false,"suffix":""}],"container-title":"Journal of Environmental Management","id":"ITEM-1","issue":"SUPPL.","issued":{"date-parts":[["2012"]]},"page":"S99-S103","publisher":"Elsevier Ltd","title":"Conversion of phenols during anaerobic digestion of organic solid waste - A review of important microorganisms and impact of temperature","type":"article-journal","volume":"95"},"uris":["http://www.mendeley.com/documents/?uuid=46374ed3-07d8-4cba-b723-e58cb13d563e"]}],"mendeley":{"formattedCitation":"(Levén et al., 2012)","manualFormatting":"Levén et al. (2012)","plainTextFormattedCitation":"(Levén et al., 2012)","previouslyFormattedCitation":"(Levén et al., 2012)"},"properties":{"noteIndex":0},"schema":"https://github.com/citation-style-language/schema/raw/master/csl-citation.json"}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Levén et al. (2012)</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{"citationItems":[{"id":"ITEM-1","itemData":{"DOI":"10.1128/AEM.71.9.4951","ISBN":"058045195X","author":[{"dropping-particle":"","family":"British Standards Institution","given":"","non-dropping-particle":"","parse-names":false,"suffix":""}],"id":"ITEM-1","issued":{"date-parts":[["2011"]]},"title":"PAS 100:2011 Specification for Composted Materials","type":"report","volume":"January"},"uris":["http://www.mendeley.com/documents/?uuid=f0f7c64c-b25d-4a88-8d84-9a437c7611e0"]}],"mendeley":{"formattedCitation":"(British Standards Institution, 2011)","manualFormatting":"British Standards Institution (2011)","plainTextFormattedCitation":"(British Standards Institution, 2011)","previouslyFormattedCitation":"(British Standards Institution, 2011)"},"properties":{"noteIndex":0},"schema":"https://github.com/citation-style-language/schema/raw/master/csl-citation.json"}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British Standards Institution (2011)</w:t>
            </w:r>
            <w:r w:rsidRPr="00C81B1E">
              <w:rPr>
                <w:rFonts w:eastAsia="Calibri"/>
                <w:lang w:val="en-GB" w:eastAsia="en-US"/>
              </w:rPr>
              <w:fldChar w:fldCharType="end"/>
            </w:r>
          </w:p>
        </w:tc>
      </w:tr>
      <w:tr w:rsidR="00C81B1E" w:rsidRPr="00C81B1E" w14:paraId="4D525E00" w14:textId="77777777" w:rsidTr="00C81B1E">
        <w:trPr>
          <w:trHeight w:val="285"/>
        </w:trPr>
        <w:tc>
          <w:tcPr>
            <w:tcW w:w="1439" w:type="dxa"/>
            <w:tcBorders>
              <w:top w:val="single" w:sz="4" w:space="0" w:color="7F7F7F"/>
              <w:bottom w:val="single" w:sz="4" w:space="0" w:color="7F7F7F"/>
            </w:tcBorders>
            <w:shd w:val="clear" w:color="auto" w:fill="auto"/>
            <w:noWrap/>
            <w:vAlign w:val="center"/>
            <w:hideMark/>
          </w:tcPr>
          <w:p w14:paraId="52A0B65A"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S</w:t>
            </w:r>
          </w:p>
        </w:tc>
        <w:tc>
          <w:tcPr>
            <w:tcW w:w="1167" w:type="dxa"/>
            <w:tcBorders>
              <w:top w:val="single" w:sz="4" w:space="0" w:color="7F7F7F"/>
              <w:bottom w:val="single" w:sz="4" w:space="0" w:color="7F7F7F"/>
            </w:tcBorders>
            <w:shd w:val="clear" w:color="auto" w:fill="auto"/>
            <w:noWrap/>
            <w:vAlign w:val="center"/>
            <w:hideMark/>
          </w:tcPr>
          <w:p w14:paraId="7A8075F4" w14:textId="77777777" w:rsidR="00C7764C" w:rsidRPr="00C81B1E" w:rsidRDefault="00C7764C" w:rsidP="00C81B1E">
            <w:pPr>
              <w:pStyle w:val="MDPI42tablebody"/>
              <w:rPr>
                <w:rFonts w:eastAsia="Calibri"/>
                <w:lang w:val="en-GB" w:eastAsia="en-US"/>
              </w:rPr>
            </w:pPr>
            <w:r w:rsidRPr="00C81B1E">
              <w:rPr>
                <w:rFonts w:eastAsia="Calibri"/>
                <w:lang w:val="en-GB" w:eastAsia="en-US"/>
              </w:rPr>
              <w:t>g/m</w:t>
            </w:r>
            <w:r w:rsidRPr="00C81B1E">
              <w:rPr>
                <w:rFonts w:eastAsia="Calibri"/>
                <w:vertAlign w:val="superscript"/>
                <w:lang w:val="en-GB" w:eastAsia="en-US"/>
              </w:rPr>
              <w:t>3</w:t>
            </w:r>
          </w:p>
        </w:tc>
        <w:tc>
          <w:tcPr>
            <w:tcW w:w="899" w:type="dxa"/>
            <w:tcBorders>
              <w:top w:val="single" w:sz="4" w:space="0" w:color="7F7F7F"/>
              <w:bottom w:val="single" w:sz="4" w:space="0" w:color="7F7F7F"/>
            </w:tcBorders>
            <w:shd w:val="clear" w:color="auto" w:fill="auto"/>
            <w:noWrap/>
            <w:vAlign w:val="center"/>
            <w:hideMark/>
          </w:tcPr>
          <w:p w14:paraId="2D3A1AFC"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w:t>
            </w:r>
          </w:p>
        </w:tc>
        <w:tc>
          <w:tcPr>
            <w:tcW w:w="5567" w:type="dxa"/>
            <w:tcBorders>
              <w:top w:val="single" w:sz="4" w:space="0" w:color="7F7F7F"/>
              <w:bottom w:val="single" w:sz="4" w:space="0" w:color="7F7F7F"/>
            </w:tcBorders>
            <w:shd w:val="clear" w:color="auto" w:fill="auto"/>
            <w:noWrap/>
            <w:vAlign w:val="center"/>
            <w:hideMark/>
          </w:tcPr>
          <w:p w14:paraId="292A0D71"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AD: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{"citationItems":[{"id":"ITEM-1","itemData":{"DOI":"10.1016/j.energy.2015.02.098","ISBN":"03605442","ISSN":"03605442","abstract":"The aim of this work was to assess the energy potential of food waste energy harvesting system (digestion followed by pyrolysis of digestate). Digestate (DFW) with increased calorific content was produced after a commercial one stage anaerobic digestion of the raw food waste (RFW). Separate pyrolysis of RFW and DFW (digestated food waste) distributed 15.7 MJ/kg and 17.2 MJ/kg respectively, among the gas, char and bio-oil, while energy of pyrolysis at 0.72 MJ/kg for RFW and 0.87 MJ/kg for DFW at the heating rate of 10 ??C/min to 500 ??C. Increase in the digestate specific heat to 2.5 MJ/m3 and its significant ash difference reflects the substrate (RFW) transformation due to biochemical treatment. The thermogravimetric analysis indicated the substrates mass dynamics and stability extent of the treatment products (DFW, RFW500 and DFW500). Generally, transitional energy base products (biogas and bio-oil) are generated through the energy harvesting system (EHS) of food waste, while energy rich solid fuels can be produced through pyrolysis at 500 ??C. Thus, the sustainable potential of EHS to widen and broaden recycling capacity of biomass and smartly appropriate its resources are demonstrated to be dependent and pivoted on the adopted treatment method.","author":[{"dropping-particle":"","family":"Opatokun","given":"Suraj Adebayo","non-dropping-particle":"","parse-names":false,"suffix":""},{"dropping-particle":"","family":"Strezov","given":"Vladimir","non-dropping-particle":"","parse-names":false,"suffix":""},{"dropping-particle":"","family":"Kan","given":"Tao","non-dropping-particle":"","parse-names":false,"suffix":""}],"container-title":"Energy","id":"ITEM-1","issued":{"date-parts":[["2015"]]},"page":"2-7","publisher":"Elsevier Ltd","title":"Product based evaluation of pyrolysis of food waste and its digestate","type":"article-journal","volume":"92"},"uris":["http://www.mendeley.com/documents/?uuid=b5bb558a-2b12-47ee-8a87-8b2474293e89"]}],"mendeley":{"formattedCitation":"(Opatokun et al., 2015)","manualFormatting":"Opatokun et al. (2015)","plainTextFormattedCitation":"(Opatokun et al., 2015)","previouslyFormattedCitation":"(Opatokun et al., 2015)"},"properties":{"noteIndex":0},"schema":"https://github.com/citation-style-language/schema/raw/master/csl-citation.json"}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Opatokun et al. (2015)</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{"citationItems":[{"id":"ITEM-1","itemData":{"DOI":"10.1128/AEM.71.9.4951","ISBN":"058045195X","author":[{"dropping-particle":"","family":"British Standards Institution","given":"","non-dropping-particle":"","parse-names":false,"suffix":""}],"id":"ITEM-1","issued":{"date-parts":[["2011"]]},"title":"PAS 100:2011 Specification for Composted Materials","type":"report","volume":"January"},"uris":["http://www.mendeley.com/documents/?uuid=f0f7c64c-b25d-4a88-8d84-9a437c7611e0"]}],"mendeley":{"formattedCitation":"(British Standards Institution, 2011)","manualFormatting":"British Standards Institution (2011)","plainTextFormattedCitation":"(British Standards Institution, 2011)","previouslyFormattedCitation":"(British Standards Institution, 2011)"},"properties":{"noteIndex":0},"schema":"https://github.com/citation-style-language/schema/raw/master/csl-citation.json"}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British Standards Institution (2011)</w:t>
            </w:r>
            <w:r w:rsidRPr="00C81B1E">
              <w:rPr>
                <w:rFonts w:eastAsia="Calibri"/>
                <w:lang w:val="en-GB" w:eastAsia="en-US"/>
              </w:rPr>
              <w:fldChar w:fldCharType="end"/>
            </w:r>
          </w:p>
        </w:tc>
      </w:tr>
      <w:tr w:rsidR="00C81B1E" w:rsidRPr="00C81B1E" w14:paraId="1C52288D" w14:textId="77777777" w:rsidTr="00C81B1E">
        <w:trPr>
          <w:trHeight w:val="285"/>
        </w:trPr>
        <w:tc>
          <w:tcPr>
            <w:tcW w:w="1439" w:type="dxa"/>
            <w:shd w:val="clear" w:color="auto" w:fill="auto"/>
            <w:noWrap/>
            <w:vAlign w:val="center"/>
            <w:hideMark/>
          </w:tcPr>
          <w:p w14:paraId="6BECF772"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Hg</w:t>
            </w:r>
          </w:p>
        </w:tc>
        <w:tc>
          <w:tcPr>
            <w:tcW w:w="1167" w:type="dxa"/>
            <w:shd w:val="clear" w:color="auto" w:fill="auto"/>
            <w:noWrap/>
            <w:vAlign w:val="center"/>
            <w:hideMark/>
          </w:tcPr>
          <w:p w14:paraId="7CDDBB42" w14:textId="77777777" w:rsidR="00C7764C" w:rsidRPr="00C81B1E" w:rsidRDefault="00C7764C" w:rsidP="00C81B1E">
            <w:pPr>
              <w:pStyle w:val="MDPI42tablebody"/>
              <w:rPr>
                <w:rFonts w:eastAsia="Calibri"/>
                <w:lang w:val="en-GB" w:eastAsia="en-US"/>
              </w:rPr>
            </w:pPr>
            <w:r w:rsidRPr="00C81B1E">
              <w:rPr>
                <w:rFonts w:eastAsia="Calibri"/>
                <w:lang w:val="en-GB" w:eastAsia="en-US"/>
              </w:rPr>
              <w:t>g/m</w:t>
            </w:r>
            <w:r w:rsidRPr="00C81B1E">
              <w:rPr>
                <w:rFonts w:eastAsia="Calibri"/>
                <w:vertAlign w:val="superscript"/>
                <w:lang w:val="en-GB" w:eastAsia="en-US"/>
              </w:rPr>
              <w:t>3</w:t>
            </w:r>
          </w:p>
        </w:tc>
        <w:tc>
          <w:tcPr>
            <w:tcW w:w="899" w:type="dxa"/>
            <w:shd w:val="clear" w:color="auto" w:fill="auto"/>
            <w:noWrap/>
            <w:vAlign w:val="center"/>
            <w:hideMark/>
          </w:tcPr>
          <w:p w14:paraId="6165D414" w14:textId="77777777" w:rsidR="00C7764C" w:rsidRPr="00C81B1E" w:rsidRDefault="00C7764C" w:rsidP="00C81B1E">
            <w:pPr>
              <w:pStyle w:val="MDPI42tablebody"/>
              <w:rPr>
                <w:rFonts w:eastAsia="Calibri"/>
                <w:lang w:val="en-GB" w:eastAsia="en-US"/>
              </w:rPr>
            </w:pPr>
            <w:r w:rsidRPr="00C81B1E">
              <w:rPr>
                <w:rFonts w:eastAsia="Calibri"/>
                <w:lang w:val="en-GB" w:eastAsia="en-US"/>
              </w:rPr>
              <w:t>AD, TT</w:t>
            </w:r>
          </w:p>
        </w:tc>
        <w:tc>
          <w:tcPr>
            <w:tcW w:w="5567" w:type="dxa"/>
            <w:vMerge w:val="restart"/>
            <w:shd w:val="clear" w:color="auto" w:fill="auto"/>
            <w:noWrap/>
            <w:vAlign w:val="center"/>
            <w:hideMark/>
          </w:tcPr>
          <w:p w14:paraId="1A85DBE9"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AD: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rser.2015.04.164","ISSN":"1364-0321","author":[{"dropping-particle":"","family":"Xu","given":"Changqing","non-dropping-particle":"","parse-names":false,"suffix":""},{"dropping-particle":"","family":"Shi","given":"Wenxiao","non-dropping-particle":"","parse-names":false,"suffix":""},{"dropping-particle":"","family":"Hong","given":"Jinglan","non-dropping-particle":"","parse-names":false,"suffix":""},{"dropping-particle":"","family":"Zhang","given":"Fangfang","non-dropping-particle":"","parse-names":false,"suffix":""},{"dropping-particle":"","family":"Chen","given":"Wei","non-dropping-particle":"","parse-names":false,"suffix":""}],"container-title":"Renewable and Sustainable Energy Reviews","id":"ITEM-1","issued":{"date-parts":[["2015"]]},"page":"169-177","publisher":"Elsevier","title":"Life cycle assessment of food waste-based biogas generation","type":"article-journal","volume":"49"},"uris":["http://www.mendeley.com/documents/?uuid=d881818c-5df0-4743-8667-8efc959eea9b"]}],"mendeley":{"formattedCitation":"(Xu et al., 2015)","manualFormatting":"Xu et al. (2015)","plainTextFormattedCitation":"(Xu et al., 2015)","previouslyFormattedCitation":"(Xu et al., 2015)"},"properties":{"noteIndex":0},"schema":"https://github.com/citation-style-language/schema/raw/master/csl-citation.json"}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Xu et al. (2015)</w:t>
            </w:r>
            <w:r w:rsidRPr="00C81B1E">
              <w:rPr>
                <w:rFonts w:eastAsia="Calibri"/>
                <w:lang w:val="en-GB" w:eastAsia="en-US"/>
              </w:rPr>
              <w:fldChar w:fldCharType="end"/>
            </w:r>
            <w:r w:rsidRPr="00C81B1E">
              <w:rPr>
                <w:rFonts w:eastAsia="Calibri"/>
                <w:lang w:val="en-GB" w:eastAsia="en-US"/>
              </w:rPr>
              <w:t xml:space="preserve">, TT: </w:t>
            </w:r>
            <w:r w:rsidRPr="00C81B1E">
              <w:rPr>
                <w:rFonts w:eastAsia="Calibri"/>
                <w:lang w:val="en-GB" w:eastAsia="en-US"/>
              </w:rPr>
              <w:fldChar w:fldCharType="begin" w:fldLock="1"/>
            </w:r>
            <w:r w:rsidRPr="00C81B1E">
              <w:rPr>
                <w:rFonts w:eastAsia="Calibri"/>
                <w:lang w:val="en-GB" w:eastAsia="en-US"/>
              </w:rPr>
              <w:instrText>ADDIN CSL_CITATION {"citationItems":[{"id":"ITEM-1","itemData":{"abstract":"This project deals with combustion installations with a rated thermal\\ninput exceeding 50 MW. Plants with a thermal input lower than 50\\nMW are, however, discussed where technically relevant because smaller\\nunits can potentially be added to a plant to build one larger installation\\nexceeding 50 MW. All kinds of conventional power plants (e.g. utility\\nboiler plants, combined heat and power plants, district heating plants)\\nused for mechanical power and heat generation are covered in this\\nwork. Industrial combustion installations are covered if they use\\nconventional fuel. The commercial availability of the fuel on the\\nmarket has been used as an indicator to identify conventional fuels.\\nThe criterion for classifying a fuel as a 'conventional fuel' is\\na known composition which remains relatively constant, and indeed\\nis usually standardised. Coal, lignite, biomass, peat, liquid and\\ngaseous fuels (including hydrogen and biogas) are regarded as conventional\\nfuels. The use of waste as a secondary fuel is also covered in this\\nwork.","author":[{"dropping-particle":"","family":"European Commission","given":"","non-dropping-particle":"","parse-names":false,"suffix":""}],"container-title":"Integrated Pollution Prevention Control","id":"ITEM-1","issue":"August","issued":{"date-parts":[["2006"]]},"title":"Reference Document on the Best Available Techniques for Waste Incineration","type":"article-journal"},"uris":["http://www.mendeley.com/documents/?uuid=cafb8d98-221f-4574-9995-e04c7a48fca0"]}],"mendeley":{"formattedCitation":"(European Commission, 2006a)","manualFormatting":"European Commission (2006c)","plainTextFormattedCitation":"(European Commission, 2006a)","previouslyFormattedCitation":"(European Commission, 2006a)"},"properties":{"noteIndex":0},"schema":"https://github.com/citation-style-language/schema/raw/master/csl-citation.json"}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European Commission (2006c)</w:t>
            </w:r>
            <w:r w:rsidRPr="00C81B1E">
              <w:rPr>
                <w:rFonts w:eastAsia="Calibri"/>
                <w:lang w:val="en-GB" w:eastAsia="en-US"/>
              </w:rPr>
              <w:fldChar w:fldCharType="end"/>
            </w:r>
          </w:p>
        </w:tc>
      </w:tr>
      <w:tr w:rsidR="00C81B1E" w:rsidRPr="00C81B1E" w14:paraId="38468D90" w14:textId="77777777" w:rsidTr="00C81B1E">
        <w:trPr>
          <w:trHeight w:val="285"/>
        </w:trPr>
        <w:tc>
          <w:tcPr>
            <w:tcW w:w="1439" w:type="dxa"/>
            <w:tcBorders>
              <w:top w:val="single" w:sz="4" w:space="0" w:color="7F7F7F"/>
              <w:bottom w:val="single" w:sz="4" w:space="0" w:color="7F7F7F"/>
            </w:tcBorders>
            <w:shd w:val="clear" w:color="auto" w:fill="auto"/>
            <w:noWrap/>
            <w:vAlign w:val="center"/>
            <w:hideMark/>
          </w:tcPr>
          <w:p w14:paraId="16EA77D3"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Cu</w:t>
            </w:r>
          </w:p>
        </w:tc>
        <w:tc>
          <w:tcPr>
            <w:tcW w:w="1167" w:type="dxa"/>
            <w:tcBorders>
              <w:top w:val="single" w:sz="4" w:space="0" w:color="7F7F7F"/>
              <w:bottom w:val="single" w:sz="4" w:space="0" w:color="7F7F7F"/>
            </w:tcBorders>
            <w:shd w:val="clear" w:color="auto" w:fill="auto"/>
            <w:noWrap/>
            <w:vAlign w:val="center"/>
            <w:hideMark/>
          </w:tcPr>
          <w:p w14:paraId="3C03A1E2" w14:textId="77777777" w:rsidR="00C7764C" w:rsidRPr="00C81B1E" w:rsidRDefault="00C7764C" w:rsidP="00C81B1E">
            <w:pPr>
              <w:pStyle w:val="MDPI42tablebody"/>
              <w:rPr>
                <w:rFonts w:eastAsia="Calibri"/>
                <w:lang w:val="en-GB" w:eastAsia="en-US"/>
              </w:rPr>
            </w:pPr>
            <w:r w:rsidRPr="00C81B1E">
              <w:rPr>
                <w:rFonts w:eastAsia="Calibri"/>
                <w:lang w:val="en-GB" w:eastAsia="en-US"/>
              </w:rPr>
              <w:t>g/m</w:t>
            </w:r>
            <w:r w:rsidRPr="00C81B1E">
              <w:rPr>
                <w:rFonts w:eastAsia="Calibri"/>
                <w:vertAlign w:val="superscript"/>
                <w:lang w:val="en-GB" w:eastAsia="en-US"/>
              </w:rPr>
              <w:t>3</w:t>
            </w:r>
          </w:p>
        </w:tc>
        <w:tc>
          <w:tcPr>
            <w:tcW w:w="899" w:type="dxa"/>
            <w:tcBorders>
              <w:top w:val="single" w:sz="4" w:space="0" w:color="7F7F7F"/>
              <w:bottom w:val="single" w:sz="4" w:space="0" w:color="7F7F7F"/>
            </w:tcBorders>
            <w:shd w:val="clear" w:color="auto" w:fill="auto"/>
            <w:noWrap/>
            <w:vAlign w:val="center"/>
            <w:hideMark/>
          </w:tcPr>
          <w:p w14:paraId="726638D6" w14:textId="77777777" w:rsidR="00C7764C" w:rsidRPr="00C81B1E" w:rsidRDefault="00C7764C" w:rsidP="00C81B1E">
            <w:pPr>
              <w:pStyle w:val="MDPI42tablebody"/>
              <w:rPr>
                <w:rFonts w:eastAsia="Calibri"/>
                <w:lang w:val="en-GB" w:eastAsia="en-US"/>
              </w:rPr>
            </w:pPr>
            <w:r w:rsidRPr="00C81B1E">
              <w:rPr>
                <w:rFonts w:eastAsia="Calibri"/>
                <w:lang w:val="en-GB" w:eastAsia="en-US"/>
              </w:rPr>
              <w:t>AD, TT</w:t>
            </w:r>
          </w:p>
        </w:tc>
        <w:tc>
          <w:tcPr>
            <w:tcW w:w="5567" w:type="dxa"/>
            <w:vMerge/>
            <w:tcBorders>
              <w:top w:val="single" w:sz="4" w:space="0" w:color="7F7F7F"/>
              <w:bottom w:val="single" w:sz="4" w:space="0" w:color="7F7F7F"/>
            </w:tcBorders>
            <w:shd w:val="clear" w:color="auto" w:fill="auto"/>
            <w:noWrap/>
            <w:vAlign w:val="center"/>
          </w:tcPr>
          <w:p w14:paraId="569F4C7F" w14:textId="77777777" w:rsidR="00C7764C" w:rsidRPr="00C81B1E" w:rsidRDefault="00C7764C" w:rsidP="00C81B1E">
            <w:pPr>
              <w:pStyle w:val="MDPI42tablebody"/>
              <w:rPr>
                <w:rFonts w:eastAsia="Calibri"/>
                <w:lang w:val="en-GB" w:eastAsia="en-US"/>
              </w:rPr>
            </w:pPr>
          </w:p>
        </w:tc>
      </w:tr>
      <w:tr w:rsidR="00C81B1E" w:rsidRPr="00C81B1E" w14:paraId="282489FE" w14:textId="77777777" w:rsidTr="00C81B1E">
        <w:trPr>
          <w:trHeight w:val="285"/>
        </w:trPr>
        <w:tc>
          <w:tcPr>
            <w:tcW w:w="1439" w:type="dxa"/>
            <w:shd w:val="clear" w:color="auto" w:fill="auto"/>
            <w:noWrap/>
            <w:vAlign w:val="center"/>
            <w:hideMark/>
          </w:tcPr>
          <w:p w14:paraId="05B19699"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Ni</w:t>
            </w:r>
          </w:p>
        </w:tc>
        <w:tc>
          <w:tcPr>
            <w:tcW w:w="1167" w:type="dxa"/>
            <w:shd w:val="clear" w:color="auto" w:fill="auto"/>
            <w:noWrap/>
            <w:vAlign w:val="center"/>
            <w:hideMark/>
          </w:tcPr>
          <w:p w14:paraId="08EB116D" w14:textId="77777777" w:rsidR="00C7764C" w:rsidRPr="00C81B1E" w:rsidRDefault="00C7764C" w:rsidP="00C81B1E">
            <w:pPr>
              <w:pStyle w:val="MDPI42tablebody"/>
              <w:rPr>
                <w:rFonts w:eastAsia="Calibri"/>
                <w:lang w:val="en-GB" w:eastAsia="en-US"/>
              </w:rPr>
            </w:pPr>
            <w:r w:rsidRPr="00C81B1E">
              <w:rPr>
                <w:rFonts w:eastAsia="Calibri"/>
                <w:lang w:val="en-GB" w:eastAsia="en-US"/>
              </w:rPr>
              <w:t>g/m</w:t>
            </w:r>
            <w:r w:rsidRPr="00C81B1E">
              <w:rPr>
                <w:rFonts w:eastAsia="Calibri"/>
                <w:vertAlign w:val="superscript"/>
                <w:lang w:val="en-GB" w:eastAsia="en-US"/>
              </w:rPr>
              <w:t>3</w:t>
            </w:r>
          </w:p>
        </w:tc>
        <w:tc>
          <w:tcPr>
            <w:tcW w:w="899" w:type="dxa"/>
            <w:shd w:val="clear" w:color="auto" w:fill="auto"/>
            <w:noWrap/>
            <w:vAlign w:val="center"/>
            <w:hideMark/>
          </w:tcPr>
          <w:p w14:paraId="3D082BA9" w14:textId="77777777" w:rsidR="00C7764C" w:rsidRPr="00C81B1E" w:rsidRDefault="00C7764C" w:rsidP="00C81B1E">
            <w:pPr>
              <w:pStyle w:val="MDPI42tablebody"/>
              <w:rPr>
                <w:rFonts w:eastAsia="Calibri"/>
                <w:lang w:val="en-GB" w:eastAsia="en-US"/>
              </w:rPr>
            </w:pPr>
            <w:r w:rsidRPr="00C81B1E">
              <w:rPr>
                <w:rFonts w:eastAsia="Calibri"/>
                <w:lang w:val="en-GB" w:eastAsia="en-US"/>
              </w:rPr>
              <w:t>AD, TT</w:t>
            </w:r>
          </w:p>
        </w:tc>
        <w:tc>
          <w:tcPr>
            <w:tcW w:w="5567" w:type="dxa"/>
            <w:vMerge/>
            <w:shd w:val="clear" w:color="auto" w:fill="auto"/>
            <w:noWrap/>
            <w:vAlign w:val="center"/>
          </w:tcPr>
          <w:p w14:paraId="7D7FBA8C" w14:textId="77777777" w:rsidR="00C7764C" w:rsidRPr="00C81B1E" w:rsidRDefault="00C7764C" w:rsidP="00C81B1E">
            <w:pPr>
              <w:pStyle w:val="MDPI42tablebody"/>
              <w:rPr>
                <w:rFonts w:eastAsia="Calibri"/>
                <w:lang w:val="en-GB" w:eastAsia="en-US"/>
              </w:rPr>
            </w:pPr>
          </w:p>
        </w:tc>
      </w:tr>
      <w:tr w:rsidR="00C81B1E" w:rsidRPr="00C81B1E" w14:paraId="448B4464" w14:textId="77777777" w:rsidTr="00C81B1E">
        <w:trPr>
          <w:trHeight w:val="285"/>
        </w:trPr>
        <w:tc>
          <w:tcPr>
            <w:tcW w:w="1439" w:type="dxa"/>
            <w:tcBorders>
              <w:top w:val="single" w:sz="4" w:space="0" w:color="7F7F7F"/>
              <w:bottom w:val="single" w:sz="4" w:space="0" w:color="7F7F7F"/>
            </w:tcBorders>
            <w:shd w:val="clear" w:color="auto" w:fill="auto"/>
            <w:noWrap/>
            <w:vAlign w:val="center"/>
            <w:hideMark/>
          </w:tcPr>
          <w:p w14:paraId="1CCE95F0"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As</w:t>
            </w:r>
          </w:p>
        </w:tc>
        <w:tc>
          <w:tcPr>
            <w:tcW w:w="1167" w:type="dxa"/>
            <w:tcBorders>
              <w:top w:val="single" w:sz="4" w:space="0" w:color="7F7F7F"/>
              <w:bottom w:val="single" w:sz="4" w:space="0" w:color="7F7F7F"/>
            </w:tcBorders>
            <w:shd w:val="clear" w:color="auto" w:fill="auto"/>
            <w:noWrap/>
            <w:vAlign w:val="center"/>
            <w:hideMark/>
          </w:tcPr>
          <w:p w14:paraId="3C5AE8A9" w14:textId="77777777" w:rsidR="00C7764C" w:rsidRPr="00C81B1E" w:rsidRDefault="00C7764C" w:rsidP="00C81B1E">
            <w:pPr>
              <w:pStyle w:val="MDPI42tablebody"/>
              <w:rPr>
                <w:rFonts w:eastAsia="Calibri"/>
                <w:lang w:val="en-GB" w:eastAsia="en-US"/>
              </w:rPr>
            </w:pPr>
            <w:r w:rsidRPr="00C81B1E">
              <w:rPr>
                <w:rFonts w:eastAsia="Calibri"/>
                <w:lang w:val="en-GB" w:eastAsia="en-US"/>
              </w:rPr>
              <w:t>g/m</w:t>
            </w:r>
            <w:r w:rsidRPr="00C81B1E">
              <w:rPr>
                <w:rFonts w:eastAsia="Calibri"/>
                <w:vertAlign w:val="superscript"/>
                <w:lang w:val="en-GB" w:eastAsia="en-US"/>
              </w:rPr>
              <w:t>3</w:t>
            </w:r>
          </w:p>
        </w:tc>
        <w:tc>
          <w:tcPr>
            <w:tcW w:w="899" w:type="dxa"/>
            <w:tcBorders>
              <w:top w:val="single" w:sz="4" w:space="0" w:color="7F7F7F"/>
              <w:bottom w:val="single" w:sz="4" w:space="0" w:color="7F7F7F"/>
            </w:tcBorders>
            <w:shd w:val="clear" w:color="auto" w:fill="auto"/>
            <w:noWrap/>
            <w:vAlign w:val="center"/>
            <w:hideMark/>
          </w:tcPr>
          <w:p w14:paraId="069C7862" w14:textId="77777777" w:rsidR="00C7764C" w:rsidRPr="00C81B1E" w:rsidRDefault="00C7764C" w:rsidP="00C81B1E">
            <w:pPr>
              <w:pStyle w:val="MDPI42tablebody"/>
              <w:rPr>
                <w:rFonts w:eastAsia="Calibri"/>
                <w:lang w:val="en-GB" w:eastAsia="en-US"/>
              </w:rPr>
            </w:pPr>
            <w:r w:rsidRPr="00C81B1E">
              <w:rPr>
                <w:rFonts w:eastAsia="Calibri"/>
                <w:lang w:val="en-GB" w:eastAsia="en-US"/>
              </w:rPr>
              <w:t>AD, TT</w:t>
            </w:r>
          </w:p>
        </w:tc>
        <w:tc>
          <w:tcPr>
            <w:tcW w:w="5567" w:type="dxa"/>
            <w:vMerge/>
            <w:tcBorders>
              <w:top w:val="single" w:sz="4" w:space="0" w:color="7F7F7F"/>
              <w:bottom w:val="single" w:sz="4" w:space="0" w:color="7F7F7F"/>
            </w:tcBorders>
            <w:shd w:val="clear" w:color="auto" w:fill="auto"/>
            <w:noWrap/>
            <w:vAlign w:val="center"/>
          </w:tcPr>
          <w:p w14:paraId="3BC30B0A" w14:textId="77777777" w:rsidR="00C7764C" w:rsidRPr="00C81B1E" w:rsidRDefault="00C7764C" w:rsidP="00C81B1E">
            <w:pPr>
              <w:pStyle w:val="MDPI42tablebody"/>
              <w:rPr>
                <w:rFonts w:eastAsia="Calibri"/>
                <w:lang w:val="en-GB" w:eastAsia="en-US"/>
              </w:rPr>
            </w:pPr>
          </w:p>
        </w:tc>
      </w:tr>
      <w:tr w:rsidR="00C81B1E" w:rsidRPr="00C81B1E" w14:paraId="3785AE19" w14:textId="77777777" w:rsidTr="00C81B1E">
        <w:trPr>
          <w:trHeight w:val="285"/>
        </w:trPr>
        <w:tc>
          <w:tcPr>
            <w:tcW w:w="1439" w:type="dxa"/>
            <w:shd w:val="clear" w:color="auto" w:fill="auto"/>
            <w:noWrap/>
            <w:vAlign w:val="center"/>
            <w:hideMark/>
          </w:tcPr>
          <w:p w14:paraId="2DCB8E4A"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V</w:t>
            </w:r>
          </w:p>
        </w:tc>
        <w:tc>
          <w:tcPr>
            <w:tcW w:w="1167" w:type="dxa"/>
            <w:shd w:val="clear" w:color="auto" w:fill="auto"/>
            <w:noWrap/>
            <w:vAlign w:val="center"/>
            <w:hideMark/>
          </w:tcPr>
          <w:p w14:paraId="751E7E2D" w14:textId="77777777" w:rsidR="00C7764C" w:rsidRPr="00C81B1E" w:rsidRDefault="00C7764C" w:rsidP="00C81B1E">
            <w:pPr>
              <w:pStyle w:val="MDPI42tablebody"/>
              <w:rPr>
                <w:rFonts w:eastAsia="Calibri"/>
                <w:lang w:val="en-GB" w:eastAsia="en-US"/>
              </w:rPr>
            </w:pPr>
            <w:r w:rsidRPr="00C81B1E">
              <w:rPr>
                <w:rFonts w:eastAsia="Calibri"/>
                <w:lang w:val="en-GB" w:eastAsia="en-US"/>
              </w:rPr>
              <w:t>g/m</w:t>
            </w:r>
            <w:r w:rsidRPr="00C81B1E">
              <w:rPr>
                <w:rFonts w:eastAsia="Calibri"/>
                <w:vertAlign w:val="superscript"/>
                <w:lang w:val="en-GB" w:eastAsia="en-US"/>
              </w:rPr>
              <w:t>3</w:t>
            </w:r>
          </w:p>
        </w:tc>
        <w:tc>
          <w:tcPr>
            <w:tcW w:w="899" w:type="dxa"/>
            <w:shd w:val="clear" w:color="auto" w:fill="auto"/>
            <w:noWrap/>
            <w:vAlign w:val="center"/>
            <w:hideMark/>
          </w:tcPr>
          <w:p w14:paraId="2DDB87A0" w14:textId="77777777" w:rsidR="00C7764C" w:rsidRPr="00C81B1E" w:rsidRDefault="00C7764C" w:rsidP="00C81B1E">
            <w:pPr>
              <w:pStyle w:val="MDPI42tablebody"/>
              <w:rPr>
                <w:rFonts w:eastAsia="Calibri"/>
                <w:lang w:val="en-GB" w:eastAsia="en-US"/>
              </w:rPr>
            </w:pPr>
            <w:r w:rsidRPr="00C81B1E">
              <w:rPr>
                <w:rFonts w:eastAsia="Calibri"/>
                <w:lang w:val="en-GB" w:eastAsia="en-US"/>
              </w:rPr>
              <w:t>AD</w:t>
            </w:r>
          </w:p>
        </w:tc>
        <w:tc>
          <w:tcPr>
            <w:tcW w:w="5567" w:type="dxa"/>
            <w:vMerge w:val="restart"/>
            <w:shd w:val="clear" w:color="auto" w:fill="auto"/>
            <w:noWrap/>
            <w:vAlign w:val="center"/>
            <w:hideMark/>
          </w:tcPr>
          <w:p w14:paraId="59EEC197" w14:textId="77777777" w:rsidR="00C7764C" w:rsidRPr="00C81B1E" w:rsidRDefault="00C7764C" w:rsidP="00C81B1E">
            <w:pPr>
              <w:pStyle w:val="MDPI42tablebody"/>
              <w:rPr>
                <w:rFonts w:eastAsia="Calibri"/>
                <w:lang w:val="en-GB" w:eastAsia="en-US"/>
              </w:rPr>
            </w:pPr>
            <w:r w:rsidRPr="00C81B1E">
              <w:rPr>
                <w:rFonts w:eastAsia="Calibri"/>
                <w:lang w:val="en-GB" w:eastAsia="en-US"/>
              </w:rPr>
              <w:fldChar w:fldCharType="begin" w:fldLock="1"/>
            </w:r>
            <w:r w:rsidRPr="00C81B1E">
              <w:rPr>
                <w:rFonts w:eastAsia="Calibri"/>
                <w:lang w:val="en-GB" w:eastAsia="en-US"/>
              </w:rPr>
              <w:instrText>ADDIN CSL_CITATION {"citationItems":[{"id":"ITEM-1","itemData":{"DOI":"10.1016/j.rser.2015.04.164","ISSN":"1364-0321","author":[{"dropping-particle":"","family":"Xu","given":"Changqing","non-dropping-particle":"","parse-names":false,"suffix":""},{"dropping-particle":"","family":"Shi","given":"Wenxiao","non-dropping-particle":"","parse-names":false,"suffix":""},{"dropping-particle":"","family":"Hong","given":"Jinglan","non-dropping-particle":"","parse-names":false,"suffix":""},{"dropping-particle":"","family":"Zhang","given":"Fangfang","non-dropping-particle":"","parse-names":false,"suffix":""},{"dropping-particle":"","family":"Chen","given":"Wei","non-dropping-particle":"","parse-names":false,"suffix":""}],"container-title":"Renewable and Sustainable Energy Reviews","id":"ITEM-1","issued":{"date-parts":[["2015"]]},"page":"169-177","publisher":"Elsevier","title":"Life cycle assessment of food waste-based biogas generation","type":"article-journal","volume":"49"},"uris":["http://www.mendeley.com/documents/?uuid=d881818c-5df0-4743-8667-8efc959eea9b"]}],"mendeley":{"formattedCitation":"(Xu et al., 2015)","manualFormatting":"Xu et al. (2015)","plainTextFormattedCitation":"(Xu et al., 2015)","previouslyFormattedCitation":"(Xu et al., 2015)"},"properties":{"noteIndex":0},"schema":"https://github.com/citation-style-language/schema/raw/master/csl-citation.json"}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Xu et al. (2015)</w:t>
            </w:r>
            <w:r w:rsidRPr="00C81B1E">
              <w:rPr>
                <w:rFonts w:eastAsia="Calibri"/>
                <w:lang w:val="en-GB" w:eastAsia="en-US"/>
              </w:rPr>
              <w:fldChar w:fldCharType="end"/>
            </w:r>
          </w:p>
        </w:tc>
      </w:tr>
      <w:tr w:rsidR="00C81B1E" w:rsidRPr="00C81B1E" w14:paraId="3BDC58D0" w14:textId="77777777" w:rsidTr="00C81B1E">
        <w:trPr>
          <w:trHeight w:val="285"/>
        </w:trPr>
        <w:tc>
          <w:tcPr>
            <w:tcW w:w="1439" w:type="dxa"/>
            <w:tcBorders>
              <w:top w:val="single" w:sz="4" w:space="0" w:color="7F7F7F"/>
              <w:bottom w:val="single" w:sz="4" w:space="0" w:color="7F7F7F"/>
            </w:tcBorders>
            <w:shd w:val="clear" w:color="auto" w:fill="auto"/>
            <w:noWrap/>
            <w:vAlign w:val="center"/>
            <w:hideMark/>
          </w:tcPr>
          <w:p w14:paraId="1E74D2AB"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Be</w:t>
            </w:r>
          </w:p>
        </w:tc>
        <w:tc>
          <w:tcPr>
            <w:tcW w:w="1167" w:type="dxa"/>
            <w:tcBorders>
              <w:top w:val="single" w:sz="4" w:space="0" w:color="7F7F7F"/>
              <w:bottom w:val="single" w:sz="4" w:space="0" w:color="7F7F7F"/>
            </w:tcBorders>
            <w:shd w:val="clear" w:color="auto" w:fill="auto"/>
            <w:noWrap/>
            <w:vAlign w:val="center"/>
            <w:hideMark/>
          </w:tcPr>
          <w:p w14:paraId="02C2BEF2" w14:textId="77777777" w:rsidR="00C7764C" w:rsidRPr="00C81B1E" w:rsidRDefault="00C7764C" w:rsidP="00C81B1E">
            <w:pPr>
              <w:pStyle w:val="MDPI42tablebody"/>
              <w:rPr>
                <w:rFonts w:eastAsia="Calibri"/>
                <w:lang w:val="en-GB" w:eastAsia="en-US"/>
              </w:rPr>
            </w:pPr>
            <w:r w:rsidRPr="00C81B1E">
              <w:rPr>
                <w:rFonts w:eastAsia="Calibri"/>
                <w:lang w:val="en-GB" w:eastAsia="en-US"/>
              </w:rPr>
              <w:t>g/m</w:t>
            </w:r>
            <w:r w:rsidRPr="00C81B1E">
              <w:rPr>
                <w:rFonts w:eastAsia="Calibri"/>
                <w:vertAlign w:val="superscript"/>
                <w:lang w:val="en-GB" w:eastAsia="en-US"/>
              </w:rPr>
              <w:t>3</w:t>
            </w:r>
          </w:p>
        </w:tc>
        <w:tc>
          <w:tcPr>
            <w:tcW w:w="899" w:type="dxa"/>
            <w:tcBorders>
              <w:top w:val="single" w:sz="4" w:space="0" w:color="7F7F7F"/>
              <w:bottom w:val="single" w:sz="4" w:space="0" w:color="7F7F7F"/>
            </w:tcBorders>
            <w:shd w:val="clear" w:color="auto" w:fill="auto"/>
            <w:noWrap/>
            <w:vAlign w:val="center"/>
            <w:hideMark/>
          </w:tcPr>
          <w:p w14:paraId="0423EEB5" w14:textId="77777777" w:rsidR="00C7764C" w:rsidRPr="00C81B1E" w:rsidRDefault="00C7764C" w:rsidP="00C81B1E">
            <w:pPr>
              <w:pStyle w:val="MDPI42tablebody"/>
              <w:rPr>
                <w:rFonts w:eastAsia="Calibri"/>
                <w:lang w:val="en-GB" w:eastAsia="en-US"/>
              </w:rPr>
            </w:pPr>
            <w:r w:rsidRPr="00C81B1E">
              <w:rPr>
                <w:rFonts w:eastAsia="Calibri"/>
                <w:lang w:val="en-GB" w:eastAsia="en-US"/>
              </w:rPr>
              <w:t>AD</w:t>
            </w:r>
          </w:p>
        </w:tc>
        <w:tc>
          <w:tcPr>
            <w:tcW w:w="5567" w:type="dxa"/>
            <w:vMerge/>
            <w:tcBorders>
              <w:top w:val="single" w:sz="4" w:space="0" w:color="7F7F7F"/>
              <w:bottom w:val="single" w:sz="4" w:space="0" w:color="7F7F7F"/>
            </w:tcBorders>
            <w:shd w:val="clear" w:color="auto" w:fill="auto"/>
            <w:noWrap/>
            <w:vAlign w:val="center"/>
          </w:tcPr>
          <w:p w14:paraId="71895059" w14:textId="77777777" w:rsidR="00C7764C" w:rsidRPr="00C81B1E" w:rsidRDefault="00C7764C" w:rsidP="00C81B1E">
            <w:pPr>
              <w:pStyle w:val="MDPI42tablebody"/>
              <w:rPr>
                <w:rFonts w:eastAsia="Calibri"/>
                <w:lang w:val="en-GB" w:eastAsia="en-US"/>
              </w:rPr>
            </w:pPr>
          </w:p>
        </w:tc>
      </w:tr>
      <w:tr w:rsidR="00C81B1E" w:rsidRPr="00C81B1E" w14:paraId="1E703F92" w14:textId="77777777" w:rsidTr="00C81B1E">
        <w:trPr>
          <w:trHeight w:val="285"/>
        </w:trPr>
        <w:tc>
          <w:tcPr>
            <w:tcW w:w="1439" w:type="dxa"/>
            <w:shd w:val="clear" w:color="auto" w:fill="auto"/>
            <w:noWrap/>
            <w:vAlign w:val="center"/>
            <w:hideMark/>
          </w:tcPr>
          <w:p w14:paraId="0F480340"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Br</w:t>
            </w:r>
          </w:p>
        </w:tc>
        <w:tc>
          <w:tcPr>
            <w:tcW w:w="1167" w:type="dxa"/>
            <w:shd w:val="clear" w:color="auto" w:fill="auto"/>
            <w:noWrap/>
            <w:vAlign w:val="center"/>
            <w:hideMark/>
          </w:tcPr>
          <w:p w14:paraId="58B16000" w14:textId="77777777" w:rsidR="00C7764C" w:rsidRPr="00C81B1E" w:rsidRDefault="00C7764C" w:rsidP="00C81B1E">
            <w:pPr>
              <w:pStyle w:val="MDPI42tablebody"/>
              <w:rPr>
                <w:rFonts w:eastAsia="Calibri"/>
                <w:lang w:val="en-GB" w:eastAsia="en-US"/>
              </w:rPr>
            </w:pPr>
            <w:r w:rsidRPr="00C81B1E">
              <w:rPr>
                <w:rFonts w:eastAsia="Calibri"/>
                <w:lang w:val="en-GB" w:eastAsia="en-US"/>
              </w:rPr>
              <w:t>g/m</w:t>
            </w:r>
            <w:r w:rsidRPr="00C81B1E">
              <w:rPr>
                <w:rFonts w:eastAsia="Calibri"/>
                <w:vertAlign w:val="superscript"/>
                <w:lang w:val="en-GB" w:eastAsia="en-US"/>
              </w:rPr>
              <w:t>3</w:t>
            </w:r>
          </w:p>
        </w:tc>
        <w:tc>
          <w:tcPr>
            <w:tcW w:w="899" w:type="dxa"/>
            <w:shd w:val="clear" w:color="auto" w:fill="auto"/>
            <w:noWrap/>
            <w:vAlign w:val="center"/>
            <w:hideMark/>
          </w:tcPr>
          <w:p w14:paraId="27BCD138" w14:textId="77777777" w:rsidR="00C7764C" w:rsidRPr="00C81B1E" w:rsidRDefault="00C7764C" w:rsidP="00C81B1E">
            <w:pPr>
              <w:pStyle w:val="MDPI42tablebody"/>
              <w:rPr>
                <w:rFonts w:eastAsia="Calibri"/>
                <w:lang w:val="en-GB" w:eastAsia="en-US"/>
              </w:rPr>
            </w:pPr>
            <w:r w:rsidRPr="00C81B1E">
              <w:rPr>
                <w:rFonts w:eastAsia="Calibri"/>
                <w:lang w:val="en-GB" w:eastAsia="en-US"/>
              </w:rPr>
              <w:t>AD</w:t>
            </w:r>
          </w:p>
        </w:tc>
        <w:tc>
          <w:tcPr>
            <w:tcW w:w="5567" w:type="dxa"/>
            <w:vMerge/>
            <w:shd w:val="clear" w:color="auto" w:fill="auto"/>
            <w:noWrap/>
            <w:vAlign w:val="center"/>
          </w:tcPr>
          <w:p w14:paraId="11B3166E" w14:textId="77777777" w:rsidR="00C7764C" w:rsidRPr="00C81B1E" w:rsidRDefault="00C7764C" w:rsidP="00C81B1E">
            <w:pPr>
              <w:pStyle w:val="MDPI42tablebody"/>
              <w:rPr>
                <w:rFonts w:eastAsia="Calibri"/>
                <w:lang w:val="en-GB" w:eastAsia="en-US"/>
              </w:rPr>
            </w:pPr>
          </w:p>
        </w:tc>
      </w:tr>
      <w:tr w:rsidR="00C81B1E" w:rsidRPr="00C81B1E" w14:paraId="2F5F850D" w14:textId="77777777" w:rsidTr="00C81B1E">
        <w:trPr>
          <w:trHeight w:val="285"/>
        </w:trPr>
        <w:tc>
          <w:tcPr>
            <w:tcW w:w="1439" w:type="dxa"/>
            <w:tcBorders>
              <w:top w:val="single" w:sz="4" w:space="0" w:color="7F7F7F"/>
              <w:bottom w:val="single" w:sz="4" w:space="0" w:color="7F7F7F"/>
            </w:tcBorders>
            <w:shd w:val="clear" w:color="auto" w:fill="auto"/>
            <w:noWrap/>
            <w:vAlign w:val="center"/>
            <w:hideMark/>
          </w:tcPr>
          <w:p w14:paraId="53439410"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Se</w:t>
            </w:r>
          </w:p>
        </w:tc>
        <w:tc>
          <w:tcPr>
            <w:tcW w:w="1167" w:type="dxa"/>
            <w:tcBorders>
              <w:top w:val="single" w:sz="4" w:space="0" w:color="7F7F7F"/>
              <w:bottom w:val="single" w:sz="4" w:space="0" w:color="7F7F7F"/>
            </w:tcBorders>
            <w:shd w:val="clear" w:color="auto" w:fill="auto"/>
            <w:noWrap/>
            <w:vAlign w:val="center"/>
            <w:hideMark/>
          </w:tcPr>
          <w:p w14:paraId="6294035A" w14:textId="77777777" w:rsidR="00C7764C" w:rsidRPr="00C81B1E" w:rsidRDefault="00C7764C" w:rsidP="00C81B1E">
            <w:pPr>
              <w:pStyle w:val="MDPI42tablebody"/>
              <w:rPr>
                <w:rFonts w:eastAsia="Calibri"/>
                <w:lang w:val="en-GB" w:eastAsia="en-US"/>
              </w:rPr>
            </w:pPr>
            <w:r w:rsidRPr="00C81B1E">
              <w:rPr>
                <w:rFonts w:eastAsia="Calibri"/>
                <w:lang w:val="en-GB" w:eastAsia="en-US"/>
              </w:rPr>
              <w:t>g/m</w:t>
            </w:r>
            <w:r w:rsidRPr="00C81B1E">
              <w:rPr>
                <w:rFonts w:eastAsia="Calibri"/>
                <w:vertAlign w:val="superscript"/>
                <w:lang w:val="en-GB" w:eastAsia="en-US"/>
              </w:rPr>
              <w:t>3</w:t>
            </w:r>
          </w:p>
        </w:tc>
        <w:tc>
          <w:tcPr>
            <w:tcW w:w="899" w:type="dxa"/>
            <w:tcBorders>
              <w:top w:val="single" w:sz="4" w:space="0" w:color="7F7F7F"/>
              <w:bottom w:val="single" w:sz="4" w:space="0" w:color="7F7F7F"/>
            </w:tcBorders>
            <w:shd w:val="clear" w:color="auto" w:fill="auto"/>
            <w:noWrap/>
            <w:vAlign w:val="center"/>
            <w:hideMark/>
          </w:tcPr>
          <w:p w14:paraId="63516FDB" w14:textId="77777777" w:rsidR="00C7764C" w:rsidRPr="00C81B1E" w:rsidRDefault="00C7764C" w:rsidP="00C81B1E">
            <w:pPr>
              <w:pStyle w:val="MDPI42tablebody"/>
              <w:rPr>
                <w:rFonts w:eastAsia="Calibri"/>
                <w:lang w:val="en-GB" w:eastAsia="en-US"/>
              </w:rPr>
            </w:pPr>
            <w:r w:rsidRPr="00C81B1E">
              <w:rPr>
                <w:rFonts w:eastAsia="Calibri"/>
                <w:lang w:val="en-GB" w:eastAsia="en-US"/>
              </w:rPr>
              <w:t>AD</w:t>
            </w:r>
          </w:p>
        </w:tc>
        <w:tc>
          <w:tcPr>
            <w:tcW w:w="5567" w:type="dxa"/>
            <w:vMerge/>
            <w:tcBorders>
              <w:top w:val="single" w:sz="4" w:space="0" w:color="7F7F7F"/>
              <w:bottom w:val="single" w:sz="4" w:space="0" w:color="7F7F7F"/>
            </w:tcBorders>
            <w:shd w:val="clear" w:color="auto" w:fill="auto"/>
            <w:noWrap/>
            <w:vAlign w:val="center"/>
          </w:tcPr>
          <w:p w14:paraId="463D0E6F" w14:textId="77777777" w:rsidR="00C7764C" w:rsidRPr="00C81B1E" w:rsidRDefault="00C7764C" w:rsidP="00C81B1E">
            <w:pPr>
              <w:pStyle w:val="MDPI42tablebody"/>
              <w:rPr>
                <w:rFonts w:eastAsia="Calibri"/>
                <w:lang w:val="en-GB" w:eastAsia="en-US"/>
              </w:rPr>
            </w:pPr>
          </w:p>
        </w:tc>
      </w:tr>
      <w:tr w:rsidR="00C81B1E" w:rsidRPr="00C81B1E" w14:paraId="495E350B" w14:textId="77777777" w:rsidTr="00C81B1E">
        <w:trPr>
          <w:trHeight w:val="285"/>
        </w:trPr>
        <w:tc>
          <w:tcPr>
            <w:tcW w:w="1439" w:type="dxa"/>
            <w:shd w:val="clear" w:color="auto" w:fill="auto"/>
            <w:noWrap/>
            <w:vAlign w:val="center"/>
            <w:hideMark/>
          </w:tcPr>
          <w:p w14:paraId="7E801D8F"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Co</w:t>
            </w:r>
          </w:p>
        </w:tc>
        <w:tc>
          <w:tcPr>
            <w:tcW w:w="1167" w:type="dxa"/>
            <w:shd w:val="clear" w:color="auto" w:fill="auto"/>
            <w:noWrap/>
            <w:vAlign w:val="center"/>
            <w:hideMark/>
          </w:tcPr>
          <w:p w14:paraId="13FAEEFD" w14:textId="77777777" w:rsidR="00C7764C" w:rsidRPr="00C81B1E" w:rsidRDefault="00C7764C" w:rsidP="00C81B1E">
            <w:pPr>
              <w:pStyle w:val="MDPI42tablebody"/>
              <w:rPr>
                <w:rFonts w:eastAsia="Calibri"/>
                <w:lang w:val="en-GB" w:eastAsia="en-US"/>
              </w:rPr>
            </w:pPr>
            <w:r w:rsidRPr="00C81B1E">
              <w:rPr>
                <w:rFonts w:eastAsia="Calibri"/>
                <w:lang w:val="en-GB" w:eastAsia="en-US"/>
              </w:rPr>
              <w:t>g/m</w:t>
            </w:r>
            <w:r w:rsidRPr="00C81B1E">
              <w:rPr>
                <w:rFonts w:eastAsia="Calibri"/>
                <w:vertAlign w:val="superscript"/>
                <w:lang w:val="en-GB" w:eastAsia="en-US"/>
              </w:rPr>
              <w:t>3</w:t>
            </w:r>
          </w:p>
        </w:tc>
        <w:tc>
          <w:tcPr>
            <w:tcW w:w="899" w:type="dxa"/>
            <w:shd w:val="clear" w:color="auto" w:fill="auto"/>
            <w:noWrap/>
            <w:vAlign w:val="center"/>
            <w:hideMark/>
          </w:tcPr>
          <w:p w14:paraId="1CAF1317" w14:textId="77777777" w:rsidR="00C7764C" w:rsidRPr="00C81B1E" w:rsidRDefault="00C7764C" w:rsidP="00C81B1E">
            <w:pPr>
              <w:pStyle w:val="MDPI42tablebody"/>
              <w:rPr>
                <w:rFonts w:eastAsia="Calibri"/>
                <w:lang w:val="en-GB" w:eastAsia="en-US"/>
              </w:rPr>
            </w:pPr>
            <w:r w:rsidRPr="00C81B1E">
              <w:rPr>
                <w:rFonts w:eastAsia="Calibri"/>
                <w:lang w:val="en-GB" w:eastAsia="en-US"/>
              </w:rPr>
              <w:t>AD</w:t>
            </w:r>
          </w:p>
        </w:tc>
        <w:tc>
          <w:tcPr>
            <w:tcW w:w="5567" w:type="dxa"/>
            <w:vMerge/>
            <w:shd w:val="clear" w:color="auto" w:fill="auto"/>
            <w:noWrap/>
            <w:vAlign w:val="center"/>
          </w:tcPr>
          <w:p w14:paraId="037C0F28" w14:textId="77777777" w:rsidR="00C7764C" w:rsidRPr="00C81B1E" w:rsidRDefault="00C7764C" w:rsidP="00C81B1E">
            <w:pPr>
              <w:pStyle w:val="MDPI42tablebody"/>
              <w:rPr>
                <w:rFonts w:eastAsia="Calibri"/>
                <w:lang w:val="en-GB" w:eastAsia="en-US"/>
              </w:rPr>
            </w:pPr>
          </w:p>
        </w:tc>
      </w:tr>
      <w:tr w:rsidR="00C81B1E" w:rsidRPr="00C81B1E" w14:paraId="1B899DD6" w14:textId="77777777" w:rsidTr="00C81B1E">
        <w:trPr>
          <w:trHeight w:val="285"/>
        </w:trPr>
        <w:tc>
          <w:tcPr>
            <w:tcW w:w="1439" w:type="dxa"/>
            <w:tcBorders>
              <w:top w:val="single" w:sz="4" w:space="0" w:color="7F7F7F"/>
              <w:bottom w:val="single" w:sz="4" w:space="0" w:color="7F7F7F"/>
            </w:tcBorders>
            <w:shd w:val="clear" w:color="auto" w:fill="auto"/>
            <w:noWrap/>
            <w:vAlign w:val="center"/>
            <w:hideMark/>
          </w:tcPr>
          <w:p w14:paraId="3E25B3B9"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F</w:t>
            </w:r>
            <w:r w:rsidRPr="00C81B1E">
              <w:rPr>
                <w:rFonts w:eastAsia="Calibri"/>
                <w:b/>
                <w:bCs/>
                <w:vertAlign w:val="superscript"/>
                <w:lang w:val="en-GB" w:eastAsia="en-US"/>
              </w:rPr>
              <w:t>-</w:t>
            </w:r>
          </w:p>
        </w:tc>
        <w:tc>
          <w:tcPr>
            <w:tcW w:w="1167" w:type="dxa"/>
            <w:tcBorders>
              <w:top w:val="single" w:sz="4" w:space="0" w:color="7F7F7F"/>
              <w:bottom w:val="single" w:sz="4" w:space="0" w:color="7F7F7F"/>
            </w:tcBorders>
            <w:shd w:val="clear" w:color="auto" w:fill="auto"/>
            <w:noWrap/>
            <w:vAlign w:val="center"/>
            <w:hideMark/>
          </w:tcPr>
          <w:p w14:paraId="476C9A0C" w14:textId="77777777" w:rsidR="00C7764C" w:rsidRPr="00C81B1E" w:rsidRDefault="00C7764C" w:rsidP="00C81B1E">
            <w:pPr>
              <w:pStyle w:val="MDPI42tablebody"/>
              <w:rPr>
                <w:rFonts w:eastAsia="Calibri"/>
                <w:lang w:val="en-GB" w:eastAsia="en-US"/>
              </w:rPr>
            </w:pPr>
            <w:r w:rsidRPr="00C81B1E">
              <w:rPr>
                <w:rFonts w:eastAsia="Calibri"/>
                <w:lang w:val="en-GB" w:eastAsia="en-US"/>
              </w:rPr>
              <w:t>g/m</w:t>
            </w:r>
            <w:r w:rsidRPr="00C81B1E">
              <w:rPr>
                <w:rFonts w:eastAsia="Calibri"/>
                <w:vertAlign w:val="superscript"/>
                <w:lang w:val="en-GB" w:eastAsia="en-US"/>
              </w:rPr>
              <w:t>3</w:t>
            </w:r>
          </w:p>
        </w:tc>
        <w:tc>
          <w:tcPr>
            <w:tcW w:w="899" w:type="dxa"/>
            <w:tcBorders>
              <w:top w:val="single" w:sz="4" w:space="0" w:color="7F7F7F"/>
              <w:bottom w:val="single" w:sz="4" w:space="0" w:color="7F7F7F"/>
            </w:tcBorders>
            <w:shd w:val="clear" w:color="auto" w:fill="auto"/>
            <w:noWrap/>
            <w:vAlign w:val="center"/>
            <w:hideMark/>
          </w:tcPr>
          <w:p w14:paraId="2C5E9008" w14:textId="77777777" w:rsidR="00C7764C" w:rsidRPr="00C81B1E" w:rsidRDefault="00C7764C" w:rsidP="00C81B1E">
            <w:pPr>
              <w:pStyle w:val="MDPI42tablebody"/>
              <w:rPr>
                <w:rFonts w:eastAsia="Calibri"/>
                <w:lang w:val="en-GB" w:eastAsia="en-US"/>
              </w:rPr>
            </w:pPr>
            <w:r w:rsidRPr="00C81B1E">
              <w:rPr>
                <w:rFonts w:eastAsia="Calibri"/>
                <w:lang w:val="en-GB" w:eastAsia="en-US"/>
              </w:rPr>
              <w:t>C, TT</w:t>
            </w:r>
          </w:p>
        </w:tc>
        <w:tc>
          <w:tcPr>
            <w:tcW w:w="5567" w:type="dxa"/>
            <w:tcBorders>
              <w:top w:val="single" w:sz="4" w:space="0" w:color="7F7F7F"/>
              <w:bottom w:val="single" w:sz="4" w:space="0" w:color="7F7F7F"/>
            </w:tcBorders>
            <w:shd w:val="clear" w:color="auto" w:fill="auto"/>
            <w:noWrap/>
            <w:vAlign w:val="center"/>
            <w:hideMark/>
          </w:tcPr>
          <w:p w14:paraId="42C85C4C"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C: </w:t>
            </w:r>
            <w:r w:rsidRPr="00C81B1E">
              <w:rPr>
                <w:rFonts w:eastAsia="Calibri"/>
                <w:lang w:val="en-GB" w:eastAsia="en-US"/>
              </w:rPr>
              <w:fldChar w:fldCharType="begin" w:fldLock="1"/>
            </w:r>
            <w:r w:rsidRPr="00C81B1E">
              <w:rPr>
                <w:rFonts w:eastAsia="Calibri"/>
                <w:lang w:val="en-GB" w:eastAsia="en-US"/>
              </w:rPr>
              <w:instrText>ADDIN CSL_CITATION {"citationItems":[{"id":"ITEM-1","itemData":{"DOI":"10.1128/AEM.71.9.4951","ISBN":"058045195X","author":[{"dropping-particle":"","family":"British Standards Institution","given":"","non-dropping-particle":"","parse-names":false,"suffix":""}],"id":"ITEM-1","issued":{"date-parts":[["2011"]]},"title":"PAS 100:2011 Specification for Composted Materials","type":"report","volume":"January"},"uris":["http://www.mendeley.com/documents/?uuid=f0f7c64c-b25d-4a88-8d84-9a437c7611e0"]}],"mendeley":{"formattedCitation":"(British Standards Institution, 2011)","manualFormatting":"British Standards Institution (2011)","plainTextFormattedCitation":"(British Standards Institution, 2011)","previouslyFormattedCitation":"(British Standards Institution, 2011)"},"properties":{"noteIndex":0},"schema":"https://github.com/citation-style-language/schema/raw/master/csl-citation.json"}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British Standards Institution (2011)</w:t>
            </w:r>
            <w:r w:rsidRPr="00C81B1E">
              <w:rPr>
                <w:rFonts w:eastAsia="Calibri"/>
                <w:lang w:val="en-GB" w:eastAsia="en-US"/>
              </w:rPr>
              <w:fldChar w:fldCharType="end"/>
            </w:r>
            <w:r w:rsidRPr="00C81B1E">
              <w:rPr>
                <w:rFonts w:eastAsia="Calibri"/>
                <w:lang w:val="en-GB" w:eastAsia="en-US"/>
              </w:rPr>
              <w:t xml:space="preserve">, TT: </w:t>
            </w:r>
            <w:r w:rsidRPr="00C81B1E">
              <w:rPr>
                <w:rFonts w:eastAsia="Calibri"/>
                <w:lang w:val="en-GB" w:eastAsia="en-US"/>
              </w:rPr>
              <w:fldChar w:fldCharType="begin" w:fldLock="1"/>
            </w:r>
            <w:r w:rsidRPr="00C81B1E">
              <w:rPr>
                <w:rFonts w:eastAsia="Calibri"/>
                <w:lang w:val="en-GB" w:eastAsia="en-US"/>
              </w:rPr>
              <w:instrText>ADDIN CSL_CITATION {"citationItems":[{"id":"ITEM-1","itemData":{"abstract":"This project deals with combustion installations with a rated thermal\\ninput exceeding 50 MW. Plants with a thermal input lower than 50\\nMW are, however, discussed where technically relevant because smaller\\nunits can potentially be added to a plant to build one larger installation\\nexceeding 50 MW. All kinds of conventional power plants (e.g. utility\\nboiler plants, combined heat and power plants, district heating plants)\\nused for mechanical power and heat generation are covered in this\\nwork. Industrial combustion installations are covered if they use\\nconventional fuel. The commercial availability of the fuel on the\\nmarket has been used as an indicator to identify conventional fuels.\\nThe criterion for classifying a fuel as a 'conventional fuel' is\\na known composition which remains relatively constant, and indeed\\nis usually standardised. Coal, lignite, biomass, peat, liquid and\\ngaseous fuels (including hydrogen and biogas) are regarded as conventional\\nfuels. The use of waste as a secondary fuel is also covered in this\\nwork.","author":[{"dropping-particle":"","family":"European Commission","given":"","non-dropping-particle":"","parse-names":false,"suffix":""}],"container-title":"Integrated Pollution Prevention Control","id":"ITEM-1","issue":"August","issued":{"date-parts":[["2006"]]},"title":"Reference Document on the Best Available Techniques for Waste Incineration","type":"article-journal"},"uris":["http://www.mendeley.com/documents/?uuid=cafb8d98-221f-4574-9995-e04c7a48fca0"]}],"mendeley":{"formattedCitation":"(European Commission, 2006a)","manualFormatting":"European Commission (2006c)","plainTextFormattedCitation":"(European Commission, 2006a)","previouslyFormattedCitation":"(European Commission, 2006a)"},"properties":{"noteIndex":0},"schema":"https://github.com/citation-style-language/schema/raw/master/csl-citation.json"}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European Commission (2006c)</w:t>
            </w:r>
            <w:r w:rsidRPr="00C81B1E">
              <w:rPr>
                <w:rFonts w:eastAsia="Calibri"/>
                <w:lang w:val="en-GB" w:eastAsia="en-US"/>
              </w:rPr>
              <w:fldChar w:fldCharType="end"/>
            </w:r>
          </w:p>
        </w:tc>
      </w:tr>
      <w:tr w:rsidR="00C81B1E" w:rsidRPr="00C81B1E" w14:paraId="7D80A5EA" w14:textId="77777777" w:rsidTr="00C81B1E">
        <w:trPr>
          <w:trHeight w:val="285"/>
        </w:trPr>
        <w:tc>
          <w:tcPr>
            <w:tcW w:w="1439" w:type="dxa"/>
            <w:shd w:val="clear" w:color="auto" w:fill="auto"/>
            <w:noWrap/>
            <w:vAlign w:val="center"/>
            <w:hideMark/>
          </w:tcPr>
          <w:p w14:paraId="0978E680"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B</w:t>
            </w:r>
          </w:p>
        </w:tc>
        <w:tc>
          <w:tcPr>
            <w:tcW w:w="1167" w:type="dxa"/>
            <w:shd w:val="clear" w:color="auto" w:fill="auto"/>
            <w:noWrap/>
            <w:vAlign w:val="center"/>
            <w:hideMark/>
          </w:tcPr>
          <w:p w14:paraId="7E2F621C" w14:textId="77777777" w:rsidR="00C7764C" w:rsidRPr="00C81B1E" w:rsidRDefault="00C7764C" w:rsidP="00C81B1E">
            <w:pPr>
              <w:pStyle w:val="MDPI42tablebody"/>
              <w:rPr>
                <w:rFonts w:eastAsia="Calibri"/>
                <w:lang w:val="en-GB" w:eastAsia="en-US"/>
              </w:rPr>
            </w:pPr>
            <w:r w:rsidRPr="00C81B1E">
              <w:rPr>
                <w:rFonts w:eastAsia="Calibri"/>
                <w:lang w:val="en-GB" w:eastAsia="en-US"/>
              </w:rPr>
              <w:t>g/m</w:t>
            </w:r>
            <w:r w:rsidRPr="00C81B1E">
              <w:rPr>
                <w:rFonts w:eastAsia="Calibri"/>
                <w:vertAlign w:val="superscript"/>
                <w:lang w:val="en-GB" w:eastAsia="en-US"/>
              </w:rPr>
              <w:t>3</w:t>
            </w:r>
          </w:p>
        </w:tc>
        <w:tc>
          <w:tcPr>
            <w:tcW w:w="899" w:type="dxa"/>
            <w:shd w:val="clear" w:color="auto" w:fill="auto"/>
            <w:noWrap/>
            <w:vAlign w:val="center"/>
            <w:hideMark/>
          </w:tcPr>
          <w:p w14:paraId="7AD3D36A" w14:textId="77777777" w:rsidR="00C7764C" w:rsidRPr="00C81B1E" w:rsidRDefault="00C7764C" w:rsidP="00C81B1E">
            <w:pPr>
              <w:pStyle w:val="MDPI42tablebody"/>
              <w:rPr>
                <w:rFonts w:eastAsia="Calibri"/>
                <w:lang w:val="en-GB" w:eastAsia="en-US"/>
              </w:rPr>
            </w:pPr>
            <w:r w:rsidRPr="00C81B1E">
              <w:rPr>
                <w:rFonts w:eastAsia="Calibri"/>
                <w:lang w:val="en-GB" w:eastAsia="en-US"/>
              </w:rPr>
              <w:t>C</w:t>
            </w:r>
          </w:p>
        </w:tc>
        <w:tc>
          <w:tcPr>
            <w:tcW w:w="5567" w:type="dxa"/>
            <w:vMerge w:val="restart"/>
            <w:shd w:val="clear" w:color="auto" w:fill="auto"/>
            <w:noWrap/>
            <w:vAlign w:val="center"/>
            <w:hideMark/>
          </w:tcPr>
          <w:p w14:paraId="2B628477" w14:textId="77777777" w:rsidR="00C7764C" w:rsidRPr="00C81B1E" w:rsidRDefault="00C7764C" w:rsidP="00C81B1E">
            <w:pPr>
              <w:pStyle w:val="MDPI42tablebody"/>
              <w:rPr>
                <w:rFonts w:eastAsia="Calibri"/>
                <w:lang w:val="en-GB" w:eastAsia="en-US"/>
              </w:rPr>
            </w:pPr>
            <w:r w:rsidRPr="00C81B1E">
              <w:rPr>
                <w:rFonts w:eastAsia="Calibri"/>
                <w:lang w:val="en-GB" w:eastAsia="en-US"/>
              </w:rPr>
              <w:fldChar w:fldCharType="begin" w:fldLock="1"/>
            </w:r>
            <w:r w:rsidRPr="00C81B1E">
              <w:rPr>
                <w:rFonts w:eastAsia="Calibri"/>
                <w:lang w:val="en-GB" w:eastAsia="en-US"/>
              </w:rPr>
              <w:instrText>ADDIN CSL_CITATION {"citationItems":[{"id":"ITEM-1","itemData":{"DOI":"10.1128/AEM.71.9.4951","ISBN":"058045195X","author":[{"dropping-particle":"","family":"British Standards Institution","given":"","non-dropping-particle":"","parse-names":false,"suffix":""}],"id":"ITEM-1","issued":{"date-parts":[["2011"]]},"title":"PAS 100:2011 Specification for Composted Materials","type":"report","volume":"January"},"uris":["http://www.mendeley.com/documents/?uuid=f0f7c64c-b25d-4a88-8d84-9a437c7611e0"]}],"mendeley":{"formattedCitation":"(British Standards Institution, 2011)","manualFormatting":"British Standards Institution (2011)","plainTextFormattedCitation":"(British Standards Institution, 2011)","previouslyFormattedCitation":"(British Standards Institution, 2011)"},"properties":{"noteIndex":0},"schema":"https://github.com/citation-style-language/schema/raw/master/csl-citation.json"}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British Standards Institution (2011)</w:t>
            </w:r>
            <w:r w:rsidRPr="00C81B1E">
              <w:rPr>
                <w:rFonts w:eastAsia="Calibri"/>
                <w:lang w:val="en-GB" w:eastAsia="en-US"/>
              </w:rPr>
              <w:fldChar w:fldCharType="end"/>
            </w:r>
          </w:p>
        </w:tc>
      </w:tr>
      <w:tr w:rsidR="00C81B1E" w:rsidRPr="00C81B1E" w14:paraId="2C9E131D" w14:textId="77777777" w:rsidTr="00C81B1E">
        <w:trPr>
          <w:trHeight w:val="285"/>
        </w:trPr>
        <w:tc>
          <w:tcPr>
            <w:tcW w:w="1439" w:type="dxa"/>
            <w:tcBorders>
              <w:top w:val="single" w:sz="4" w:space="0" w:color="7F7F7F"/>
              <w:bottom w:val="single" w:sz="4" w:space="0" w:color="7F7F7F"/>
            </w:tcBorders>
            <w:shd w:val="clear" w:color="auto" w:fill="auto"/>
            <w:noWrap/>
            <w:vAlign w:val="center"/>
            <w:hideMark/>
          </w:tcPr>
          <w:p w14:paraId="4B69F64C"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Fe</w:t>
            </w:r>
          </w:p>
        </w:tc>
        <w:tc>
          <w:tcPr>
            <w:tcW w:w="1167" w:type="dxa"/>
            <w:tcBorders>
              <w:top w:val="single" w:sz="4" w:space="0" w:color="7F7F7F"/>
              <w:bottom w:val="single" w:sz="4" w:space="0" w:color="7F7F7F"/>
            </w:tcBorders>
            <w:shd w:val="clear" w:color="auto" w:fill="auto"/>
            <w:noWrap/>
            <w:vAlign w:val="center"/>
            <w:hideMark/>
          </w:tcPr>
          <w:p w14:paraId="3B1A97DA" w14:textId="77777777" w:rsidR="00C7764C" w:rsidRPr="00C81B1E" w:rsidRDefault="00C7764C" w:rsidP="00C81B1E">
            <w:pPr>
              <w:pStyle w:val="MDPI42tablebody"/>
              <w:rPr>
                <w:rFonts w:eastAsia="Calibri"/>
                <w:lang w:val="en-GB" w:eastAsia="en-US"/>
              </w:rPr>
            </w:pPr>
            <w:r w:rsidRPr="00C81B1E">
              <w:rPr>
                <w:rFonts w:eastAsia="Calibri"/>
                <w:lang w:val="en-GB" w:eastAsia="en-US"/>
              </w:rPr>
              <w:t>g/m</w:t>
            </w:r>
            <w:r w:rsidRPr="00C81B1E">
              <w:rPr>
                <w:rFonts w:eastAsia="Calibri"/>
                <w:vertAlign w:val="superscript"/>
                <w:lang w:val="en-GB" w:eastAsia="en-US"/>
              </w:rPr>
              <w:t>3</w:t>
            </w:r>
          </w:p>
        </w:tc>
        <w:tc>
          <w:tcPr>
            <w:tcW w:w="899" w:type="dxa"/>
            <w:tcBorders>
              <w:top w:val="single" w:sz="4" w:space="0" w:color="7F7F7F"/>
              <w:bottom w:val="single" w:sz="4" w:space="0" w:color="7F7F7F"/>
            </w:tcBorders>
            <w:shd w:val="clear" w:color="auto" w:fill="auto"/>
            <w:noWrap/>
            <w:vAlign w:val="center"/>
            <w:hideMark/>
          </w:tcPr>
          <w:p w14:paraId="064062A9" w14:textId="77777777" w:rsidR="00C7764C" w:rsidRPr="00C81B1E" w:rsidRDefault="00C7764C" w:rsidP="00C81B1E">
            <w:pPr>
              <w:pStyle w:val="MDPI42tablebody"/>
              <w:rPr>
                <w:rFonts w:eastAsia="Calibri"/>
                <w:lang w:val="en-GB" w:eastAsia="en-US"/>
              </w:rPr>
            </w:pPr>
            <w:r w:rsidRPr="00C81B1E">
              <w:rPr>
                <w:rFonts w:eastAsia="Calibri"/>
                <w:lang w:val="en-GB" w:eastAsia="en-US"/>
              </w:rPr>
              <w:t>C</w:t>
            </w:r>
          </w:p>
        </w:tc>
        <w:tc>
          <w:tcPr>
            <w:tcW w:w="5567" w:type="dxa"/>
            <w:vMerge/>
            <w:tcBorders>
              <w:top w:val="single" w:sz="4" w:space="0" w:color="7F7F7F"/>
              <w:bottom w:val="single" w:sz="4" w:space="0" w:color="7F7F7F"/>
            </w:tcBorders>
            <w:shd w:val="clear" w:color="auto" w:fill="auto"/>
            <w:noWrap/>
            <w:vAlign w:val="center"/>
          </w:tcPr>
          <w:p w14:paraId="6F15A66A" w14:textId="77777777" w:rsidR="00C7764C" w:rsidRPr="00C81B1E" w:rsidRDefault="00C7764C" w:rsidP="00C81B1E">
            <w:pPr>
              <w:pStyle w:val="MDPI42tablebody"/>
              <w:rPr>
                <w:rFonts w:eastAsia="Calibri"/>
                <w:lang w:val="en-GB" w:eastAsia="en-US"/>
              </w:rPr>
            </w:pPr>
          </w:p>
        </w:tc>
      </w:tr>
      <w:tr w:rsidR="00C81B1E" w:rsidRPr="00C81B1E" w14:paraId="737F7973" w14:textId="77777777" w:rsidTr="00C81B1E">
        <w:trPr>
          <w:trHeight w:val="285"/>
        </w:trPr>
        <w:tc>
          <w:tcPr>
            <w:tcW w:w="1439" w:type="dxa"/>
            <w:shd w:val="clear" w:color="auto" w:fill="auto"/>
            <w:noWrap/>
            <w:vAlign w:val="center"/>
            <w:hideMark/>
          </w:tcPr>
          <w:p w14:paraId="47501ADF"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Mn</w:t>
            </w:r>
          </w:p>
        </w:tc>
        <w:tc>
          <w:tcPr>
            <w:tcW w:w="1167" w:type="dxa"/>
            <w:shd w:val="clear" w:color="auto" w:fill="auto"/>
            <w:noWrap/>
            <w:vAlign w:val="center"/>
            <w:hideMark/>
          </w:tcPr>
          <w:p w14:paraId="6723C6F5" w14:textId="77777777" w:rsidR="00C7764C" w:rsidRPr="00C81B1E" w:rsidRDefault="00C7764C" w:rsidP="00C81B1E">
            <w:pPr>
              <w:pStyle w:val="MDPI42tablebody"/>
              <w:rPr>
                <w:rFonts w:eastAsia="Calibri"/>
                <w:lang w:val="en-GB" w:eastAsia="en-US"/>
              </w:rPr>
            </w:pPr>
            <w:r w:rsidRPr="00C81B1E">
              <w:rPr>
                <w:rFonts w:eastAsia="Calibri"/>
                <w:lang w:val="en-GB" w:eastAsia="en-US"/>
              </w:rPr>
              <w:t>g/m</w:t>
            </w:r>
            <w:r w:rsidRPr="00C81B1E">
              <w:rPr>
                <w:rFonts w:eastAsia="Calibri"/>
                <w:vertAlign w:val="superscript"/>
                <w:lang w:val="en-GB" w:eastAsia="en-US"/>
              </w:rPr>
              <w:t>3</w:t>
            </w:r>
          </w:p>
        </w:tc>
        <w:tc>
          <w:tcPr>
            <w:tcW w:w="899" w:type="dxa"/>
            <w:shd w:val="clear" w:color="auto" w:fill="auto"/>
            <w:noWrap/>
            <w:vAlign w:val="center"/>
            <w:hideMark/>
          </w:tcPr>
          <w:p w14:paraId="62949F0F" w14:textId="77777777" w:rsidR="00C7764C" w:rsidRPr="00C81B1E" w:rsidRDefault="00C7764C" w:rsidP="00C81B1E">
            <w:pPr>
              <w:pStyle w:val="MDPI42tablebody"/>
              <w:rPr>
                <w:rFonts w:eastAsia="Calibri"/>
                <w:lang w:val="en-GB" w:eastAsia="en-US"/>
              </w:rPr>
            </w:pPr>
            <w:r w:rsidRPr="00C81B1E">
              <w:rPr>
                <w:rFonts w:eastAsia="Calibri"/>
                <w:lang w:val="en-GB" w:eastAsia="en-US"/>
              </w:rPr>
              <w:t>C</w:t>
            </w:r>
          </w:p>
        </w:tc>
        <w:tc>
          <w:tcPr>
            <w:tcW w:w="5567" w:type="dxa"/>
            <w:vMerge/>
            <w:shd w:val="clear" w:color="auto" w:fill="auto"/>
            <w:noWrap/>
            <w:vAlign w:val="center"/>
          </w:tcPr>
          <w:p w14:paraId="7AA6FE87" w14:textId="77777777" w:rsidR="00C7764C" w:rsidRPr="00C81B1E" w:rsidRDefault="00C7764C" w:rsidP="00C81B1E">
            <w:pPr>
              <w:pStyle w:val="MDPI42tablebody"/>
              <w:rPr>
                <w:rFonts w:eastAsia="Calibri"/>
                <w:lang w:val="en-GB" w:eastAsia="en-US"/>
              </w:rPr>
            </w:pPr>
          </w:p>
        </w:tc>
      </w:tr>
      <w:tr w:rsidR="00C81B1E" w:rsidRPr="00C81B1E" w14:paraId="53CB4385" w14:textId="77777777" w:rsidTr="00C81B1E">
        <w:trPr>
          <w:trHeight w:val="285"/>
        </w:trPr>
        <w:tc>
          <w:tcPr>
            <w:tcW w:w="1439" w:type="dxa"/>
            <w:tcBorders>
              <w:top w:val="single" w:sz="4" w:space="0" w:color="7F7F7F"/>
              <w:bottom w:val="single" w:sz="4" w:space="0" w:color="7F7F7F"/>
            </w:tcBorders>
            <w:shd w:val="clear" w:color="auto" w:fill="auto"/>
            <w:noWrap/>
            <w:vAlign w:val="center"/>
            <w:hideMark/>
          </w:tcPr>
          <w:p w14:paraId="7C632D14"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Na</w:t>
            </w:r>
          </w:p>
        </w:tc>
        <w:tc>
          <w:tcPr>
            <w:tcW w:w="1167" w:type="dxa"/>
            <w:tcBorders>
              <w:top w:val="single" w:sz="4" w:space="0" w:color="7F7F7F"/>
              <w:bottom w:val="single" w:sz="4" w:space="0" w:color="7F7F7F"/>
            </w:tcBorders>
            <w:shd w:val="clear" w:color="auto" w:fill="auto"/>
            <w:noWrap/>
            <w:vAlign w:val="center"/>
            <w:hideMark/>
          </w:tcPr>
          <w:p w14:paraId="03C565A9" w14:textId="77777777" w:rsidR="00C7764C" w:rsidRPr="00C81B1E" w:rsidRDefault="00C7764C" w:rsidP="00C81B1E">
            <w:pPr>
              <w:pStyle w:val="MDPI42tablebody"/>
              <w:rPr>
                <w:rFonts w:eastAsia="Calibri"/>
                <w:lang w:val="en-GB" w:eastAsia="en-US"/>
              </w:rPr>
            </w:pPr>
            <w:r w:rsidRPr="00C81B1E">
              <w:rPr>
                <w:rFonts w:eastAsia="Calibri"/>
                <w:lang w:val="en-GB" w:eastAsia="en-US"/>
              </w:rPr>
              <w:t>g/m</w:t>
            </w:r>
            <w:r w:rsidRPr="00C81B1E">
              <w:rPr>
                <w:rFonts w:eastAsia="Calibri"/>
                <w:vertAlign w:val="superscript"/>
                <w:lang w:val="en-GB" w:eastAsia="en-US"/>
              </w:rPr>
              <w:t>3</w:t>
            </w:r>
          </w:p>
        </w:tc>
        <w:tc>
          <w:tcPr>
            <w:tcW w:w="899" w:type="dxa"/>
            <w:tcBorders>
              <w:top w:val="single" w:sz="4" w:space="0" w:color="7F7F7F"/>
              <w:bottom w:val="single" w:sz="4" w:space="0" w:color="7F7F7F"/>
            </w:tcBorders>
            <w:shd w:val="clear" w:color="auto" w:fill="auto"/>
            <w:noWrap/>
            <w:vAlign w:val="center"/>
            <w:hideMark/>
          </w:tcPr>
          <w:p w14:paraId="46D9AE94" w14:textId="77777777" w:rsidR="00C7764C" w:rsidRPr="00C81B1E" w:rsidRDefault="00C7764C" w:rsidP="00C81B1E">
            <w:pPr>
              <w:pStyle w:val="MDPI42tablebody"/>
              <w:rPr>
                <w:rFonts w:eastAsia="Calibri"/>
                <w:lang w:val="en-GB" w:eastAsia="en-US"/>
              </w:rPr>
            </w:pPr>
            <w:r w:rsidRPr="00C81B1E">
              <w:rPr>
                <w:rFonts w:eastAsia="Calibri"/>
                <w:lang w:val="en-GB" w:eastAsia="en-US"/>
              </w:rPr>
              <w:t>C</w:t>
            </w:r>
          </w:p>
        </w:tc>
        <w:tc>
          <w:tcPr>
            <w:tcW w:w="5567" w:type="dxa"/>
            <w:vMerge/>
            <w:tcBorders>
              <w:top w:val="single" w:sz="4" w:space="0" w:color="7F7F7F"/>
              <w:bottom w:val="single" w:sz="4" w:space="0" w:color="7F7F7F"/>
            </w:tcBorders>
            <w:shd w:val="clear" w:color="auto" w:fill="auto"/>
            <w:noWrap/>
            <w:vAlign w:val="center"/>
          </w:tcPr>
          <w:p w14:paraId="280B47B9" w14:textId="77777777" w:rsidR="00C7764C" w:rsidRPr="00C81B1E" w:rsidRDefault="00C7764C" w:rsidP="00C81B1E">
            <w:pPr>
              <w:pStyle w:val="MDPI42tablebody"/>
              <w:rPr>
                <w:rFonts w:eastAsia="Calibri"/>
                <w:lang w:val="en-GB" w:eastAsia="en-US"/>
              </w:rPr>
            </w:pPr>
          </w:p>
        </w:tc>
      </w:tr>
      <w:tr w:rsidR="00C81B1E" w:rsidRPr="00C81B1E" w14:paraId="2472513C" w14:textId="77777777" w:rsidTr="00C81B1E">
        <w:trPr>
          <w:trHeight w:val="285"/>
        </w:trPr>
        <w:tc>
          <w:tcPr>
            <w:tcW w:w="1439" w:type="dxa"/>
            <w:shd w:val="clear" w:color="auto" w:fill="auto"/>
            <w:noWrap/>
            <w:vAlign w:val="center"/>
            <w:hideMark/>
          </w:tcPr>
          <w:p w14:paraId="37EA31D0"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lastRenderedPageBreak/>
              <w:t>Total organic carbon (TOC)</w:t>
            </w:r>
          </w:p>
        </w:tc>
        <w:tc>
          <w:tcPr>
            <w:tcW w:w="1167" w:type="dxa"/>
            <w:shd w:val="clear" w:color="auto" w:fill="auto"/>
            <w:noWrap/>
            <w:vAlign w:val="center"/>
            <w:hideMark/>
          </w:tcPr>
          <w:p w14:paraId="2E85D301" w14:textId="77777777" w:rsidR="00C7764C" w:rsidRPr="00C81B1E" w:rsidRDefault="00C7764C" w:rsidP="00C81B1E">
            <w:pPr>
              <w:pStyle w:val="MDPI42tablebody"/>
              <w:rPr>
                <w:rFonts w:eastAsia="Calibri"/>
                <w:lang w:val="en-GB" w:eastAsia="en-US"/>
              </w:rPr>
            </w:pPr>
            <w:r w:rsidRPr="00C81B1E">
              <w:rPr>
                <w:rFonts w:eastAsia="Calibri"/>
                <w:lang w:val="en-GB" w:eastAsia="en-US"/>
              </w:rPr>
              <w:t>g/m</w:t>
            </w:r>
            <w:r w:rsidRPr="00C81B1E">
              <w:rPr>
                <w:rFonts w:eastAsia="Calibri"/>
                <w:vertAlign w:val="superscript"/>
                <w:lang w:val="en-GB" w:eastAsia="en-US"/>
              </w:rPr>
              <w:t>3</w:t>
            </w:r>
          </w:p>
        </w:tc>
        <w:tc>
          <w:tcPr>
            <w:tcW w:w="899" w:type="dxa"/>
            <w:shd w:val="clear" w:color="auto" w:fill="auto"/>
            <w:noWrap/>
            <w:vAlign w:val="center"/>
            <w:hideMark/>
          </w:tcPr>
          <w:p w14:paraId="5EFC8A0E" w14:textId="77777777" w:rsidR="00C7764C" w:rsidRPr="00C81B1E" w:rsidRDefault="00C7764C" w:rsidP="00C81B1E">
            <w:pPr>
              <w:pStyle w:val="MDPI42tablebody"/>
              <w:rPr>
                <w:rFonts w:eastAsia="Calibri"/>
                <w:lang w:val="en-GB" w:eastAsia="en-US"/>
              </w:rPr>
            </w:pPr>
            <w:r w:rsidRPr="00C81B1E">
              <w:rPr>
                <w:rFonts w:eastAsia="Calibri"/>
                <w:lang w:val="en-GB" w:eastAsia="en-US"/>
              </w:rPr>
              <w:t>TT</w:t>
            </w:r>
          </w:p>
        </w:tc>
        <w:tc>
          <w:tcPr>
            <w:tcW w:w="5567" w:type="dxa"/>
            <w:vMerge w:val="restart"/>
            <w:shd w:val="clear" w:color="auto" w:fill="auto"/>
            <w:noWrap/>
            <w:vAlign w:val="center"/>
            <w:hideMark/>
          </w:tcPr>
          <w:p w14:paraId="194919DF" w14:textId="77777777" w:rsidR="00C7764C" w:rsidRPr="00C81B1E" w:rsidRDefault="00C7764C" w:rsidP="00C81B1E">
            <w:pPr>
              <w:pStyle w:val="MDPI42tablebody"/>
              <w:rPr>
                <w:rFonts w:eastAsia="Calibri"/>
                <w:lang w:val="en-GB" w:eastAsia="en-US"/>
              </w:rPr>
            </w:pPr>
            <w:r w:rsidRPr="00C81B1E">
              <w:rPr>
                <w:rFonts w:eastAsia="Calibri"/>
                <w:lang w:val="en-GB" w:eastAsia="en-US"/>
              </w:rPr>
              <w:fldChar w:fldCharType="begin" w:fldLock="1"/>
            </w:r>
            <w:r w:rsidRPr="00C81B1E">
              <w:rPr>
                <w:rFonts w:eastAsia="Calibri"/>
                <w:lang w:val="en-GB" w:eastAsia="en-US"/>
              </w:rPr>
              <w:instrText>ADDIN CSL_CITATION {"citationItems":[{"id":"ITEM-1","itemData":{"abstract":"This project deals with combustion installations with a rated thermal\\ninput exceeding 50 MW. Plants with a thermal input lower than 50\\nMW are, however, discussed where technically relevant because smaller\\nunits can potentially be added to a plant to build one larger installation\\nexceeding 50 MW. All kinds of conventional power plants (e.g. utility\\nboiler plants, combined heat and power plants, district heating plants)\\nused for mechanical power and heat generation are covered in this\\nwork. Industrial combustion installations are covered if they use\\nconventional fuel. The commercial availability of the fuel on the\\nmarket has been used as an indicator to identify conventional fuels.\\nThe criterion for classifying a fuel as a 'conventional fuel' is\\na known composition which remains relatively constant, and indeed\\nis usually standardised. Coal, lignite, biomass, peat, liquid and\\ngaseous fuels (including hydrogen and biogas) are regarded as conventional\\nfuels. The use of waste as a secondary fuel is also covered in this\\nwork.","author":[{"dropping-particle":"","family":"European Commission","given":"","non-dropping-particle":"","parse-names":false,"suffix":""}],"container-title":"Integrated Pollution Prevention Control","id":"ITEM-1","issue":"August","issued":{"date-parts":[["2006"]]},"title":"Reference Document on the Best Available Techniques for Waste Incineration","type":"article-journal"},"uris":["http://www.mendeley.com/documents/?uuid=cafb8d98-221f-4574-9995-e04c7a48fca0"]}],"mendeley":{"formattedCitation":"(European Commission, 2006a)","manualFormatting":"European Commission (2006c)","plainTextFormattedCitation":"(European Commission, 2006a)","previouslyFormattedCitation":"(European Commission, 2006a)"},"properties":{"noteIndex":0},"schema":"https://github.com/citation-style-language/schema/raw/master/csl-citation.json"}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European Commission (2006c)</w:t>
            </w:r>
            <w:r w:rsidRPr="00C81B1E">
              <w:rPr>
                <w:rFonts w:eastAsia="Calibri"/>
                <w:lang w:val="en-GB" w:eastAsia="en-US"/>
              </w:rPr>
              <w:fldChar w:fldCharType="end"/>
            </w:r>
          </w:p>
        </w:tc>
      </w:tr>
      <w:tr w:rsidR="00C81B1E" w:rsidRPr="00C81B1E" w14:paraId="7B712D95" w14:textId="77777777" w:rsidTr="00C81B1E">
        <w:trPr>
          <w:trHeight w:val="285"/>
        </w:trPr>
        <w:tc>
          <w:tcPr>
            <w:tcW w:w="1439" w:type="dxa"/>
            <w:tcBorders>
              <w:top w:val="single" w:sz="4" w:space="0" w:color="7F7F7F"/>
              <w:bottom w:val="single" w:sz="4" w:space="0" w:color="7F7F7F"/>
            </w:tcBorders>
            <w:shd w:val="clear" w:color="auto" w:fill="auto"/>
            <w:noWrap/>
            <w:vAlign w:val="center"/>
            <w:hideMark/>
          </w:tcPr>
          <w:p w14:paraId="50A340BD"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Dioxins, furans and PCBs</w:t>
            </w:r>
          </w:p>
        </w:tc>
        <w:tc>
          <w:tcPr>
            <w:tcW w:w="1167" w:type="dxa"/>
            <w:tcBorders>
              <w:top w:val="single" w:sz="4" w:space="0" w:color="7F7F7F"/>
              <w:bottom w:val="single" w:sz="4" w:space="0" w:color="7F7F7F"/>
            </w:tcBorders>
            <w:shd w:val="clear" w:color="auto" w:fill="auto"/>
            <w:noWrap/>
            <w:vAlign w:val="center"/>
            <w:hideMark/>
          </w:tcPr>
          <w:p w14:paraId="21F7799D" w14:textId="77777777" w:rsidR="00C7764C" w:rsidRPr="00C81B1E" w:rsidRDefault="00C7764C" w:rsidP="00C81B1E">
            <w:pPr>
              <w:pStyle w:val="MDPI42tablebody"/>
              <w:rPr>
                <w:rFonts w:eastAsia="Calibri"/>
                <w:lang w:val="en-GB" w:eastAsia="en-US"/>
              </w:rPr>
            </w:pPr>
            <w:r w:rsidRPr="00C81B1E">
              <w:rPr>
                <w:rFonts w:eastAsia="Calibri"/>
                <w:lang w:val="en-GB" w:eastAsia="en-US"/>
              </w:rPr>
              <w:t>mg/m</w:t>
            </w:r>
            <w:r w:rsidRPr="00C81B1E">
              <w:rPr>
                <w:rFonts w:eastAsia="Calibri"/>
                <w:vertAlign w:val="superscript"/>
                <w:lang w:val="en-GB" w:eastAsia="en-US"/>
              </w:rPr>
              <w:t>3</w:t>
            </w:r>
          </w:p>
        </w:tc>
        <w:tc>
          <w:tcPr>
            <w:tcW w:w="899" w:type="dxa"/>
            <w:tcBorders>
              <w:top w:val="single" w:sz="4" w:space="0" w:color="7F7F7F"/>
              <w:bottom w:val="single" w:sz="4" w:space="0" w:color="7F7F7F"/>
            </w:tcBorders>
            <w:shd w:val="clear" w:color="auto" w:fill="auto"/>
            <w:noWrap/>
            <w:vAlign w:val="center"/>
            <w:hideMark/>
          </w:tcPr>
          <w:p w14:paraId="2E01458B" w14:textId="77777777" w:rsidR="00C7764C" w:rsidRPr="00C81B1E" w:rsidRDefault="00C7764C" w:rsidP="00C81B1E">
            <w:pPr>
              <w:pStyle w:val="MDPI42tablebody"/>
              <w:rPr>
                <w:rFonts w:eastAsia="Calibri"/>
                <w:lang w:val="en-GB" w:eastAsia="en-US"/>
              </w:rPr>
            </w:pPr>
            <w:r w:rsidRPr="00C81B1E">
              <w:rPr>
                <w:rFonts w:eastAsia="Calibri"/>
                <w:lang w:val="en-GB" w:eastAsia="en-US"/>
              </w:rPr>
              <w:t>TT</w:t>
            </w:r>
          </w:p>
        </w:tc>
        <w:tc>
          <w:tcPr>
            <w:tcW w:w="5567" w:type="dxa"/>
            <w:vMerge/>
            <w:tcBorders>
              <w:top w:val="single" w:sz="4" w:space="0" w:color="7F7F7F"/>
              <w:bottom w:val="single" w:sz="4" w:space="0" w:color="7F7F7F"/>
            </w:tcBorders>
            <w:shd w:val="clear" w:color="auto" w:fill="auto"/>
            <w:noWrap/>
            <w:vAlign w:val="center"/>
          </w:tcPr>
          <w:p w14:paraId="01D5A03E" w14:textId="77777777" w:rsidR="00C7764C" w:rsidRPr="00C81B1E" w:rsidRDefault="00C7764C" w:rsidP="00C81B1E">
            <w:pPr>
              <w:pStyle w:val="MDPI42tablebody"/>
              <w:rPr>
                <w:rFonts w:eastAsia="Calibri"/>
                <w:lang w:val="en-GB" w:eastAsia="en-US"/>
              </w:rPr>
            </w:pPr>
          </w:p>
        </w:tc>
      </w:tr>
      <w:tr w:rsidR="00C81B1E" w:rsidRPr="00C81B1E" w14:paraId="660395FF" w14:textId="77777777" w:rsidTr="00C81B1E">
        <w:trPr>
          <w:trHeight w:val="315"/>
        </w:trPr>
        <w:tc>
          <w:tcPr>
            <w:tcW w:w="1439" w:type="dxa"/>
            <w:shd w:val="clear" w:color="auto" w:fill="auto"/>
            <w:noWrap/>
            <w:vAlign w:val="center"/>
            <w:hideMark/>
          </w:tcPr>
          <w:p w14:paraId="3FEE9CC6"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SO</w:t>
            </w:r>
            <w:r w:rsidRPr="00C81B1E">
              <w:rPr>
                <w:rFonts w:eastAsia="Calibri"/>
                <w:b/>
                <w:bCs/>
                <w:vertAlign w:val="subscript"/>
                <w:lang w:val="en-GB" w:eastAsia="en-US"/>
              </w:rPr>
              <w:t>4</w:t>
            </w:r>
            <w:r w:rsidRPr="00C81B1E">
              <w:rPr>
                <w:rFonts w:eastAsia="Calibri"/>
                <w:b/>
                <w:bCs/>
                <w:vertAlign w:val="superscript"/>
                <w:lang w:val="en-GB" w:eastAsia="en-US"/>
              </w:rPr>
              <w:t>-2</w:t>
            </w:r>
          </w:p>
        </w:tc>
        <w:tc>
          <w:tcPr>
            <w:tcW w:w="1167" w:type="dxa"/>
            <w:shd w:val="clear" w:color="auto" w:fill="auto"/>
            <w:noWrap/>
            <w:vAlign w:val="center"/>
            <w:hideMark/>
          </w:tcPr>
          <w:p w14:paraId="40013B36" w14:textId="77777777" w:rsidR="00C7764C" w:rsidRPr="00C81B1E" w:rsidRDefault="00C7764C" w:rsidP="00C81B1E">
            <w:pPr>
              <w:pStyle w:val="MDPI42tablebody"/>
              <w:rPr>
                <w:rFonts w:eastAsia="Calibri"/>
                <w:lang w:val="en-GB" w:eastAsia="en-US"/>
              </w:rPr>
            </w:pPr>
            <w:r w:rsidRPr="00C81B1E">
              <w:rPr>
                <w:rFonts w:eastAsia="Calibri"/>
                <w:lang w:val="en-GB" w:eastAsia="en-US"/>
              </w:rPr>
              <w:t>g/m</w:t>
            </w:r>
            <w:r w:rsidRPr="00C81B1E">
              <w:rPr>
                <w:rFonts w:eastAsia="Calibri"/>
                <w:vertAlign w:val="superscript"/>
                <w:lang w:val="en-GB" w:eastAsia="en-US"/>
              </w:rPr>
              <w:t>3</w:t>
            </w:r>
          </w:p>
        </w:tc>
        <w:tc>
          <w:tcPr>
            <w:tcW w:w="899" w:type="dxa"/>
            <w:shd w:val="clear" w:color="auto" w:fill="auto"/>
            <w:noWrap/>
            <w:vAlign w:val="center"/>
            <w:hideMark/>
          </w:tcPr>
          <w:p w14:paraId="0A4953F2" w14:textId="77777777" w:rsidR="00C7764C" w:rsidRPr="00C81B1E" w:rsidRDefault="00C7764C" w:rsidP="00C81B1E">
            <w:pPr>
              <w:pStyle w:val="MDPI42tablebody"/>
              <w:rPr>
                <w:rFonts w:eastAsia="Calibri"/>
                <w:lang w:val="en-GB" w:eastAsia="en-US"/>
              </w:rPr>
            </w:pPr>
            <w:r w:rsidRPr="00C81B1E">
              <w:rPr>
                <w:rFonts w:eastAsia="Calibri"/>
                <w:lang w:val="en-GB" w:eastAsia="en-US"/>
              </w:rPr>
              <w:t>TT</w:t>
            </w:r>
          </w:p>
        </w:tc>
        <w:tc>
          <w:tcPr>
            <w:tcW w:w="5567" w:type="dxa"/>
            <w:vMerge/>
            <w:shd w:val="clear" w:color="auto" w:fill="auto"/>
            <w:noWrap/>
            <w:vAlign w:val="center"/>
          </w:tcPr>
          <w:p w14:paraId="3A262FC6" w14:textId="77777777" w:rsidR="00C7764C" w:rsidRPr="00C81B1E" w:rsidRDefault="00C7764C" w:rsidP="00C81B1E">
            <w:pPr>
              <w:pStyle w:val="MDPI42tablebody"/>
              <w:rPr>
                <w:rFonts w:eastAsia="Calibri"/>
                <w:lang w:val="en-GB" w:eastAsia="en-US"/>
              </w:rPr>
            </w:pPr>
          </w:p>
        </w:tc>
      </w:tr>
      <w:tr w:rsidR="00C81B1E" w:rsidRPr="00C81B1E" w14:paraId="570243B7" w14:textId="77777777" w:rsidTr="00C81B1E">
        <w:trPr>
          <w:trHeight w:val="285"/>
        </w:trPr>
        <w:tc>
          <w:tcPr>
            <w:tcW w:w="1439" w:type="dxa"/>
            <w:tcBorders>
              <w:top w:val="single" w:sz="4" w:space="0" w:color="7F7F7F"/>
              <w:bottom w:val="single" w:sz="4" w:space="0" w:color="7F7F7F"/>
            </w:tcBorders>
            <w:shd w:val="clear" w:color="auto" w:fill="auto"/>
            <w:noWrap/>
            <w:vAlign w:val="center"/>
            <w:hideMark/>
          </w:tcPr>
          <w:p w14:paraId="329E3406"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Cl</w:t>
            </w:r>
            <w:r w:rsidRPr="00C81B1E">
              <w:rPr>
                <w:rFonts w:eastAsia="Calibri"/>
                <w:b/>
                <w:bCs/>
                <w:vertAlign w:val="superscript"/>
                <w:lang w:val="en-GB" w:eastAsia="en-US"/>
              </w:rPr>
              <w:t>-</w:t>
            </w:r>
          </w:p>
        </w:tc>
        <w:tc>
          <w:tcPr>
            <w:tcW w:w="1167" w:type="dxa"/>
            <w:tcBorders>
              <w:top w:val="single" w:sz="4" w:space="0" w:color="7F7F7F"/>
              <w:bottom w:val="single" w:sz="4" w:space="0" w:color="7F7F7F"/>
            </w:tcBorders>
            <w:shd w:val="clear" w:color="auto" w:fill="auto"/>
            <w:noWrap/>
            <w:vAlign w:val="center"/>
            <w:hideMark/>
          </w:tcPr>
          <w:p w14:paraId="7A3EA298" w14:textId="77777777" w:rsidR="00C7764C" w:rsidRPr="00C81B1E" w:rsidRDefault="00C7764C" w:rsidP="00C81B1E">
            <w:pPr>
              <w:pStyle w:val="MDPI42tablebody"/>
              <w:rPr>
                <w:rFonts w:eastAsia="Calibri"/>
                <w:lang w:val="en-GB" w:eastAsia="en-US"/>
              </w:rPr>
            </w:pPr>
            <w:r w:rsidRPr="00C81B1E">
              <w:rPr>
                <w:rFonts w:eastAsia="Calibri"/>
                <w:lang w:val="en-GB" w:eastAsia="en-US"/>
              </w:rPr>
              <w:t>g/m</w:t>
            </w:r>
            <w:r w:rsidRPr="00C81B1E">
              <w:rPr>
                <w:rFonts w:eastAsia="Calibri"/>
                <w:vertAlign w:val="superscript"/>
                <w:lang w:val="en-GB" w:eastAsia="en-US"/>
              </w:rPr>
              <w:t>3</w:t>
            </w:r>
          </w:p>
        </w:tc>
        <w:tc>
          <w:tcPr>
            <w:tcW w:w="899" w:type="dxa"/>
            <w:tcBorders>
              <w:top w:val="single" w:sz="4" w:space="0" w:color="7F7F7F"/>
              <w:bottom w:val="single" w:sz="4" w:space="0" w:color="7F7F7F"/>
            </w:tcBorders>
            <w:shd w:val="clear" w:color="auto" w:fill="auto"/>
            <w:noWrap/>
            <w:vAlign w:val="center"/>
            <w:hideMark/>
          </w:tcPr>
          <w:p w14:paraId="4FF087F2" w14:textId="77777777" w:rsidR="00C7764C" w:rsidRPr="00C81B1E" w:rsidRDefault="00C7764C" w:rsidP="00C81B1E">
            <w:pPr>
              <w:pStyle w:val="MDPI42tablebody"/>
              <w:rPr>
                <w:rFonts w:eastAsia="Calibri"/>
                <w:lang w:val="en-GB" w:eastAsia="en-US"/>
              </w:rPr>
            </w:pPr>
            <w:r w:rsidRPr="00C81B1E">
              <w:rPr>
                <w:rFonts w:eastAsia="Calibri"/>
                <w:lang w:val="en-GB" w:eastAsia="en-US"/>
              </w:rPr>
              <w:t>TT</w:t>
            </w:r>
          </w:p>
        </w:tc>
        <w:tc>
          <w:tcPr>
            <w:tcW w:w="5567" w:type="dxa"/>
            <w:vMerge/>
            <w:tcBorders>
              <w:top w:val="single" w:sz="4" w:space="0" w:color="7F7F7F"/>
              <w:bottom w:val="single" w:sz="4" w:space="0" w:color="7F7F7F"/>
            </w:tcBorders>
            <w:shd w:val="clear" w:color="auto" w:fill="auto"/>
            <w:noWrap/>
            <w:vAlign w:val="center"/>
          </w:tcPr>
          <w:p w14:paraId="599C29F3" w14:textId="77777777" w:rsidR="00C7764C" w:rsidRPr="00C81B1E" w:rsidRDefault="00C7764C" w:rsidP="00C81B1E">
            <w:pPr>
              <w:pStyle w:val="MDPI42tablebody"/>
              <w:rPr>
                <w:rFonts w:eastAsia="Calibri"/>
                <w:lang w:val="en-GB" w:eastAsia="en-US"/>
              </w:rPr>
            </w:pPr>
          </w:p>
        </w:tc>
      </w:tr>
    </w:tbl>
    <w:p w14:paraId="6DE8D29D" w14:textId="77777777" w:rsidR="00C7764C" w:rsidRPr="00C7764C" w:rsidRDefault="00C7764C" w:rsidP="00C7764C">
      <w:pPr>
        <w:spacing w:after="160" w:line="259" w:lineRule="auto"/>
        <w:rPr>
          <w:rFonts w:eastAsia="Calibri"/>
          <w:color w:val="auto"/>
          <w:sz w:val="16"/>
          <w:szCs w:val="16"/>
          <w:lang w:val="en-GB" w:eastAsia="en-US"/>
        </w:rPr>
      </w:pPr>
    </w:p>
    <w:p w14:paraId="17E4B12C" w14:textId="77777777" w:rsidR="00C7764C" w:rsidRPr="00C7764C" w:rsidRDefault="00C7764C" w:rsidP="00BA2E09">
      <w:pPr>
        <w:pStyle w:val="MDPI41tablecaption"/>
        <w:rPr>
          <w:rFonts w:eastAsia="Calibri"/>
          <w:lang w:val="en-GB" w:eastAsia="en-US"/>
        </w:rPr>
      </w:pPr>
      <w:r w:rsidRPr="00C7764C">
        <w:rPr>
          <w:rFonts w:eastAsia="Calibri"/>
          <w:b/>
          <w:lang w:val="en-GB" w:eastAsia="en-US"/>
        </w:rPr>
        <w:t xml:space="preserve">Table </w:t>
      </w:r>
      <w:r w:rsidRPr="00C7764C">
        <w:rPr>
          <w:rFonts w:eastAsia="Calibri"/>
          <w:b/>
          <w:lang w:val="en-GB" w:eastAsia="en-US"/>
        </w:rPr>
        <w:fldChar w:fldCharType="begin"/>
      </w:r>
      <w:r w:rsidRPr="00C7764C">
        <w:rPr>
          <w:rFonts w:eastAsia="Calibri"/>
          <w:b/>
          <w:lang w:val="en-GB" w:eastAsia="en-US"/>
        </w:rPr>
        <w:instrText xml:space="preserve"> SEQ Table \* ARABIC </w:instrText>
      </w:r>
      <w:r w:rsidRPr="00C7764C">
        <w:rPr>
          <w:rFonts w:eastAsia="Calibri"/>
          <w:b/>
          <w:lang w:val="en-GB" w:eastAsia="en-US"/>
        </w:rPr>
        <w:fldChar w:fldCharType="separate"/>
      </w:r>
      <w:r w:rsidRPr="00C7764C">
        <w:rPr>
          <w:rFonts w:eastAsia="Calibri"/>
          <w:b/>
          <w:noProof/>
          <w:lang w:val="en-GB" w:eastAsia="en-US"/>
        </w:rPr>
        <w:t>8</w:t>
      </w:r>
      <w:r w:rsidRPr="00C7764C">
        <w:rPr>
          <w:rFonts w:eastAsia="Calibri"/>
          <w:b/>
          <w:lang w:val="en-GB" w:eastAsia="en-US"/>
        </w:rPr>
        <w:fldChar w:fldCharType="end"/>
      </w:r>
      <w:r w:rsidRPr="00C7764C">
        <w:rPr>
          <w:rFonts w:eastAsia="Calibri"/>
          <w:lang w:val="en-GB" w:eastAsia="en-US"/>
        </w:rPr>
        <w:t>. Environmental indicators: impacts to soil</w:t>
      </w:r>
    </w:p>
    <w:tbl>
      <w:tblPr>
        <w:tblW w:w="9072" w:type="dxa"/>
        <w:tblBorders>
          <w:top w:val="single" w:sz="4" w:space="0" w:color="7F7F7F"/>
          <w:bottom w:val="single" w:sz="4" w:space="0" w:color="7F7F7F"/>
        </w:tblBorders>
        <w:tblLook w:val="04A0" w:firstRow="1" w:lastRow="0" w:firstColumn="1" w:lastColumn="0" w:noHBand="0" w:noVBand="1"/>
      </w:tblPr>
      <w:tblGrid>
        <w:gridCol w:w="1668"/>
        <w:gridCol w:w="1476"/>
        <w:gridCol w:w="899"/>
        <w:gridCol w:w="5029"/>
      </w:tblGrid>
      <w:tr w:rsidR="00C81B1E" w:rsidRPr="00C81B1E" w14:paraId="35FC51C3" w14:textId="77777777" w:rsidTr="00C81B1E">
        <w:trPr>
          <w:trHeight w:val="255"/>
        </w:trPr>
        <w:tc>
          <w:tcPr>
            <w:tcW w:w="1668" w:type="dxa"/>
            <w:tcBorders>
              <w:bottom w:val="single" w:sz="4" w:space="0" w:color="7F7F7F"/>
            </w:tcBorders>
            <w:shd w:val="clear" w:color="auto" w:fill="auto"/>
            <w:noWrap/>
            <w:vAlign w:val="center"/>
          </w:tcPr>
          <w:p w14:paraId="3B6D9A42"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Indicator</w:t>
            </w:r>
          </w:p>
        </w:tc>
        <w:tc>
          <w:tcPr>
            <w:tcW w:w="1476" w:type="dxa"/>
            <w:tcBorders>
              <w:bottom w:val="single" w:sz="4" w:space="0" w:color="7F7F7F"/>
            </w:tcBorders>
            <w:shd w:val="clear" w:color="auto" w:fill="auto"/>
            <w:noWrap/>
            <w:vAlign w:val="center"/>
          </w:tcPr>
          <w:p w14:paraId="76C3B56F"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Example or unit</w:t>
            </w:r>
          </w:p>
        </w:tc>
        <w:tc>
          <w:tcPr>
            <w:tcW w:w="899" w:type="dxa"/>
            <w:tcBorders>
              <w:bottom w:val="single" w:sz="4" w:space="0" w:color="7F7F7F"/>
            </w:tcBorders>
            <w:shd w:val="clear" w:color="auto" w:fill="auto"/>
            <w:noWrap/>
            <w:vAlign w:val="center"/>
          </w:tcPr>
          <w:p w14:paraId="4D144CE6"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FWMS</w:t>
            </w:r>
          </w:p>
        </w:tc>
        <w:tc>
          <w:tcPr>
            <w:tcW w:w="5029" w:type="dxa"/>
            <w:tcBorders>
              <w:bottom w:val="single" w:sz="4" w:space="0" w:color="7F7F7F"/>
            </w:tcBorders>
            <w:shd w:val="clear" w:color="auto" w:fill="auto"/>
            <w:noWrap/>
            <w:vAlign w:val="center"/>
          </w:tcPr>
          <w:p w14:paraId="1ED6EAD9"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Reference</w:t>
            </w:r>
          </w:p>
        </w:tc>
      </w:tr>
      <w:tr w:rsidR="00C81B1E" w:rsidRPr="00C81B1E" w14:paraId="4869C1DB" w14:textId="77777777" w:rsidTr="00C81B1E">
        <w:trPr>
          <w:trHeight w:val="255"/>
        </w:trPr>
        <w:tc>
          <w:tcPr>
            <w:tcW w:w="1668" w:type="dxa"/>
            <w:tcBorders>
              <w:top w:val="single" w:sz="4" w:space="0" w:color="7F7F7F"/>
              <w:bottom w:val="single" w:sz="4" w:space="0" w:color="7F7F7F"/>
            </w:tcBorders>
            <w:shd w:val="clear" w:color="auto" w:fill="auto"/>
            <w:noWrap/>
            <w:vAlign w:val="center"/>
            <w:hideMark/>
          </w:tcPr>
          <w:p w14:paraId="2BD971E5"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Solid residue flow rate</w:t>
            </w:r>
          </w:p>
        </w:tc>
        <w:tc>
          <w:tcPr>
            <w:tcW w:w="1476" w:type="dxa"/>
            <w:tcBorders>
              <w:top w:val="single" w:sz="4" w:space="0" w:color="7F7F7F"/>
              <w:bottom w:val="single" w:sz="4" w:space="0" w:color="7F7F7F"/>
            </w:tcBorders>
            <w:shd w:val="clear" w:color="auto" w:fill="auto"/>
            <w:noWrap/>
            <w:vAlign w:val="center"/>
            <w:hideMark/>
          </w:tcPr>
          <w:p w14:paraId="4FF31FAE" w14:textId="77777777" w:rsidR="00C7764C" w:rsidRPr="00C81B1E" w:rsidRDefault="00C7764C" w:rsidP="00C81B1E">
            <w:pPr>
              <w:pStyle w:val="MDPI42tablebody"/>
              <w:rPr>
                <w:rFonts w:eastAsia="Calibri"/>
                <w:lang w:val="en-GB" w:eastAsia="en-US"/>
              </w:rPr>
            </w:pPr>
            <w:r w:rsidRPr="00C81B1E">
              <w:rPr>
                <w:rFonts w:eastAsia="Calibri"/>
                <w:lang w:val="en-GB" w:eastAsia="en-US"/>
              </w:rPr>
              <w:t>kg/day</w:t>
            </w:r>
          </w:p>
        </w:tc>
        <w:tc>
          <w:tcPr>
            <w:tcW w:w="899" w:type="dxa"/>
            <w:tcBorders>
              <w:top w:val="single" w:sz="4" w:space="0" w:color="7F7F7F"/>
              <w:bottom w:val="single" w:sz="4" w:space="0" w:color="7F7F7F"/>
            </w:tcBorders>
            <w:shd w:val="clear" w:color="auto" w:fill="auto"/>
            <w:noWrap/>
            <w:vAlign w:val="center"/>
            <w:hideMark/>
          </w:tcPr>
          <w:p w14:paraId="3D13269C"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 TT</w:t>
            </w:r>
          </w:p>
        </w:tc>
        <w:tc>
          <w:tcPr>
            <w:tcW w:w="5029" w:type="dxa"/>
            <w:vMerge w:val="restart"/>
            <w:tcBorders>
              <w:top w:val="single" w:sz="4" w:space="0" w:color="7F7F7F"/>
              <w:bottom w:val="single" w:sz="4" w:space="0" w:color="7F7F7F"/>
            </w:tcBorders>
            <w:shd w:val="clear" w:color="auto" w:fill="auto"/>
            <w:noWrap/>
            <w:vAlign w:val="center"/>
            <w:hideMark/>
          </w:tcPr>
          <w:p w14:paraId="22BD04B1"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AD: </w:t>
            </w:r>
            <w:r w:rsidRPr="00C81B1E">
              <w:rPr>
                <w:rFonts w:eastAsia="Calibri"/>
                <w:lang w:val="en-GB" w:eastAsia="en-US"/>
              </w:rPr>
              <w:fldChar w:fldCharType="begin" w:fldLock="1"/>
            </w:r>
            <w:r w:rsidRPr="00C81B1E">
              <w:rPr>
                <w:rFonts w:eastAsia="Calibri"/>
                <w:lang w:val="en-GB" w:eastAsia="en-US"/>
              </w:rPr>
              <w:instrText>ADDIN CSL_CITATION {"citationItems":[{"id":"ITEM-1","itemData":{"ISBN":"0580617300","abstract":"Food products, Anaerobic bacteria, Digestive system, Agricultural products, Microorganisms, Microbiology","author":[{"dropping-particle":"","family":"British Standards Institution","given":"","non-dropping-particle":"","parse-names":false,"suffix":""}],"id":"ITEM-1","issued":{"date-parts":[["2014"]]},"title":"PAS 110:2014. Specification for whole digestate, separated liquor and separated fibre derived from the anaerobic digestion of source-segregated biodegradable materials","type":"report"},"uris":["http://www.mendeley.com/documents/?uuid=a1334019-daa9-4ee5-bd60-cd891a066519"]}],"mendeley":{"formattedCitation":"(British Standards Institution, 2014)","manualFormatting":"British Standards Institution (2014)","plainTextFormattedCitation":"(British Standards Institution, 2014)","previouslyFormattedCitation":"(British Standards Institution, 2014)"},"properties":{"noteIndex":0},"schema":"https://github.com/citation-style-language/schema/raw/master/csl-citation.json"}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British Standards Institution (2014)</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{"citationItems":[{"id":"ITEM-1","itemData":{"DOI":"10.1128/AEM.71.9.4951","ISBN":"058045195X","author":[{"dropping-particle":"","family":"British Standards Institution","given":"","non-dropping-particle":"","parse-names":false,"suffix":""}],"id":"ITEM-1","issued":{"date-parts":[["2011"]]},"title":"PAS 100:2011 Specification for Composted Materials","type":"report","volume":"January"},"uris":["http://www.mendeley.com/documents/?uuid=f0f7c64c-b25d-4a88-8d84-9a437c7611e0"]}],"mendeley":{"formattedCitation":"(British Standards Institution, 2011)","manualFormatting":"British Standards Institution (2011)","plainTextFormattedCitation":"(British Standards Institution, 2011)","previouslyFormattedCitation":"(British Standards Institution, 2011)"},"properties":{"noteIndex":0},"schema":"https://github.com/citation-style-language/schema/raw/master/csl-citation.json"}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British Standards Institution (2011)</w:t>
            </w:r>
            <w:r w:rsidRPr="00C81B1E">
              <w:rPr>
                <w:rFonts w:eastAsia="Calibri"/>
                <w:lang w:val="en-GB" w:eastAsia="en-US"/>
              </w:rPr>
              <w:fldChar w:fldCharType="end"/>
            </w:r>
            <w:r w:rsidRPr="00C81B1E">
              <w:rPr>
                <w:rFonts w:eastAsia="Calibri"/>
                <w:lang w:val="en-GB" w:eastAsia="en-US"/>
              </w:rPr>
              <w:t xml:space="preserve">, TT: </w:t>
            </w:r>
            <w:r w:rsidRPr="00C81B1E">
              <w:rPr>
                <w:rFonts w:eastAsia="Calibri"/>
                <w:lang w:val="en-GB" w:eastAsia="en-US"/>
              </w:rPr>
              <w:fldChar w:fldCharType="begin" w:fldLock="1"/>
            </w:r>
            <w:r w:rsidRPr="00C81B1E">
              <w:rPr>
                <w:rFonts w:eastAsia="Calibri"/>
                <w:lang w:val="en-GB" w:eastAsia="en-US"/>
              </w:rPr>
              <w:instrText>ADDIN CSL_CITATION {"citationItems":[{"id":"ITEM-1","itemData":{"abstract":"This project deals with combustion installations with a rated thermal\\ninput exceeding 50 MW. Plants with a thermal input lower than 50\\nMW are, however, discussed where technically relevant because smaller\\nunits can potentially be added to a plant to build one larger installation\\nexceeding 50 MW. All kinds of conventional power plants (e.g. utility\\nboiler plants, combined heat and power plants, district heating plants)\\nused for mechanical power and heat generation are covered in this\\nwork. Industrial combustion installations are covered if they use\\nconventional fuel. The commercial availability of the fuel on the\\nmarket has been used as an indicator to identify conventional fuels.\\nThe criterion for classifying a fuel as a 'conventional fuel' is\\na known composition which remains relatively constant, and indeed\\nis usually standardised. Coal, lignite, biomass, peat, liquid and\\ngaseous fuels (including hydrogen and biogas) are regarded as conventional\\nfuels. The use of waste as a secondary fuel is also covered in this\\nwork.","author":[{"dropping-particle":"","family":"European Commission","given":"","non-dropping-particle":"","parse-names":false,"suffix":""}],"container-title":"Integrated Pollution Prevention Control","id":"ITEM-1","issue":"August","issued":{"date-parts":[["2006"]]},"title":"Reference Document on the Best Available Techniques for Waste Incineration","type":"article-journal"},"uris":["http://www.mendeley.com/documents/?uuid=cafb8d98-221f-4574-9995-e04c7a48fca0"]}],"mendeley":{"formattedCitation":"(European Commission, 2006a)","manualFormatting":"European Commission (2006c)","plainTextFormattedCitation":"(European Commission, 2006a)","previouslyFormattedCitation":"(European Commission, 2006a)"},"properties":{"noteIndex":0},"schema":"https://github.com/citation-style-language/schema/raw/master/csl-citation.json"}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European Commission (2006c)</w:t>
            </w:r>
            <w:r w:rsidRPr="00C81B1E">
              <w:rPr>
                <w:rFonts w:eastAsia="Calibri"/>
                <w:lang w:val="en-GB" w:eastAsia="en-US"/>
              </w:rPr>
              <w:fldChar w:fldCharType="end"/>
            </w:r>
          </w:p>
        </w:tc>
      </w:tr>
      <w:tr w:rsidR="00C81B1E" w:rsidRPr="00C81B1E" w14:paraId="72200529" w14:textId="77777777" w:rsidTr="00C81B1E">
        <w:trPr>
          <w:trHeight w:val="255"/>
        </w:trPr>
        <w:tc>
          <w:tcPr>
            <w:tcW w:w="1668" w:type="dxa"/>
            <w:shd w:val="clear" w:color="auto" w:fill="auto"/>
            <w:noWrap/>
            <w:vAlign w:val="center"/>
            <w:hideMark/>
          </w:tcPr>
          <w:p w14:paraId="1C3EDA4F"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Cu</w:t>
            </w:r>
          </w:p>
        </w:tc>
        <w:tc>
          <w:tcPr>
            <w:tcW w:w="1476" w:type="dxa"/>
            <w:shd w:val="clear" w:color="auto" w:fill="auto"/>
            <w:noWrap/>
            <w:vAlign w:val="center"/>
            <w:hideMark/>
          </w:tcPr>
          <w:p w14:paraId="3249C3D2" w14:textId="77777777" w:rsidR="00C7764C" w:rsidRPr="00C81B1E" w:rsidRDefault="00C7764C" w:rsidP="00C81B1E">
            <w:pPr>
              <w:pStyle w:val="MDPI42tablebody"/>
              <w:rPr>
                <w:rFonts w:eastAsia="Calibri"/>
                <w:lang w:val="en-GB" w:eastAsia="en-US"/>
              </w:rPr>
            </w:pPr>
            <w:r w:rsidRPr="00C81B1E">
              <w:rPr>
                <w:rFonts w:eastAsia="Calibri"/>
                <w:lang w:val="en-GB" w:eastAsia="en-US"/>
              </w:rPr>
              <w:t>mg/kg</w:t>
            </w:r>
          </w:p>
        </w:tc>
        <w:tc>
          <w:tcPr>
            <w:tcW w:w="899" w:type="dxa"/>
            <w:shd w:val="clear" w:color="auto" w:fill="auto"/>
            <w:noWrap/>
            <w:vAlign w:val="center"/>
            <w:hideMark/>
          </w:tcPr>
          <w:p w14:paraId="52EA0ED4"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 TT</w:t>
            </w:r>
          </w:p>
        </w:tc>
        <w:tc>
          <w:tcPr>
            <w:tcW w:w="5029" w:type="dxa"/>
            <w:vMerge/>
            <w:shd w:val="clear" w:color="auto" w:fill="auto"/>
            <w:noWrap/>
            <w:vAlign w:val="center"/>
          </w:tcPr>
          <w:p w14:paraId="7847B60D" w14:textId="77777777" w:rsidR="00C7764C" w:rsidRPr="00C81B1E" w:rsidRDefault="00C7764C" w:rsidP="00C81B1E">
            <w:pPr>
              <w:pStyle w:val="MDPI42tablebody"/>
              <w:rPr>
                <w:rFonts w:eastAsia="Calibri"/>
                <w:lang w:val="en-GB" w:eastAsia="en-US"/>
              </w:rPr>
            </w:pPr>
          </w:p>
        </w:tc>
      </w:tr>
      <w:tr w:rsidR="00C81B1E" w:rsidRPr="00C81B1E" w14:paraId="6966A30B" w14:textId="77777777" w:rsidTr="00C81B1E">
        <w:trPr>
          <w:trHeight w:val="255"/>
        </w:trPr>
        <w:tc>
          <w:tcPr>
            <w:tcW w:w="1668" w:type="dxa"/>
            <w:tcBorders>
              <w:top w:val="single" w:sz="4" w:space="0" w:color="7F7F7F"/>
              <w:bottom w:val="single" w:sz="4" w:space="0" w:color="7F7F7F"/>
            </w:tcBorders>
            <w:shd w:val="clear" w:color="auto" w:fill="auto"/>
            <w:noWrap/>
            <w:vAlign w:val="center"/>
            <w:hideMark/>
          </w:tcPr>
          <w:p w14:paraId="5172DA39"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Zn</w:t>
            </w:r>
          </w:p>
        </w:tc>
        <w:tc>
          <w:tcPr>
            <w:tcW w:w="1476" w:type="dxa"/>
            <w:tcBorders>
              <w:top w:val="single" w:sz="4" w:space="0" w:color="7F7F7F"/>
              <w:bottom w:val="single" w:sz="4" w:space="0" w:color="7F7F7F"/>
            </w:tcBorders>
            <w:shd w:val="clear" w:color="auto" w:fill="auto"/>
            <w:noWrap/>
            <w:vAlign w:val="center"/>
            <w:hideMark/>
          </w:tcPr>
          <w:p w14:paraId="3E2A9EF0" w14:textId="77777777" w:rsidR="00C7764C" w:rsidRPr="00C81B1E" w:rsidRDefault="00C7764C" w:rsidP="00C81B1E">
            <w:pPr>
              <w:pStyle w:val="MDPI42tablebody"/>
              <w:rPr>
                <w:rFonts w:eastAsia="Calibri"/>
                <w:lang w:val="en-GB" w:eastAsia="en-US"/>
              </w:rPr>
            </w:pPr>
            <w:r w:rsidRPr="00C81B1E">
              <w:rPr>
                <w:rFonts w:eastAsia="Calibri"/>
                <w:lang w:val="en-GB" w:eastAsia="en-US"/>
              </w:rPr>
              <w:t>mg/kg</w:t>
            </w:r>
          </w:p>
        </w:tc>
        <w:tc>
          <w:tcPr>
            <w:tcW w:w="899" w:type="dxa"/>
            <w:tcBorders>
              <w:top w:val="single" w:sz="4" w:space="0" w:color="7F7F7F"/>
              <w:bottom w:val="single" w:sz="4" w:space="0" w:color="7F7F7F"/>
            </w:tcBorders>
            <w:shd w:val="clear" w:color="auto" w:fill="auto"/>
            <w:noWrap/>
            <w:vAlign w:val="center"/>
            <w:hideMark/>
          </w:tcPr>
          <w:p w14:paraId="04203C0D"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 TT</w:t>
            </w:r>
          </w:p>
        </w:tc>
        <w:tc>
          <w:tcPr>
            <w:tcW w:w="5029" w:type="dxa"/>
            <w:vMerge/>
            <w:tcBorders>
              <w:top w:val="single" w:sz="4" w:space="0" w:color="7F7F7F"/>
              <w:bottom w:val="single" w:sz="4" w:space="0" w:color="7F7F7F"/>
            </w:tcBorders>
            <w:shd w:val="clear" w:color="auto" w:fill="auto"/>
            <w:noWrap/>
            <w:vAlign w:val="center"/>
          </w:tcPr>
          <w:p w14:paraId="63AC708C" w14:textId="77777777" w:rsidR="00C7764C" w:rsidRPr="00C81B1E" w:rsidRDefault="00C7764C" w:rsidP="00C81B1E">
            <w:pPr>
              <w:pStyle w:val="MDPI42tablebody"/>
              <w:rPr>
                <w:rFonts w:eastAsia="Calibri"/>
                <w:lang w:val="en-GB" w:eastAsia="en-US"/>
              </w:rPr>
            </w:pPr>
          </w:p>
        </w:tc>
      </w:tr>
      <w:tr w:rsidR="00C81B1E" w:rsidRPr="00C81B1E" w14:paraId="692A1BD3" w14:textId="77777777" w:rsidTr="00C81B1E">
        <w:trPr>
          <w:trHeight w:val="255"/>
        </w:trPr>
        <w:tc>
          <w:tcPr>
            <w:tcW w:w="1668" w:type="dxa"/>
            <w:shd w:val="clear" w:color="auto" w:fill="auto"/>
            <w:noWrap/>
            <w:vAlign w:val="center"/>
            <w:hideMark/>
          </w:tcPr>
          <w:p w14:paraId="2189C453"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Nutrient content: N</w:t>
            </w:r>
          </w:p>
        </w:tc>
        <w:tc>
          <w:tcPr>
            <w:tcW w:w="1476" w:type="dxa"/>
            <w:shd w:val="clear" w:color="auto" w:fill="auto"/>
            <w:noWrap/>
            <w:vAlign w:val="center"/>
            <w:hideMark/>
          </w:tcPr>
          <w:p w14:paraId="3D3D6A23" w14:textId="77777777" w:rsidR="00C7764C" w:rsidRPr="00C81B1E" w:rsidRDefault="00C7764C" w:rsidP="00C81B1E">
            <w:pPr>
              <w:pStyle w:val="MDPI42tablebody"/>
              <w:rPr>
                <w:rFonts w:eastAsia="Calibri"/>
                <w:lang w:val="en-GB" w:eastAsia="en-US"/>
              </w:rPr>
            </w:pPr>
            <w:r w:rsidRPr="00C81B1E">
              <w:rPr>
                <w:rFonts w:eastAsia="Calibri"/>
                <w:lang w:val="en-GB" w:eastAsia="en-US"/>
              </w:rPr>
              <w:t>g N/kg</w:t>
            </w:r>
          </w:p>
        </w:tc>
        <w:tc>
          <w:tcPr>
            <w:tcW w:w="899" w:type="dxa"/>
            <w:shd w:val="clear" w:color="auto" w:fill="auto"/>
            <w:noWrap/>
            <w:vAlign w:val="center"/>
            <w:hideMark/>
          </w:tcPr>
          <w:p w14:paraId="781D8D37"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w:t>
            </w:r>
          </w:p>
        </w:tc>
        <w:tc>
          <w:tcPr>
            <w:tcW w:w="5029" w:type="dxa"/>
            <w:vMerge w:val="restart"/>
            <w:shd w:val="clear" w:color="auto" w:fill="auto"/>
            <w:noWrap/>
            <w:vAlign w:val="center"/>
            <w:hideMark/>
          </w:tcPr>
          <w:p w14:paraId="20BF6248"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AD: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{"citationItems":[{"id":"ITEM-1","itemData":{"DOI":"10.1016/j.jenvman.2010.10.021","ISBN":"0301-4797","ISSN":"03014797","PMID":"21050654","abstract":"During anaerobic digestion of organic waste, both energy-rich biogas and a nutrient-rich digestate are produced. The digestate can be used as a fertiliser in agricultural soils if the levels of hazardous compounds and pathogens are low. This article reviews the main findings about phenols in anaerobic digestion processes degrading organic solid wastes, and examines the effect of process temperature on the anaerobic degradation of phenols, the microbial community and the quality of the digestate. The degradation efficiency of a number of different phenols has been shown to be correlated to the process temperature. Higher degradation efficiency is observed at mesophilic process temperature than at thermophilic temperature. Possible explanations for this variation in the degradation of phenols include differences in diversity, particularly of the phenol-degrading bacteria, and/or the presence of temperature-sensitive enzymes. Chemical analysis of digestate from bioreactors operating at thermophilic temperature detected a higher content of phenols compared to mesophilic bioreactors, verifying the degradation results. Digestate with the highest phenol content has the greatest negative impact on soil microbial activity. © 2010 Elsevier Ltd.","author":[{"dropping-particle":"","family":"Levén","given":"Lotta","non-dropping-particle":"","parse-names":false,"suffix":""},{"dropping-particle":"","family":"Nyberg","given":"Karin","non-dropping-particle":"","parse-names":false,"suffix":""},{"dropping-particle":"","family":"Schnürer","given":"Anna","non-dropping-particle":"","parse-names":false,"suffix":""}],"container-title":"Journal of Environmental Management","id":"ITEM-1","issue":"SUPPL.","issued":{"date-parts":[["2012"]]},"page":"S99-S103","publisher":"Elsevier Ltd","title":"Conversion of phenols during anaerobic digestion of organic solid waste - A review of important microorganisms and impact of temperature","type":"article-journal","volume":"95"},"uris":["http://www.mendeley.com/documents/?uuid=46374ed3-07d8-4cba-b723-e58cb13d563e"]}],"mendeley":{"formattedCitation":"(Levén et al., 2012)","manualFormatting":"Levén et al. (2012)","plainTextFormattedCitation":"(Levén et al., 2012)","previouslyFormattedCitation":"(Levén et al., 2012)"},"properties":{"noteIndex":0},"schema":"https://github.com/citation-style-language/schema/raw/master/csl-citation.json"}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Levén et al. (2012)</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{"citationItems":[{"id":"ITEM-1","itemData":{"ISSN":"02765055","author":[{"dropping-particle":"","family":"WRAP","given":"","non-dropping-particle":"","parse-names":false,"suffix":""}],"id":"ITEM-1","issue":"February","issued":{"date-parts":[["2016"]]},"publisher-place":"Banbury (UK)","title":"Digestate and compost use in agriculture. Good practice guidance for agricultural contractors","type":"report"},"uris":["http://www.mendeley.com/documents/?uuid=bfff9184-ca36-4b7d-95f7-ce36a8509b29"]}],"mendeley":{"formattedCitation":"(WRAP, 2016)","manualFormatting":"WRAP (2016)","plainTextFormattedCitation":"(WRAP, 2016)","previouslyFormattedCitation":"(WRAP, 2016)"},"properties":{"noteIndex":0},"schema":"https://github.com/citation-style-language/schema/raw/master/csl-citation.json"}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WRAP (2016)</w:t>
            </w:r>
            <w:r w:rsidRPr="00C81B1E">
              <w:rPr>
                <w:rFonts w:eastAsia="Calibri"/>
                <w:lang w:val="en-GB" w:eastAsia="en-US"/>
              </w:rPr>
              <w:fldChar w:fldCharType="end"/>
            </w:r>
          </w:p>
        </w:tc>
      </w:tr>
      <w:tr w:rsidR="00C81B1E" w:rsidRPr="00C81B1E" w14:paraId="2B2970BE" w14:textId="77777777" w:rsidTr="00C81B1E">
        <w:trPr>
          <w:trHeight w:val="315"/>
        </w:trPr>
        <w:tc>
          <w:tcPr>
            <w:tcW w:w="1668" w:type="dxa"/>
            <w:tcBorders>
              <w:top w:val="single" w:sz="4" w:space="0" w:color="7F7F7F"/>
              <w:bottom w:val="single" w:sz="4" w:space="0" w:color="7F7F7F"/>
            </w:tcBorders>
            <w:shd w:val="clear" w:color="auto" w:fill="auto"/>
            <w:noWrap/>
            <w:vAlign w:val="center"/>
            <w:hideMark/>
          </w:tcPr>
          <w:p w14:paraId="0F7A6C49"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Nutrient content: P</w:t>
            </w:r>
          </w:p>
        </w:tc>
        <w:tc>
          <w:tcPr>
            <w:tcW w:w="1476" w:type="dxa"/>
            <w:tcBorders>
              <w:top w:val="single" w:sz="4" w:space="0" w:color="7F7F7F"/>
              <w:bottom w:val="single" w:sz="4" w:space="0" w:color="7F7F7F"/>
            </w:tcBorders>
            <w:shd w:val="clear" w:color="auto" w:fill="auto"/>
            <w:noWrap/>
            <w:vAlign w:val="center"/>
            <w:hideMark/>
          </w:tcPr>
          <w:p w14:paraId="6698DEF2" w14:textId="77777777" w:rsidR="00C7764C" w:rsidRPr="00C81B1E" w:rsidRDefault="00C7764C" w:rsidP="00C81B1E">
            <w:pPr>
              <w:pStyle w:val="MDPI42tablebody"/>
              <w:rPr>
                <w:rFonts w:eastAsia="Calibri"/>
                <w:lang w:val="en-GB" w:eastAsia="en-US"/>
              </w:rPr>
            </w:pPr>
            <w:r w:rsidRPr="00C81B1E">
              <w:rPr>
                <w:rFonts w:eastAsia="Calibri"/>
                <w:lang w:val="en-GB" w:eastAsia="en-US"/>
              </w:rPr>
              <w:t>g P</w:t>
            </w:r>
            <w:r w:rsidRPr="00C81B1E">
              <w:rPr>
                <w:rFonts w:eastAsia="Calibri"/>
                <w:vertAlign w:val="subscript"/>
                <w:lang w:val="en-GB" w:eastAsia="en-US"/>
              </w:rPr>
              <w:t>2</w:t>
            </w:r>
            <w:r w:rsidRPr="00C81B1E">
              <w:rPr>
                <w:rFonts w:eastAsia="Calibri"/>
                <w:lang w:val="en-GB" w:eastAsia="en-US"/>
              </w:rPr>
              <w:t>O</w:t>
            </w:r>
            <w:r w:rsidRPr="00C81B1E">
              <w:rPr>
                <w:rFonts w:eastAsia="Calibri"/>
                <w:vertAlign w:val="subscript"/>
                <w:lang w:val="en-GB" w:eastAsia="en-US"/>
              </w:rPr>
              <w:t>5</w:t>
            </w:r>
            <w:r w:rsidRPr="00C81B1E">
              <w:rPr>
                <w:rFonts w:eastAsia="Calibri"/>
                <w:lang w:val="en-GB" w:eastAsia="en-US"/>
              </w:rPr>
              <w:t>/kg</w:t>
            </w:r>
          </w:p>
        </w:tc>
        <w:tc>
          <w:tcPr>
            <w:tcW w:w="899" w:type="dxa"/>
            <w:tcBorders>
              <w:top w:val="single" w:sz="4" w:space="0" w:color="7F7F7F"/>
              <w:bottom w:val="single" w:sz="4" w:space="0" w:color="7F7F7F"/>
            </w:tcBorders>
            <w:shd w:val="clear" w:color="auto" w:fill="auto"/>
            <w:noWrap/>
            <w:vAlign w:val="center"/>
            <w:hideMark/>
          </w:tcPr>
          <w:p w14:paraId="11ADCD1F"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w:t>
            </w:r>
          </w:p>
        </w:tc>
        <w:tc>
          <w:tcPr>
            <w:tcW w:w="5029" w:type="dxa"/>
            <w:vMerge/>
            <w:tcBorders>
              <w:top w:val="single" w:sz="4" w:space="0" w:color="7F7F7F"/>
              <w:bottom w:val="single" w:sz="4" w:space="0" w:color="7F7F7F"/>
            </w:tcBorders>
            <w:shd w:val="clear" w:color="auto" w:fill="auto"/>
            <w:noWrap/>
            <w:vAlign w:val="center"/>
          </w:tcPr>
          <w:p w14:paraId="53A2E49E" w14:textId="77777777" w:rsidR="00C7764C" w:rsidRPr="00C81B1E" w:rsidRDefault="00C7764C" w:rsidP="00C81B1E">
            <w:pPr>
              <w:pStyle w:val="MDPI42tablebody"/>
              <w:rPr>
                <w:rFonts w:eastAsia="Calibri"/>
                <w:lang w:val="en-GB" w:eastAsia="en-US"/>
              </w:rPr>
            </w:pPr>
          </w:p>
        </w:tc>
      </w:tr>
      <w:tr w:rsidR="00C81B1E" w:rsidRPr="00C81B1E" w14:paraId="5CC13AA0" w14:textId="77777777" w:rsidTr="00C81B1E">
        <w:trPr>
          <w:trHeight w:val="315"/>
        </w:trPr>
        <w:tc>
          <w:tcPr>
            <w:tcW w:w="1668" w:type="dxa"/>
            <w:shd w:val="clear" w:color="auto" w:fill="auto"/>
            <w:noWrap/>
            <w:vAlign w:val="center"/>
            <w:hideMark/>
          </w:tcPr>
          <w:p w14:paraId="6FD6FFB6"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Nutrient content: K</w:t>
            </w:r>
          </w:p>
        </w:tc>
        <w:tc>
          <w:tcPr>
            <w:tcW w:w="1476" w:type="dxa"/>
            <w:shd w:val="clear" w:color="auto" w:fill="auto"/>
            <w:noWrap/>
            <w:vAlign w:val="center"/>
            <w:hideMark/>
          </w:tcPr>
          <w:p w14:paraId="261CEF64" w14:textId="77777777" w:rsidR="00C7764C" w:rsidRPr="00C81B1E" w:rsidRDefault="00C7764C" w:rsidP="00C81B1E">
            <w:pPr>
              <w:pStyle w:val="MDPI42tablebody"/>
              <w:rPr>
                <w:rFonts w:eastAsia="Calibri"/>
                <w:lang w:val="en-GB" w:eastAsia="en-US"/>
              </w:rPr>
            </w:pPr>
            <w:r w:rsidRPr="00C81B1E">
              <w:rPr>
                <w:rFonts w:eastAsia="Calibri"/>
                <w:lang w:val="en-GB" w:eastAsia="en-US"/>
              </w:rPr>
              <w:t>g K</w:t>
            </w:r>
            <w:r w:rsidRPr="00C81B1E">
              <w:rPr>
                <w:rFonts w:eastAsia="Calibri"/>
                <w:vertAlign w:val="subscript"/>
                <w:lang w:val="en-GB" w:eastAsia="en-US"/>
              </w:rPr>
              <w:t>2</w:t>
            </w:r>
            <w:r w:rsidRPr="00C81B1E">
              <w:rPr>
                <w:rFonts w:eastAsia="Calibri"/>
                <w:lang w:val="en-GB" w:eastAsia="en-US"/>
              </w:rPr>
              <w:t>O/kg</w:t>
            </w:r>
          </w:p>
        </w:tc>
        <w:tc>
          <w:tcPr>
            <w:tcW w:w="899" w:type="dxa"/>
            <w:shd w:val="clear" w:color="auto" w:fill="auto"/>
            <w:noWrap/>
            <w:vAlign w:val="center"/>
            <w:hideMark/>
          </w:tcPr>
          <w:p w14:paraId="3F1895FC"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w:t>
            </w:r>
          </w:p>
        </w:tc>
        <w:tc>
          <w:tcPr>
            <w:tcW w:w="5029" w:type="dxa"/>
            <w:vMerge/>
            <w:shd w:val="clear" w:color="auto" w:fill="auto"/>
            <w:noWrap/>
            <w:vAlign w:val="center"/>
          </w:tcPr>
          <w:p w14:paraId="2D3EC967" w14:textId="77777777" w:rsidR="00C7764C" w:rsidRPr="00C81B1E" w:rsidRDefault="00C7764C" w:rsidP="00C81B1E">
            <w:pPr>
              <w:pStyle w:val="MDPI42tablebody"/>
              <w:rPr>
                <w:rFonts w:eastAsia="Calibri"/>
                <w:lang w:val="en-GB" w:eastAsia="en-US"/>
              </w:rPr>
            </w:pPr>
          </w:p>
        </w:tc>
      </w:tr>
      <w:tr w:rsidR="00C81B1E" w:rsidRPr="00C81B1E" w14:paraId="7A43D082" w14:textId="77777777" w:rsidTr="00C81B1E">
        <w:trPr>
          <w:trHeight w:val="255"/>
        </w:trPr>
        <w:tc>
          <w:tcPr>
            <w:tcW w:w="1668" w:type="dxa"/>
            <w:tcBorders>
              <w:top w:val="single" w:sz="4" w:space="0" w:color="7F7F7F"/>
              <w:bottom w:val="single" w:sz="4" w:space="0" w:color="7F7F7F"/>
            </w:tcBorders>
            <w:shd w:val="clear" w:color="auto" w:fill="auto"/>
            <w:noWrap/>
            <w:vAlign w:val="center"/>
            <w:hideMark/>
          </w:tcPr>
          <w:p w14:paraId="7BF2ED87"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Nutrient content: Mg</w:t>
            </w:r>
          </w:p>
        </w:tc>
        <w:tc>
          <w:tcPr>
            <w:tcW w:w="1476" w:type="dxa"/>
            <w:tcBorders>
              <w:top w:val="single" w:sz="4" w:space="0" w:color="7F7F7F"/>
              <w:bottom w:val="single" w:sz="4" w:space="0" w:color="7F7F7F"/>
            </w:tcBorders>
            <w:shd w:val="clear" w:color="auto" w:fill="auto"/>
            <w:noWrap/>
            <w:vAlign w:val="center"/>
            <w:hideMark/>
          </w:tcPr>
          <w:p w14:paraId="318F5957" w14:textId="77777777" w:rsidR="00C7764C" w:rsidRPr="00C81B1E" w:rsidRDefault="00C7764C" w:rsidP="00C81B1E">
            <w:pPr>
              <w:pStyle w:val="MDPI42tablebody"/>
              <w:rPr>
                <w:rFonts w:eastAsia="Calibri"/>
                <w:lang w:val="en-GB" w:eastAsia="en-US"/>
              </w:rPr>
            </w:pPr>
            <w:r w:rsidRPr="00C81B1E">
              <w:rPr>
                <w:rFonts w:eastAsia="Calibri"/>
                <w:lang w:val="en-GB" w:eastAsia="en-US"/>
              </w:rPr>
              <w:t>g MgO/kg</w:t>
            </w:r>
          </w:p>
        </w:tc>
        <w:tc>
          <w:tcPr>
            <w:tcW w:w="899" w:type="dxa"/>
            <w:tcBorders>
              <w:top w:val="single" w:sz="4" w:space="0" w:color="7F7F7F"/>
              <w:bottom w:val="single" w:sz="4" w:space="0" w:color="7F7F7F"/>
            </w:tcBorders>
            <w:shd w:val="clear" w:color="auto" w:fill="auto"/>
            <w:noWrap/>
            <w:vAlign w:val="center"/>
            <w:hideMark/>
          </w:tcPr>
          <w:p w14:paraId="63633DD6"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w:t>
            </w:r>
          </w:p>
        </w:tc>
        <w:tc>
          <w:tcPr>
            <w:tcW w:w="5029" w:type="dxa"/>
            <w:vMerge/>
            <w:tcBorders>
              <w:top w:val="single" w:sz="4" w:space="0" w:color="7F7F7F"/>
              <w:bottom w:val="single" w:sz="4" w:space="0" w:color="7F7F7F"/>
            </w:tcBorders>
            <w:shd w:val="clear" w:color="auto" w:fill="auto"/>
            <w:noWrap/>
            <w:vAlign w:val="center"/>
          </w:tcPr>
          <w:p w14:paraId="714835C6" w14:textId="77777777" w:rsidR="00C7764C" w:rsidRPr="00C81B1E" w:rsidRDefault="00C7764C" w:rsidP="00C81B1E">
            <w:pPr>
              <w:pStyle w:val="MDPI42tablebody"/>
              <w:rPr>
                <w:rFonts w:eastAsia="Calibri"/>
                <w:lang w:val="en-GB" w:eastAsia="en-US"/>
              </w:rPr>
            </w:pPr>
          </w:p>
        </w:tc>
      </w:tr>
      <w:tr w:rsidR="00C81B1E" w:rsidRPr="00C81B1E" w14:paraId="40D4C6CB" w14:textId="77777777" w:rsidTr="00C81B1E">
        <w:trPr>
          <w:trHeight w:val="315"/>
        </w:trPr>
        <w:tc>
          <w:tcPr>
            <w:tcW w:w="1668" w:type="dxa"/>
            <w:shd w:val="clear" w:color="auto" w:fill="auto"/>
            <w:noWrap/>
            <w:vAlign w:val="center"/>
            <w:hideMark/>
          </w:tcPr>
          <w:p w14:paraId="16A2F481"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Nutrient content: S</w:t>
            </w:r>
          </w:p>
        </w:tc>
        <w:tc>
          <w:tcPr>
            <w:tcW w:w="1476" w:type="dxa"/>
            <w:shd w:val="clear" w:color="auto" w:fill="auto"/>
            <w:noWrap/>
            <w:vAlign w:val="center"/>
            <w:hideMark/>
          </w:tcPr>
          <w:p w14:paraId="048AB449" w14:textId="77777777" w:rsidR="00C7764C" w:rsidRPr="00C81B1E" w:rsidRDefault="00C7764C" w:rsidP="00C81B1E">
            <w:pPr>
              <w:pStyle w:val="MDPI42tablebody"/>
              <w:rPr>
                <w:rFonts w:eastAsia="Calibri"/>
                <w:lang w:val="en-GB" w:eastAsia="en-US"/>
              </w:rPr>
            </w:pPr>
            <w:r w:rsidRPr="00C81B1E">
              <w:rPr>
                <w:rFonts w:eastAsia="Calibri"/>
                <w:lang w:val="en-GB" w:eastAsia="en-US"/>
              </w:rPr>
              <w:t>g SO</w:t>
            </w:r>
            <w:r w:rsidRPr="00C81B1E">
              <w:rPr>
                <w:rFonts w:eastAsia="Calibri"/>
                <w:vertAlign w:val="subscript"/>
                <w:lang w:val="en-GB" w:eastAsia="en-US"/>
              </w:rPr>
              <w:t>3</w:t>
            </w:r>
            <w:r w:rsidRPr="00C81B1E">
              <w:rPr>
                <w:rFonts w:eastAsia="Calibri"/>
                <w:lang w:val="en-GB" w:eastAsia="en-US"/>
              </w:rPr>
              <w:t>/kg</w:t>
            </w:r>
          </w:p>
        </w:tc>
        <w:tc>
          <w:tcPr>
            <w:tcW w:w="899" w:type="dxa"/>
            <w:shd w:val="clear" w:color="auto" w:fill="auto"/>
            <w:noWrap/>
            <w:vAlign w:val="center"/>
            <w:hideMark/>
          </w:tcPr>
          <w:p w14:paraId="58330991"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w:t>
            </w:r>
          </w:p>
        </w:tc>
        <w:tc>
          <w:tcPr>
            <w:tcW w:w="5029" w:type="dxa"/>
            <w:shd w:val="clear" w:color="auto" w:fill="auto"/>
            <w:noWrap/>
            <w:vAlign w:val="center"/>
            <w:hideMark/>
          </w:tcPr>
          <w:p w14:paraId="3902F098"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AD: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{"citationItems":[{"id":"ITEM-1","itemData":{"DOI":"10.1016/j.energy.2015.02.098","ISBN":"03605442","ISSN":"03605442","abstract":"The aim of this work was to assess the energy potential of food waste energy harvesting system (digestion followed by pyrolysis of digestate). Digestate (DFW) with increased calorific content was produced after a commercial one stage anaerobic digestion of the raw food waste (RFW). Separate pyrolysis of RFW and DFW (digestated food waste) distributed 15.7 MJ/kg and 17.2 MJ/kg respectively, among the gas, char and bio-oil, while energy of pyrolysis at 0.72 MJ/kg for RFW and 0.87 MJ/kg for DFW at the heating rate of 10 ??C/min to 500 ??C. Increase in the digestate specific heat to 2.5 MJ/m3 and its significant ash difference reflects the substrate (RFW) transformation due to biochemical treatment. The thermogravimetric analysis indicated the substrates mass dynamics and stability extent of the treatment products (DFW, RFW500 and DFW500). Generally, transitional energy base products (biogas and bio-oil) are generated through the energy harvesting system (EHS) of food waste, while energy rich solid fuels can be produced through pyrolysis at 500 ??C. Thus, the sustainable potential of EHS to widen and broaden recycling capacity of biomass and smartly appropriate its resources are demonstrated to be dependent and pivoted on the adopted treatment method.","author":[{"dropping-particle":"","family":"Opatokun","given":"Suraj Adebayo","non-dropping-particle":"","parse-names":false,"suffix":""},{"dropping-particle":"","family":"Strezov","given":"Vladimir","non-dropping-particle":"","parse-names":false,"suffix":""},{"dropping-particle":"","family":"Kan","given":"Tao","non-dropping-particle":"","parse-names":false,"suffix":""}],"container-title":"Energy","id":"ITEM-1","issued":{"date-parts":[["2015"]]},"page":"2-7","publisher":"Elsevier Ltd","title":"Product based evaluation of pyrolysis of food waste and its digestate","type":"article-journal","volume":"92"},"uris":["http://www.mendeley.com/documents/?uuid=b5bb558a-2b12-47ee-8a87-8b2474293e89"]}],"mendeley":{"formattedCitation":"(Opatokun et al., 2015)","manualFormatting":"Opatokun et al. (2015)","plainTextFormattedCitation":"(Opatokun et al., 2015)","previouslyFormattedCitation":"(Opatokun et al., 2015)"},"properties":{"noteIndex":0},"schema":"https://github.com/citation-style-language/schema/raw/master/csl-citation.json"}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Opatokun et al. (2015)</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{"citationItems":[{"id":"ITEM-1","itemData":{"ISSN":"02765055","author":[{"dropping-particle":"","family":"WRAP","given":"","non-dropping-particle":"","parse-names":false,"suffix":""}],"id":"ITEM-1","issue":"February","issued":{"date-parts":[["2016"]]},"publisher-place":"Banbury (UK)","title":"Digestate and compost use in agriculture. Good practice guidance for agricultural contractors","type":"report"},"uris":["http://www.mendeley.com/documents/?uuid=bfff9184-ca36-4b7d-95f7-ce36a8509b29"]}],"mendeley":{"formattedCitation":"(WRAP, 2016)","manualFormatting":"WRAP (2016)","plainTextFormattedCitation":"(WRAP, 2016)","previouslyFormattedCitation":"(WRAP, 2016)"},"properties":{"noteIndex":0},"schema":"https://github.com/citation-style-language/schema/raw/master/csl-citation.json"}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WRAP (2016)</w:t>
            </w:r>
            <w:r w:rsidRPr="00C81B1E">
              <w:rPr>
                <w:rFonts w:eastAsia="Calibri"/>
                <w:lang w:val="en-GB" w:eastAsia="en-US"/>
              </w:rPr>
              <w:fldChar w:fldCharType="end"/>
            </w:r>
          </w:p>
        </w:tc>
      </w:tr>
      <w:tr w:rsidR="00C81B1E" w:rsidRPr="00C81B1E" w14:paraId="5460B5B5" w14:textId="77777777" w:rsidTr="00C81B1E">
        <w:trPr>
          <w:trHeight w:val="315"/>
        </w:trPr>
        <w:tc>
          <w:tcPr>
            <w:tcW w:w="1668" w:type="dxa"/>
            <w:tcBorders>
              <w:top w:val="single" w:sz="4" w:space="0" w:color="7F7F7F"/>
              <w:bottom w:val="single" w:sz="4" w:space="0" w:color="7F7F7F"/>
            </w:tcBorders>
            <w:shd w:val="clear" w:color="auto" w:fill="auto"/>
            <w:noWrap/>
            <w:vAlign w:val="center"/>
            <w:hideMark/>
          </w:tcPr>
          <w:p w14:paraId="3DDB2FD7"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Nutrient content: Ca</w:t>
            </w:r>
          </w:p>
        </w:tc>
        <w:tc>
          <w:tcPr>
            <w:tcW w:w="1476" w:type="dxa"/>
            <w:tcBorders>
              <w:top w:val="single" w:sz="4" w:space="0" w:color="7F7F7F"/>
              <w:bottom w:val="single" w:sz="4" w:space="0" w:color="7F7F7F"/>
            </w:tcBorders>
            <w:shd w:val="clear" w:color="auto" w:fill="auto"/>
            <w:noWrap/>
            <w:vAlign w:val="center"/>
            <w:hideMark/>
          </w:tcPr>
          <w:p w14:paraId="1CC719A2" w14:textId="77777777" w:rsidR="00C7764C" w:rsidRPr="00C81B1E" w:rsidRDefault="00C7764C" w:rsidP="00C81B1E">
            <w:pPr>
              <w:pStyle w:val="MDPI42tablebody"/>
              <w:rPr>
                <w:rFonts w:eastAsia="Calibri"/>
                <w:lang w:val="en-GB" w:eastAsia="en-US"/>
              </w:rPr>
            </w:pPr>
            <w:r w:rsidRPr="00C81B1E">
              <w:rPr>
                <w:rFonts w:eastAsia="Calibri"/>
                <w:lang w:val="en-GB" w:eastAsia="en-US"/>
              </w:rPr>
              <w:t>g CaCO</w:t>
            </w:r>
            <w:r w:rsidRPr="00C81B1E">
              <w:rPr>
                <w:rFonts w:eastAsia="Calibri"/>
                <w:vertAlign w:val="subscript"/>
                <w:lang w:val="en-GB" w:eastAsia="en-US"/>
              </w:rPr>
              <w:t>3</w:t>
            </w:r>
            <w:r w:rsidRPr="00C81B1E">
              <w:rPr>
                <w:rFonts w:eastAsia="Calibri"/>
                <w:lang w:val="en-GB" w:eastAsia="en-US"/>
              </w:rPr>
              <w:t>/kg</w:t>
            </w:r>
          </w:p>
        </w:tc>
        <w:tc>
          <w:tcPr>
            <w:tcW w:w="899" w:type="dxa"/>
            <w:tcBorders>
              <w:top w:val="single" w:sz="4" w:space="0" w:color="7F7F7F"/>
              <w:bottom w:val="single" w:sz="4" w:space="0" w:color="7F7F7F"/>
            </w:tcBorders>
            <w:shd w:val="clear" w:color="auto" w:fill="auto"/>
            <w:noWrap/>
            <w:vAlign w:val="center"/>
            <w:hideMark/>
          </w:tcPr>
          <w:p w14:paraId="1D2F1D1E"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w:t>
            </w:r>
          </w:p>
        </w:tc>
        <w:tc>
          <w:tcPr>
            <w:tcW w:w="5029" w:type="dxa"/>
            <w:tcBorders>
              <w:top w:val="single" w:sz="4" w:space="0" w:color="7F7F7F"/>
              <w:bottom w:val="single" w:sz="4" w:space="0" w:color="7F7F7F"/>
            </w:tcBorders>
            <w:shd w:val="clear" w:color="auto" w:fill="auto"/>
            <w:noWrap/>
            <w:vAlign w:val="center"/>
            <w:hideMark/>
          </w:tcPr>
          <w:p w14:paraId="337CC365" w14:textId="3C67C644" w:rsidR="00C7764C" w:rsidRPr="00C81B1E" w:rsidRDefault="00C7764C" w:rsidP="00C81B1E">
            <w:pPr>
              <w:pStyle w:val="MDPI42tablebody"/>
              <w:rPr>
                <w:rFonts w:eastAsia="Calibri"/>
                <w:lang w:val="en-GB" w:eastAsia="en-US"/>
              </w:rPr>
            </w:pPr>
            <w:r w:rsidRPr="00C81B1E">
              <w:rPr>
                <w:rFonts w:eastAsia="Calibri"/>
                <w:lang w:val="en-GB" w:eastAsia="en-US"/>
              </w:rPr>
              <w:t xml:space="preserve">AD: </w:t>
            </w:r>
            <w:r w:rsidRPr="00C81B1E">
              <w:rPr>
                <w:rFonts w:eastAsia="Calibri"/>
                <w:lang w:val="en-GB" w:eastAsia="en-US"/>
              </w:rPr>
              <w:fldChar w:fldCharType="begin" w:fldLock="1"/>
            </w:r>
            <w:r w:rsidRPr="00C81B1E">
              <w:rPr>
                <w:rFonts w:eastAsia="Calibri"/>
                <w:lang w:val="en-GB" w:eastAsia="en-US"/>
              </w:rPr>
              <w:instrText>ADDIN CSL_CITATION {"citationItems":[{"id":"ITEM-1","itemData":{"DOI":"10.1039/b617101j","ISBN":"1464-0325 (Print)\\r1464-0325 (Linking)","ISSN":"1464-0325","PMID":"17492091","abstract":"In Europe, 9.3 x 10(6) t(dry weight (dw)) of compost and digestate are produced per year. Most of this is applied to agricultural land, which can lead to considerable inputs of organic pollutants, such as polychlorinated biphenyls (PCB) and polycyclic aromatic hydrocarbons (PAH) to soil. This paper presents an inventory of the pollutant situation in source-separated composts, digestates and presswater in Switzerland by a detailed analysis of over 70 samples. PCB concentrations ( summation PCB 28, 52, 101, 118, 138, 153, 180) were significantly higher in urban (median: 30 microg kg(-1)dw, n = 52) than in rural samples (median: 14 microg kg(-1)dw, n = 16). Together with low concentrations in general, this points to aerial deposition on compost input material as the major contamination pathway. Enantiomeric fractions of atropisometric PCB were close to racemic. Median PAH concentration was 3010 microg kg(-1)dw( summation 15PAH, n = 69), and one quarter of the samples exhibited concentrations above the relevant Swiss guide value for compost (4000 microg kg(-1)dw). The levels were influenced by the treatment process (digestate &gt; compost), the season of input material collection (spring-summer &gt; winter &gt; autumn), the particle size (coarse-grained &gt; fine-grained), and maturity (mature &gt; less mature). The main source of PAH in compost was pyrogenic, probably influenced mainly by liquid fossil fuel combustion and some asphalt abrasion, as suggested by multiple linear regression. This study, together with a companion paper reporting on other organic contaminates including emerging compound classes, provides a starting point for a better risk-benefit estimation of the application of compost and digestate to agricultural soil in Switzerland.","author":[{"dropping-particle":"","family":"Brändli","given":"Rahel C.","non-dropping-particle":"","parse-names":false,"suffix":""},{"dropping-particle":"","family":"Bucheli","given":"Thomas D.","non-dropping-particle":"","parse-names":false,"suffix":""},{"dropping-particle":"","family":"Kupper","given":"Thomas","non-dropping-particle":"","parse-names":false,"suffix":""},{"dropping-particle":"","family":"Furrer","given":"Reinhard","non-dropping-particle":"","parse-names":false,"suffix":""},{"dropping-particle":"","family":"Stahel","given":"Werner A.","non-dropping-particle":"","parse-names":false,"suffix":""},{"dropping-particle":"","family":"Stadelmann","given":"Franz X.","non-dropping-particle":"","parse-names":false,"suffix":""},{"dropping-particle":"","family":"Tarradellas","given":"Joseph","non-dropping-particle":"","parse-names":false,"suffix":""}],"container-title":"Journal of Environmental Monitoring","id":"ITEM-1","issue":"5","issued":{"date-parts":[["2007"]]},"page":"456-464","title":"Organic pollutants in compost and digestate. Part 1. Polychlorinated biphenyls, polycyclic aromatic hydrocarbons and molecular markers","type":"article-journal","volume":"9"},"uris":["http://www.mendeley.com/documents/?uuid=6a2bcfa8-e240-4327-b896-20ea52d9c9e1"]}],"mendeley":{"formattedCitation":"(Brändli et al., 2007)","manualFormatting":"Brändli, Bucheli, et al. (2007)","plainTextFormattedCitation":"(Brändli et al., 2007)","previouslyFormattedCitation":"(Brändli et al., 2007)"},"properties":{"noteIndex":0},"schema":"https://github.com/citation-style-language/schema/raw/master/csl-citation.json"}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Brändli, et al. (2007)</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{"citationItems":[{"id":"ITEM-1","itemData":{"DOI":"10.1039/b617101j","ISBN":"1464-0325 (Print)\\r1464-0325 (Linking)","ISSN":"1464-0325","PMID":"17492091","abstract":"In Europe, 9.3 x 10(6) t(dry weight (dw)) of compost and digestate are produced per year. Most of this is applied to agricultural land, which can lead to considerable inputs of organic pollutants, such as polychlorinated biphenyls (PCB) and polycyclic aromatic hydrocarbons (PAH) to soil. This paper presents an inventory of the pollutant situation in source-separated composts, digestates and presswater in Switzerland by a detailed analysis of over 70 samples. PCB concentrations ( summation PCB 28, 52, 101, 118, 138, 153, 180) were significantly higher in urban (median: 30 microg kg(-1)dw, n = 52) than in rural samples (median: 14 microg kg(-1)dw, n = 16). Together with low concentrations in general, this points to aerial deposition on compost input material as the major contamination pathway. Enantiomeric fractions of atropisometric PCB were close to racemic. Median PAH concentration was 3010 microg kg(-1)dw( summation 15PAH, n = 69), and one quarter of the samples exhibited concentrations above the relevant Swiss guide value for compost (4000 microg kg(-1)dw). The levels were influenced by the treatment process (digestate &gt; compost), the season of input material collection (spring-summer &gt; winter &gt; autumn), the particle size (coarse-grained &gt; fine-grained), and maturity (mature &gt; less mature). The main source of PAH in compost was pyrogenic, probably influenced mainly by liquid fossil fuel combustion and some asphalt abrasion, as suggested by multiple linear regression. This study, together with a companion paper reporting on other organic contaminates including emerging compound classes, provides a starting point for a better risk-benefit estimation of the application of compost and digestate to agricultural soil in Switzerland.","author":[{"dropping-particle":"","family":"Brändli","given":"Rahel C.","non-dropping-particle":"","parse-names":false,"suffix":""},{"dropping-particle":"","family":"Bucheli","given":"Thomas D.","non-dropping-particle":"","parse-names":false,"suffix":""},{"dropping-particle":"","family":"Kupper","given":"Thomas","non-dropping-particle":"","parse-names":false,"suffix":""},{"dropping-particle":"","family":"Furrer","given":"Reinhard","non-dropping-particle":"","parse-names":false,"suffix":""},{"dropping-particle":"","family":"Stahel","given":"Werner A.","non-dropping-particle":"","parse-names":false,"suffix":""},{"dropping-particle":"","family":"Stadelmann","given":"Franz X.","non-dropping-particle":"","parse-names":false,"suffix":""},{"dropping-particle":"","family":"Tarradellas","given":"Joseph","non-dropping-particle":"","parse-names":false,"suffix":""}],"container-title":"Journal of Environmental Monitoring","id":"ITEM-1","issue":"5","issued":{"date-parts":[["2007"]]},"page":"456-464","title":"Organic pollutants in compost and digestate. Part 1. Polychlorinated biphenyls, polycyclic aromatic hydrocarbons and molecular markers","type":"article-journal","volume":"9"},"uris":["http://www.mendeley.com/documents/?uuid=6a2bcfa8-e240-4327-b896-20ea52d9c9e1"]}],"mendeley":{"formattedCitation":"(Brändli et al., 2007)","manualFormatting":"Brändli, Bucheli, et al. (2007)","plainTextFormattedCitation":"(Brändli et al., 2007)","previouslyFormattedCitation":"(Brändli et al., 2007)"},"properties":{"noteIndex":0},"schema":"https://github.com/citation-style-language/schema/raw/master/csl-citation.json"}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Brändli, Bucheli, et al. (2007)</w:t>
            </w:r>
            <w:r w:rsidRPr="00C81B1E">
              <w:rPr>
                <w:rFonts w:eastAsia="Calibri"/>
                <w:lang w:val="en-GB" w:eastAsia="en-US"/>
              </w:rPr>
              <w:fldChar w:fldCharType="end"/>
            </w:r>
          </w:p>
        </w:tc>
      </w:tr>
      <w:tr w:rsidR="00C81B1E" w:rsidRPr="00C81B1E" w14:paraId="55CBA525" w14:textId="77777777" w:rsidTr="00C81B1E">
        <w:trPr>
          <w:trHeight w:val="255"/>
        </w:trPr>
        <w:tc>
          <w:tcPr>
            <w:tcW w:w="1668" w:type="dxa"/>
            <w:shd w:val="clear" w:color="auto" w:fill="auto"/>
            <w:noWrap/>
            <w:vAlign w:val="center"/>
            <w:hideMark/>
          </w:tcPr>
          <w:p w14:paraId="1D27CD8D"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Moisture content</w:t>
            </w:r>
          </w:p>
        </w:tc>
        <w:tc>
          <w:tcPr>
            <w:tcW w:w="1476" w:type="dxa"/>
            <w:shd w:val="clear" w:color="auto" w:fill="auto"/>
            <w:noWrap/>
            <w:vAlign w:val="center"/>
            <w:hideMark/>
          </w:tcPr>
          <w:p w14:paraId="1B056A2C" w14:textId="77777777" w:rsidR="00C7764C" w:rsidRPr="00C81B1E" w:rsidRDefault="00C7764C" w:rsidP="00C81B1E">
            <w:pPr>
              <w:pStyle w:val="MDPI42tablebody"/>
              <w:rPr>
                <w:rFonts w:eastAsia="Calibri"/>
                <w:lang w:val="en-GB" w:eastAsia="en-US"/>
              </w:rPr>
            </w:pPr>
            <w:r w:rsidRPr="00C81B1E">
              <w:rPr>
                <w:rFonts w:eastAsia="Calibri"/>
                <w:lang w:val="en-GB" w:eastAsia="en-US"/>
              </w:rPr>
              <w:t>g/kg</w:t>
            </w:r>
          </w:p>
        </w:tc>
        <w:tc>
          <w:tcPr>
            <w:tcW w:w="899" w:type="dxa"/>
            <w:shd w:val="clear" w:color="auto" w:fill="auto"/>
            <w:noWrap/>
            <w:vAlign w:val="center"/>
            <w:hideMark/>
          </w:tcPr>
          <w:p w14:paraId="39C6EC8E"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w:t>
            </w:r>
          </w:p>
        </w:tc>
        <w:tc>
          <w:tcPr>
            <w:tcW w:w="5029" w:type="dxa"/>
            <w:shd w:val="clear" w:color="auto" w:fill="auto"/>
            <w:noWrap/>
            <w:vAlign w:val="center"/>
            <w:hideMark/>
          </w:tcPr>
          <w:p w14:paraId="1F6DE3DF"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AD: </w:t>
            </w:r>
            <w:r w:rsidRPr="00C81B1E">
              <w:rPr>
                <w:rFonts w:eastAsia="Calibri"/>
                <w:lang w:val="en-GB" w:eastAsia="en-US"/>
              </w:rPr>
              <w:fldChar w:fldCharType="begin" w:fldLock="1"/>
            </w:r>
            <w:r w:rsidRPr="00C81B1E">
              <w:rPr>
                <w:rFonts w:eastAsia="Calibri"/>
                <w:lang w:val="en-GB" w:eastAsia="en-US"/>
              </w:rPr>
              <w:instrText>ADDIN CSL_CITATION {"citationItems":[{"id":"ITEM-1","itemData":{"ISBN":"0580617300","abstract":"Food products, Anaerobic bacteria, Digestive system, Agricultural products, Microorganisms, Microbiology","author":[{"dropping-particle":"","family":"British Standards Institution","given":"","non-dropping-particle":"","parse-names":false,"suffix":""}],"id":"ITEM-1","issued":{"date-parts":[["2014"]]},"title":"PAS 110:2014. Specification for whole digestate, separated liquor and separated fibre derived from the anaerobic digestion of source-segregated biodegradable materials","type":"report"},"uris":["http://www.mendeley.com/documents/?uuid=a1334019-daa9-4ee5-bd60-cd891a066519"]}],"mendeley":{"formattedCitation":"(British Standards Institution, 2014)","manualFormatting":"British Standards Institution (2014)","plainTextFormattedCitation":"(British Standards Institution, 2014)","previouslyFormattedCitation":"(British Standards Institution, 2014)"},"properties":{"noteIndex":0},"schema":"https://github.com/citation-style-language/schema/raw/master/csl-citation.json"}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British Standards Institution (2014)</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{"citationItems":[{"id":"ITEM-1","itemData":{"DOI":"10.1128/AEM.71.9.4951","ISBN":"058045195X","author":[{"dropping-particle":"","family":"British Standards Institution","given":"","non-dropping-particle":"","parse-names":false,"suffix":""}],"id":"ITEM-1","issued":{"date-parts":[["2011"]]},"title":"PAS 100:2011 Specification for Composted Materials","type":"report","volume":"January"},"uris":["http://www.mendeley.com/documents/?uuid=f0f7c64c-b25d-4a88-8d84-9a437c7611e0"]}],"mendeley":{"formattedCitation":"(British Standards Institution, 2011)","manualFormatting":"British Standards Institution (2011)","plainTextFormattedCitation":"(British Standards Institution, 2011)","previouslyFormattedCitation":"(British Standards Institution, 2011)"},"properties":{"noteIndex":0},"schema":"https://github.com/citation-style-language/schema/raw/master/csl-citation.json"}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British Standards Institution (2011)</w:t>
            </w:r>
            <w:r w:rsidRPr="00C81B1E">
              <w:rPr>
                <w:rFonts w:eastAsia="Calibri"/>
                <w:lang w:val="en-GB" w:eastAsia="en-US"/>
              </w:rPr>
              <w:fldChar w:fldCharType="end"/>
            </w:r>
          </w:p>
        </w:tc>
      </w:tr>
      <w:tr w:rsidR="00C81B1E" w:rsidRPr="00C81B1E" w14:paraId="41C8EA5B" w14:textId="77777777" w:rsidTr="00C81B1E">
        <w:trPr>
          <w:trHeight w:val="255"/>
        </w:trPr>
        <w:tc>
          <w:tcPr>
            <w:tcW w:w="1668" w:type="dxa"/>
            <w:tcBorders>
              <w:top w:val="single" w:sz="4" w:space="0" w:color="7F7F7F"/>
              <w:bottom w:val="single" w:sz="4" w:space="0" w:color="7F7F7F"/>
            </w:tcBorders>
            <w:shd w:val="clear" w:color="auto" w:fill="auto"/>
            <w:noWrap/>
            <w:vAlign w:val="center"/>
            <w:hideMark/>
          </w:tcPr>
          <w:p w14:paraId="008B730F"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Loss on ignition / VS / TOC</w:t>
            </w:r>
          </w:p>
        </w:tc>
        <w:tc>
          <w:tcPr>
            <w:tcW w:w="1476" w:type="dxa"/>
            <w:tcBorders>
              <w:top w:val="single" w:sz="4" w:space="0" w:color="7F7F7F"/>
              <w:bottom w:val="single" w:sz="4" w:space="0" w:color="7F7F7F"/>
            </w:tcBorders>
            <w:shd w:val="clear" w:color="auto" w:fill="auto"/>
            <w:noWrap/>
            <w:vAlign w:val="center"/>
            <w:hideMark/>
          </w:tcPr>
          <w:p w14:paraId="00C9A82C" w14:textId="77777777" w:rsidR="00C7764C" w:rsidRPr="00C81B1E" w:rsidRDefault="00C7764C" w:rsidP="00C81B1E">
            <w:pPr>
              <w:pStyle w:val="MDPI42tablebody"/>
              <w:rPr>
                <w:rFonts w:eastAsia="Calibri"/>
                <w:lang w:val="en-GB" w:eastAsia="en-US"/>
              </w:rPr>
            </w:pPr>
            <w:r w:rsidRPr="00C81B1E">
              <w:rPr>
                <w:rFonts w:eastAsia="Calibri"/>
                <w:lang w:val="en-GB" w:eastAsia="en-US"/>
              </w:rPr>
              <w:t>g/kg</w:t>
            </w:r>
          </w:p>
        </w:tc>
        <w:tc>
          <w:tcPr>
            <w:tcW w:w="899" w:type="dxa"/>
            <w:tcBorders>
              <w:top w:val="single" w:sz="4" w:space="0" w:color="7F7F7F"/>
              <w:bottom w:val="single" w:sz="4" w:space="0" w:color="7F7F7F"/>
            </w:tcBorders>
            <w:shd w:val="clear" w:color="auto" w:fill="auto"/>
            <w:noWrap/>
            <w:vAlign w:val="center"/>
            <w:hideMark/>
          </w:tcPr>
          <w:p w14:paraId="5345496C"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 TT</w:t>
            </w:r>
          </w:p>
        </w:tc>
        <w:tc>
          <w:tcPr>
            <w:tcW w:w="5029" w:type="dxa"/>
            <w:tcBorders>
              <w:top w:val="single" w:sz="4" w:space="0" w:color="7F7F7F"/>
              <w:bottom w:val="single" w:sz="4" w:space="0" w:color="7F7F7F"/>
            </w:tcBorders>
            <w:shd w:val="clear" w:color="auto" w:fill="auto"/>
            <w:noWrap/>
            <w:vAlign w:val="center"/>
            <w:hideMark/>
          </w:tcPr>
          <w:p w14:paraId="241E845F"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AD: </w:t>
            </w:r>
            <w:r w:rsidRPr="00C81B1E">
              <w:rPr>
                <w:rFonts w:eastAsia="Calibri"/>
                <w:lang w:val="en-GB" w:eastAsia="en-US"/>
              </w:rPr>
              <w:fldChar w:fldCharType="begin" w:fldLock="1"/>
            </w:r>
            <w:r w:rsidRPr="00C81B1E">
              <w:rPr>
                <w:rFonts w:eastAsia="Calibri"/>
                <w:lang w:val="en-GB" w:eastAsia="en-US"/>
              </w:rPr>
              <w:instrText>ADDIN CSL_CITATION {"citationItems":[{"id":"ITEM-1","itemData":{"ISBN":"0580617300","abstract":"Food products, Anaerobic bacteria, Digestive system, Agricultural products, Microorganisms, Microbiology","author":[{"dropping-particle":"","family":"British Standards Institution","given":"","non-dropping-particle":"","parse-names":false,"suffix":""}],"id":"ITEM-1","issued":{"date-parts":[["2014"]]},"title":"PAS 110:2014. Specification for whole digestate, separated liquor and separated fibre derived from the anaerobic digestion of source-segregated biodegradable materials","type":"report"},"uris":["http://www.mendeley.com/documents/?uuid=a1334019-daa9-4ee5-bd60-cd891a066519"]}],"mendeley":{"formattedCitation":"(British Standards Institution, 2014)","manualFormatting":"British Standards Institution (2014)","plainTextFormattedCitation":"(British Standards Institution, 2014)","previouslyFormattedCitation":"(British Standards Institution, 2014)"},"properties":{"noteIndex":0},"schema":"https://github.com/citation-style-language/schema/raw/master/csl-citation.json"}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British Standards Institution (2014)</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{"citationItems":[{"id":"ITEM-1","itemData":{"DOI":"10.1128/AEM.71.9.4951","ISBN":"058045195X","author":[{"dropping-particle":"","family":"British Standards Institution","given":"","non-dropping-particle":"","parse-names":false,"suffix":""}],"id":"ITEM-1","issued":{"date-parts":[["2011"]]},"title":"PAS 100:2011 Specification for Composted Materials","type":"report","volume":"January"},"uris":["http://www.mendeley.com/documents/?uuid=f0f7c64c-b25d-4a88-8d84-9a437c7611e0"]}],"mendeley":{"formattedCitation":"(British Standards Institution, 2011)","manualFormatting":"British Standards Institution (2011)","plainTextFormattedCitation":"(British Standards Institution, 2011)","previouslyFormattedCitation":"(British Standards Institution, 2011)"},"properties":{"noteIndex":0},"schema":"https://github.com/citation-style-language/schema/raw/master/csl-citation.json"}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British Standards Institution (2011)</w:t>
            </w:r>
            <w:r w:rsidRPr="00C81B1E">
              <w:rPr>
                <w:rFonts w:eastAsia="Calibri"/>
                <w:lang w:val="en-GB" w:eastAsia="en-US"/>
              </w:rPr>
              <w:fldChar w:fldCharType="end"/>
            </w:r>
            <w:r w:rsidRPr="00C81B1E">
              <w:rPr>
                <w:rFonts w:eastAsia="Calibri"/>
                <w:lang w:val="en-GB" w:eastAsia="en-US"/>
              </w:rPr>
              <w:t xml:space="preserve">, TT: </w:t>
            </w:r>
            <w:r w:rsidRPr="00C81B1E">
              <w:rPr>
                <w:rFonts w:eastAsia="Calibri"/>
                <w:lang w:val="en-GB" w:eastAsia="en-US"/>
              </w:rPr>
              <w:fldChar w:fldCharType="begin" w:fldLock="1"/>
            </w:r>
            <w:r w:rsidRPr="00C81B1E">
              <w:rPr>
                <w:rFonts w:eastAsia="Calibri"/>
                <w:lang w:val="en-GB" w:eastAsia="en-US"/>
              </w:rPr>
              <w:instrText>ADDIN CSL_CITATION {"citationItems":[{"id":"ITEM-1","itemData":{"abstract":"This project deals with combustion installations with a rated thermal\\ninput exceeding 50 MW. Plants with a thermal input lower than 50\\nMW are, however, discussed where technically relevant because smaller\\nunits can potentially be added to a plant to build one larger installation\\nexceeding 50 MW. All kinds of conventional power plants (e.g. utility\\nboiler plants, combined heat and power plants, district heating plants)\\nused for mechanical power and heat generation are covered in this\\nwork. Industrial combustion installations are covered if they use\\nconventional fuel. The commercial availability of the fuel on the\\nmarket has been used as an indicator to identify conventional fuels.\\nThe criterion for classifying a fuel as a 'conventional fuel' is\\na known composition which remains relatively constant, and indeed\\nis usually standardised. Coal, lignite, biomass, peat, liquid and\\ngaseous fuels (including hydrogen and biogas) are regarded as conventional\\nfuels. The use of waste as a secondary fuel is also covered in this\\nwork.","author":[{"dropping-particle":"","family":"European Commission","given":"","non-dropping-particle":"","parse-names":false,"suffix":""}],"container-title":"Integrated Pollution Prevention Control","id":"ITEM-1","issue":"August","issued":{"date-parts":[["2006"]]},"title":"Reference Document on the Best Available Techniques for Waste Incineration","type":"article-journal"},"uris":["http://www.mendeley.com/documents/?uuid=cafb8d98-221f-4574-9995-e04c7a48fca0"]}],"mendeley":{"formattedCitation":"(European Commission, 2006a)","manualFormatting":"European Commission (2006c)","plainTextFormattedCitation":"(European Commission, 2006a)","previouslyFormattedCitation":"(European Commission, 2006a)"},"properties":{"noteIndex":0},"schema":"https://github.com/citation-style-language/schema/raw/master/csl-citation.json"}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European Commission (2006c)</w:t>
            </w:r>
            <w:r w:rsidRPr="00C81B1E">
              <w:rPr>
                <w:rFonts w:eastAsia="Calibri"/>
                <w:lang w:val="en-GB" w:eastAsia="en-US"/>
              </w:rPr>
              <w:fldChar w:fldCharType="end"/>
            </w:r>
          </w:p>
        </w:tc>
      </w:tr>
      <w:tr w:rsidR="00C81B1E" w:rsidRPr="00C81B1E" w14:paraId="08B1E939" w14:textId="77777777" w:rsidTr="00C81B1E">
        <w:trPr>
          <w:trHeight w:val="255"/>
        </w:trPr>
        <w:tc>
          <w:tcPr>
            <w:tcW w:w="1668" w:type="dxa"/>
            <w:shd w:val="clear" w:color="auto" w:fill="auto"/>
            <w:noWrap/>
            <w:vAlign w:val="center"/>
            <w:hideMark/>
          </w:tcPr>
          <w:p w14:paraId="53D38797"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pH / neutralising value</w:t>
            </w:r>
          </w:p>
        </w:tc>
        <w:tc>
          <w:tcPr>
            <w:tcW w:w="1476" w:type="dxa"/>
            <w:shd w:val="clear" w:color="auto" w:fill="auto"/>
            <w:noWrap/>
            <w:vAlign w:val="center"/>
            <w:hideMark/>
          </w:tcPr>
          <w:p w14:paraId="75058039" w14:textId="77777777" w:rsidR="00C7764C" w:rsidRPr="00C81B1E" w:rsidRDefault="00C7764C" w:rsidP="00C81B1E">
            <w:pPr>
              <w:pStyle w:val="MDPI42tablebody"/>
              <w:rPr>
                <w:rFonts w:eastAsia="Calibri"/>
                <w:lang w:val="en-GB" w:eastAsia="en-US"/>
              </w:rPr>
            </w:pPr>
            <w:r w:rsidRPr="00C81B1E">
              <w:rPr>
                <w:rFonts w:eastAsia="Calibri"/>
                <w:lang w:val="en-GB" w:eastAsia="en-US"/>
              </w:rPr>
              <w:t>0-14</w:t>
            </w:r>
          </w:p>
        </w:tc>
        <w:tc>
          <w:tcPr>
            <w:tcW w:w="899" w:type="dxa"/>
            <w:shd w:val="clear" w:color="auto" w:fill="auto"/>
            <w:noWrap/>
            <w:vAlign w:val="center"/>
            <w:hideMark/>
          </w:tcPr>
          <w:p w14:paraId="6F14F8C6"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w:t>
            </w:r>
          </w:p>
        </w:tc>
        <w:tc>
          <w:tcPr>
            <w:tcW w:w="5029" w:type="dxa"/>
            <w:shd w:val="clear" w:color="auto" w:fill="auto"/>
            <w:noWrap/>
            <w:vAlign w:val="center"/>
            <w:hideMark/>
          </w:tcPr>
          <w:p w14:paraId="1298BDB1"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AD: </w:t>
            </w:r>
            <w:r w:rsidRPr="00C81B1E">
              <w:rPr>
                <w:rFonts w:eastAsia="Calibri"/>
                <w:lang w:val="en-GB" w:eastAsia="en-US"/>
              </w:rPr>
              <w:fldChar w:fldCharType="begin" w:fldLock="1"/>
            </w:r>
            <w:r w:rsidRPr="00C81B1E">
              <w:rPr>
                <w:rFonts w:eastAsia="Calibri"/>
                <w:lang w:val="en-GB" w:eastAsia="en-US"/>
              </w:rPr>
              <w:instrText>ADDIN CSL_CITATION {"citationItems":[{"id":"ITEM-1","itemData":{"ISBN":"0580617300","abstract":"Food products, Anaerobic bacteria, Digestive system, Agricultural products, Microorganisms, Microbiology","author":[{"dropping-particle":"","family":"British Standards Institution","given":"","non-dropping-particle":"","parse-names":false,"suffix":""}],"id":"ITEM-1","issued":{"date-parts":[["2014"]]},"title":"PAS 110:2014. Specification for whole digestate, separated liquor and separated fibre derived from the anaerobic digestion of source-segregated biodegradable materials","type":"report"},"uris":["http://www.mendeley.com/documents/?uuid=a1334019-daa9-4ee5-bd60-cd891a066519"]}],"mendeley":{"formattedCitation":"(British Standards Institution, 2014)","manualFormatting":"British Standards Institution (2014)","plainTextFormattedCitation":"(British Standards Institution, 2014)","previouslyFormattedCitation":"(British Standards Institution, 2014)"},"properties":{"noteIndex":0},"schema":"https://github.com/citation-style-language/schema/raw/master/csl-citation.json"}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British Standards Institution (2014)</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{"citationItems":[{"id":"ITEM-1","itemData":{"DOI":"10.1128/AEM.71.9.4951","ISBN":"058045195X","author":[{"dropping-particle":"","family":"British Standards Institution","given":"","non-dropping-particle":"","parse-names":false,"suffix":""}],"id":"ITEM-1","issued":{"date-parts":[["2011"]]},"title":"PAS 100:2011 Specification for Composted Materials","type":"report","volume":"January"},"uris":["http://www.mendeley.com/documents/?uuid=f0f7c64c-b25d-4a88-8d84-9a437c7611e0"]}],"mendeley":{"formattedCitation":"(British Standards Institution, 2011)","manualFormatting":"British Standards Institution (2011)","plainTextFormattedCitation":"(British Standards Institution, 2011)","previouslyFormattedCitation":"(British Standards Institution, 2011)"},"properties":{"noteIndex":0},"schema":"https://github.com/citation-style-language/schema/raw/master/csl-citation.json"}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British Standards Institution (2011)</w:t>
            </w:r>
            <w:r w:rsidRPr="00C81B1E">
              <w:rPr>
                <w:rFonts w:eastAsia="Calibri"/>
                <w:lang w:val="en-GB" w:eastAsia="en-US"/>
              </w:rPr>
              <w:fldChar w:fldCharType="end"/>
            </w:r>
          </w:p>
        </w:tc>
      </w:tr>
      <w:tr w:rsidR="00C81B1E" w:rsidRPr="00C81B1E" w14:paraId="09318531" w14:textId="77777777" w:rsidTr="00C81B1E">
        <w:trPr>
          <w:trHeight w:val="255"/>
        </w:trPr>
        <w:tc>
          <w:tcPr>
            <w:tcW w:w="1668" w:type="dxa"/>
            <w:tcBorders>
              <w:top w:val="single" w:sz="4" w:space="0" w:color="7F7F7F"/>
              <w:bottom w:val="single" w:sz="4" w:space="0" w:color="7F7F7F"/>
            </w:tcBorders>
            <w:shd w:val="clear" w:color="auto" w:fill="auto"/>
            <w:noWrap/>
            <w:vAlign w:val="center"/>
            <w:hideMark/>
          </w:tcPr>
          <w:p w14:paraId="2C4CF2D8"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Dioxins, furans, PAH, PCBs and products alike</w:t>
            </w:r>
          </w:p>
        </w:tc>
        <w:tc>
          <w:tcPr>
            <w:tcW w:w="1476" w:type="dxa"/>
            <w:tcBorders>
              <w:top w:val="single" w:sz="4" w:space="0" w:color="7F7F7F"/>
              <w:bottom w:val="single" w:sz="4" w:space="0" w:color="7F7F7F"/>
            </w:tcBorders>
            <w:shd w:val="clear" w:color="auto" w:fill="auto"/>
            <w:noWrap/>
            <w:vAlign w:val="center"/>
            <w:hideMark/>
          </w:tcPr>
          <w:p w14:paraId="1F0D18B8" w14:textId="77777777" w:rsidR="00C7764C" w:rsidRPr="00C81B1E" w:rsidRDefault="00C7764C" w:rsidP="00C81B1E">
            <w:pPr>
              <w:pStyle w:val="MDPI42tablebody"/>
              <w:rPr>
                <w:rFonts w:eastAsia="Calibri"/>
                <w:lang w:val="pl-PL" w:eastAsia="en-US"/>
              </w:rPr>
            </w:pPr>
            <w:r w:rsidRPr="00C81B1E">
              <w:rPr>
                <w:rFonts w:eastAsia="Calibri"/>
                <w:lang w:val="pl-PL" w:eastAsia="en-US"/>
              </w:rPr>
              <w:t>ng I-TEQ/kg dry</w:t>
            </w:r>
          </w:p>
        </w:tc>
        <w:tc>
          <w:tcPr>
            <w:tcW w:w="899" w:type="dxa"/>
            <w:tcBorders>
              <w:top w:val="single" w:sz="4" w:space="0" w:color="7F7F7F"/>
              <w:bottom w:val="single" w:sz="4" w:space="0" w:color="7F7F7F"/>
            </w:tcBorders>
            <w:shd w:val="clear" w:color="auto" w:fill="auto"/>
            <w:noWrap/>
            <w:vAlign w:val="center"/>
            <w:hideMark/>
          </w:tcPr>
          <w:p w14:paraId="547A12ED"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 TT</w:t>
            </w:r>
          </w:p>
        </w:tc>
        <w:tc>
          <w:tcPr>
            <w:tcW w:w="5029" w:type="dxa"/>
            <w:tcBorders>
              <w:top w:val="single" w:sz="4" w:space="0" w:color="7F7F7F"/>
              <w:bottom w:val="single" w:sz="4" w:space="0" w:color="7F7F7F"/>
            </w:tcBorders>
            <w:shd w:val="clear" w:color="auto" w:fill="auto"/>
            <w:noWrap/>
            <w:vAlign w:val="center"/>
            <w:hideMark/>
          </w:tcPr>
          <w:p w14:paraId="6A34DDE5" w14:textId="742DE3EF" w:rsidR="00C7764C" w:rsidRPr="00C81B1E" w:rsidRDefault="00C7764C" w:rsidP="00C81B1E">
            <w:pPr>
              <w:pStyle w:val="MDPI42tablebody"/>
              <w:rPr>
                <w:rFonts w:eastAsia="Calibri"/>
                <w:lang w:val="en-GB" w:eastAsia="en-US"/>
              </w:rPr>
            </w:pPr>
            <w:r w:rsidRPr="00C81B1E">
              <w:rPr>
                <w:rFonts w:eastAsia="Calibri"/>
                <w:lang w:val="en-GB" w:eastAsia="en-US"/>
              </w:rPr>
              <w:t xml:space="preserve">AD: </w:t>
            </w:r>
            <w:r w:rsidRPr="00C81B1E">
              <w:rPr>
                <w:rFonts w:eastAsia="Calibri"/>
                <w:lang w:val="en-GB" w:eastAsia="en-US"/>
              </w:rPr>
              <w:fldChar w:fldCharType="begin" w:fldLock="1"/>
            </w:r>
            <w:r w:rsidRPr="00C81B1E">
              <w:rPr>
                <w:rFonts w:eastAsia="Calibri"/>
                <w:lang w:val="en-GB" w:eastAsia="en-US"/>
              </w:rPr>
              <w:instrText>ADDIN CSL_CITATION {"citationItems":[{"id":"ITEM-1","itemData":{"DOI":"10.1039/b617101j","ISBN":"1464-0325 (Print)\\r1464-0325 (Linking)","ISSN":"1464-0325","PMID":"17492091","abstract":"In Europe, 9.3 x 10(6) t(dry weight (dw)) of compost and digestate are produced per year. Most of this is applied to agricultural land, which can lead to considerable inputs of organic pollutants, such as polychlorinated biphenyls (PCB) and polycyclic aromatic hydrocarbons (PAH) to soil. This paper presents an inventory of the pollutant situation in source-separated composts, digestates and presswater in Switzerland by a detailed analysis of over 70 samples. PCB concentrations ( summation PCB 28, 52, 101, 118, 138, 153, 180) were significantly higher in urban (median: 30 microg kg(-1)dw, n = 52) than in rural samples (median: 14 microg kg(-1)dw, n = 16). Together with low concentrations in general, this points to aerial deposition on compost input material as the major contamination pathway. Enantiomeric fractions of atropisometric PCB were close to racemic. Median PAH concentration was 3010 microg kg(-1)dw( summation 15PAH, n = 69), and one quarter of the samples exhibited concentrations above the relevant Swiss guide value for compost (4000 microg kg(-1)dw). The levels were influenced by the treatment process (digestate &gt; compost), the season of input material collection (spring-summer &gt; winter &gt; autumn), the particle size (coarse-grained &gt; fine-grained), and maturity (mature &gt; less mature). The main source of PAH in compost was pyrogenic, probably influenced mainly by liquid fossil fuel combustion and some asphalt abrasion, as suggested by multiple linear regression. This study, together with a companion paper reporting on other organic contaminates including emerging compound classes, provides a starting point for a better risk-benefit estimation of the application of compost and digestate to agricultural soil in Switzerland.","author":[{"dropping-particle":"","family":"Brändli","given":"Rahel C.","non-dropping-particle":"","parse-names":false,"suffix":""},{"dropping-particle":"","family":"Bucheli","given":"Thomas D.","non-dropping-particle":"","parse-names":false,"suffix":""},{"dropping-particle":"","family":"Kupper","given":"Thomas","non-dropping-particle":"","parse-names":false,"suffix":""},{"dropping-particle":"","family":"Furrer","given":"Reinhard","non-dropping-particle":"","parse-names":false,"suffix":""},{"dropping-particle":"","family":"Stahel","given":"Werner A.","non-dropping-particle":"","parse-names":false,"suffix":""},{"dropping-particle":"","family":"Stadelmann","given":"Franz X.","non-dropping-particle":"","parse-names":false,"suffix":""},{"dropping-particle":"","family":"Tarradellas","given":"Joseph","non-dropping-particle":"","parse-names":false,"suffix":""}],"container-title":"Journal of Environmental Monitoring","id":"ITEM-1","issue":"5","issued":{"date-parts":[["2007"]]},"page":"456-464","title":"Organic pollutants in compost and digestate. Part 1. Polychlorinated biphenyls, polycyclic aromatic hydrocarbons and molecular markers","type":"article-journal","volume":"9"},"uris":["http://www.mendeley.com/documents/?uuid=6a2bcfa8-e240-4327-b896-20ea52d9c9e1"]}],"mendeley":{"formattedCitation":"(Brändli et al., 2007)","manualFormatting":"Brändli, Bucheli, et al. (2007)","plainTextFormattedCitation":"(Brändli et al., 2007)","previouslyFormattedCitation":"(Brändli et al., 2007)"},"properties":{"noteIndex":0},"schema":"https://github.com/citation-style-language/schema/raw/master/csl-citation.json"}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Brändli, et al. (2007)</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{"citationItems":[{"id":"ITEM-1","itemData":{"DOI":"10.1039/b617101j","ISBN":"1464-0325 (Print)\\r1464-0325 (Linking)","ISSN":"1464-0325","PMID":"17492091","abstract":"In Europe, 9.3 x 10(6) t(dry weight (dw)) of compost and digestate are produced per year. Most of this is applied to agricultural land, which can lead to considerable inputs of organic pollutants, such as polychlorinated biphenyls (PCB) and polycyclic aromatic hydrocarbons (PAH) to soil. This paper presents an inventory of the pollutant situation in source-separated composts, digestates and presswater in Switzerland by a detailed analysis of over 70 samples. PCB concentrations ( summation PCB 28, 52, 101, 118, 138, 153, 180) were significantly higher in urban (median: 30 microg kg(-1)dw, n = 52) than in rural samples (median: 14 microg kg(-1)dw, n = 16). Together with low concentrations in general, this points to aerial deposition on compost input material as the major contamination pathway. Enantiomeric fractions of atropisometric PCB were close to racemic. Median PAH concentration was 3010 microg kg(-1)dw( summation 15PAH, n = 69), and one quarter of the samples exhibited concentrations above the relevant Swiss guide value for compost (4000 microg kg(-1)dw). The levels were influenced by the treatment process (digestate &gt; compost), the season of input material collection (spring-summer &gt; winter &gt; autumn), the particle size (coarse-grained &gt; fine-grained), and maturity (mature &gt; less mature). The main source of PAH in compost was pyrogenic, probably influenced mainly by liquid fossil fuel combustion and some asphalt abrasion, as suggested by multiple linear regression. This study, together with a companion paper reporting on other organic contaminates including emerging compound classes, provides a starting point for a better risk-benefit estimation of the application of compost and digestate to agricultural soil in Switzerland.","author":[{"dropping-particle":"","family":"Brändli","given":"Rahel C.","non-dropping-particle":"","parse-names":false,"suffix":""},{"dropping-particle":"","family":"Bucheli","given":"Thomas D.","non-dropping-particle":"","parse-names":false,"suffix":""},{"dropping-particle":"","family":"Kupper","given":"Thomas","non-dropping-particle":"","parse-names":false,"suffix":""},{"dropping-particle":"","family":"Furrer","given":"Reinhard","non-dropping-particle":"","parse-names":false,"suffix":""},{"dropping-particle":"","family":"Stahel","given":"Werner A.","non-dropping-particle":"","parse-names":false,"suffix":""},{"dropping-particle":"","family":"Stadelmann","given":"Franz X.","non-dropping-particle":"","parse-names":false,"suffix":""},{"dropping-particle":"","family":"Tarradellas","given":"Joseph","non-dropping-particle":"","parse-names":false,"suffix":""}],"container-title":"Journal of Environmental Monitoring","id":"ITEM-1","issue":"5","issued":{"date-parts":[["2007"]]},"page":"456-464","title":"Organic pollutants in compost and digestate. Part 1. Polychlorinated biphenyls, polycyclic aromatic hydrocarbons and molecular markers","type":"article-journal","volume":"9"},"uris":["http://www.mendeley.com/documents/?uuid=6a2bcfa8-e240-4327-b896-20ea52d9c9e1"]}],"mendeley":{"formattedCitation":"(Brändli et al., 2007)","manualFormatting":"Brändli, Bucheli, et al. (2007)","plainTextFormattedCitation":"(Brändli et al., 2007)","previouslyFormattedCitation":"(Brändli et al., 2007)"},"properties":{"noteIndex":0},"schema":"https://github.com/citation-style-language/schema/raw/master/csl-citation.json"}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Brändli, Bucheli, et al. (2007)</w:t>
            </w:r>
            <w:r w:rsidRPr="00C81B1E">
              <w:rPr>
                <w:rFonts w:eastAsia="Calibri"/>
                <w:lang w:val="en-GB" w:eastAsia="en-US"/>
              </w:rPr>
              <w:fldChar w:fldCharType="end"/>
            </w:r>
            <w:r w:rsidRPr="00C81B1E">
              <w:rPr>
                <w:rFonts w:eastAsia="Calibri"/>
                <w:lang w:val="en-GB" w:eastAsia="en-US"/>
              </w:rPr>
              <w:t xml:space="preserve">, TT: </w:t>
            </w:r>
            <w:r w:rsidRPr="00C81B1E">
              <w:rPr>
                <w:rFonts w:eastAsia="Calibri"/>
                <w:lang w:val="en-GB" w:eastAsia="en-US"/>
              </w:rPr>
              <w:fldChar w:fldCharType="begin" w:fldLock="1"/>
            </w:r>
            <w:r w:rsidRPr="00C81B1E">
              <w:rPr>
                <w:rFonts w:eastAsia="Calibri"/>
                <w:lang w:val="en-GB" w:eastAsia="en-US"/>
              </w:rPr>
              <w:instrText>ADDIN CSL_CITATION {"citationItems":[{"id":"ITEM-1","itemData":{"abstract":"This project deals with combustion installations with a rated thermal\\ninput exceeding 50 MW. Plants with a thermal input lower than 50\\nMW are, however, discussed where technically relevant because smaller\\nunits can potentially be added to a plant to build one larger installation\\nexceeding 50 MW. All kinds of conventional power plants (e.g. utility\\nboiler plants, combined heat and power plants, district heating plants)\\nused for mechanical power and heat generation are covered in this\\nwork. Industrial combustion installations are covered if they use\\nconventional fuel. The commercial availability of the fuel on the\\nmarket has been used as an indicator to identify conventional fuels.\\nThe criterion for classifying a fuel as a 'conventional fuel' is\\na known composition which remains relatively constant, and indeed\\nis usually standardised. Coal, lignite, biomass, peat, liquid and\\ngaseous fuels (including hydrogen and biogas) are regarded as conventional\\nfuels. The use of waste as a secondary fuel is also covered in this\\nwork.","author":[{"dropping-particle":"","family":"European Commission","given":"","non-dropping-particle":"","parse-names":false,"suffix":""}],"container-title":"Integrated Pollution Prevention Control","id":"ITEM-1","issue":"August","issued":{"date-parts":[["2006"]]},"title":"Reference Document on the Best Available Techniques for Waste Incineration","type":"article-journal"},"uris":["http://www.mendeley.com/documents/?uuid=cafb8d98-221f-4574-9995-e04c7a48fca0"]}],"mendeley":{"formattedCitation":"(European Commission, 2006a)","manualFormatting":"European Commission (2006c)","plainTextFormattedCitation":"(European Commission, 2006a)","previouslyFormattedCitation":"(European Commission, 2006a)"},"properties":{"noteIndex":0},"schema":"https://github.com/citation-style-language/schema/raw/master/csl-citation.json"}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European Commission (2006c)</w:t>
            </w:r>
            <w:r w:rsidRPr="00C81B1E">
              <w:rPr>
                <w:rFonts w:eastAsia="Calibri"/>
                <w:lang w:val="en-GB" w:eastAsia="en-US"/>
              </w:rPr>
              <w:fldChar w:fldCharType="end"/>
            </w:r>
          </w:p>
        </w:tc>
      </w:tr>
      <w:tr w:rsidR="00C81B1E" w:rsidRPr="00C81B1E" w14:paraId="5A46F9DB" w14:textId="77777777" w:rsidTr="00C81B1E">
        <w:trPr>
          <w:trHeight w:val="255"/>
        </w:trPr>
        <w:tc>
          <w:tcPr>
            <w:tcW w:w="1668" w:type="dxa"/>
            <w:shd w:val="clear" w:color="auto" w:fill="auto"/>
            <w:noWrap/>
            <w:vAlign w:val="center"/>
            <w:hideMark/>
          </w:tcPr>
          <w:p w14:paraId="4BCF6AF6"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Fungicides, herbicides, insecticides, acaricides</w:t>
            </w:r>
          </w:p>
        </w:tc>
        <w:tc>
          <w:tcPr>
            <w:tcW w:w="1476" w:type="dxa"/>
            <w:shd w:val="clear" w:color="auto" w:fill="auto"/>
            <w:noWrap/>
            <w:vAlign w:val="center"/>
            <w:hideMark/>
          </w:tcPr>
          <w:p w14:paraId="6F47481D" w14:textId="77777777" w:rsidR="00C7764C" w:rsidRPr="00C81B1E" w:rsidRDefault="00C7764C" w:rsidP="00C81B1E">
            <w:pPr>
              <w:pStyle w:val="MDPI42tablebody"/>
              <w:rPr>
                <w:rFonts w:eastAsia="Calibri"/>
                <w:lang w:val="en-GB" w:eastAsia="en-US"/>
              </w:rPr>
            </w:pPr>
            <w:r w:rsidRPr="00C81B1E">
              <w:rPr>
                <w:rFonts w:eastAsia="Calibri"/>
                <w:lang w:val="en-GB" w:eastAsia="en-US"/>
              </w:rPr>
              <w:t>mg/t dry</w:t>
            </w:r>
          </w:p>
        </w:tc>
        <w:tc>
          <w:tcPr>
            <w:tcW w:w="899" w:type="dxa"/>
            <w:shd w:val="clear" w:color="auto" w:fill="auto"/>
            <w:noWrap/>
            <w:vAlign w:val="center"/>
            <w:hideMark/>
          </w:tcPr>
          <w:p w14:paraId="1CA67E31"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w:t>
            </w:r>
          </w:p>
        </w:tc>
        <w:tc>
          <w:tcPr>
            <w:tcW w:w="5029" w:type="dxa"/>
            <w:shd w:val="clear" w:color="auto" w:fill="auto"/>
            <w:noWrap/>
            <w:vAlign w:val="center"/>
            <w:hideMark/>
          </w:tcPr>
          <w:p w14:paraId="3A43E8CE" w14:textId="2F7C9128" w:rsidR="00C7764C" w:rsidRPr="00C81B1E" w:rsidRDefault="00C7764C" w:rsidP="00C81B1E">
            <w:pPr>
              <w:pStyle w:val="MDPI42tablebody"/>
              <w:rPr>
                <w:rFonts w:eastAsia="Calibri"/>
                <w:lang w:val="en-GB" w:eastAsia="en-US"/>
              </w:rPr>
            </w:pPr>
            <w:r w:rsidRPr="00C81B1E">
              <w:rPr>
                <w:rFonts w:eastAsia="Calibri"/>
                <w:lang w:val="en-GB" w:eastAsia="en-US"/>
              </w:rPr>
              <w:t xml:space="preserve">AD: </w:t>
            </w:r>
            <w:r w:rsidRPr="00C81B1E">
              <w:rPr>
                <w:rFonts w:eastAsia="Calibri"/>
                <w:lang w:val="en-GB" w:eastAsia="en-US"/>
              </w:rPr>
              <w:fldChar w:fldCharType="begin" w:fldLock="1"/>
            </w:r>
            <w:r w:rsidRPr="00C81B1E">
              <w:rPr>
                <w:rFonts w:eastAsia="Calibri"/>
                <w:lang w:val="en-GB" w:eastAsia="en-US"/>
              </w:rPr>
              <w:instrText>ADDIN CSL_CITATION {"citationItems":[{"id":"ITEM-1","itemData":{"DOI":"10.1039/b617101j","ISBN":"1464-0325 (Print)\\r1464-0325 (Linking)","ISSN":"1464-0325","PMID":"17492091","abstract":"In Europe, 9.3 x 10(6) t(dry weight (dw)) of compost and digestate are produced per year. Most of this is applied to agricultural land, which can lead to considerable inputs of organic pollutants, such as polychlorinated biphenyls (PCB) and polycyclic aromatic hydrocarbons (PAH) to soil. This paper presents an inventory of the pollutant situation in source-separated composts, digestates and presswater in Switzerland by a detailed analysis of over 70 samples. PCB concentrations ( summation PCB 28, 52, 101, 118, 138, 153, 180) were significantly higher in urban (median: 30 microg kg(-1)dw, n = 52) than in rural samples (median: 14 microg kg(-1)dw, n = 16). Together with low concentrations in general, this points to aerial deposition on compost input material as the major contamination pathway. Enantiomeric fractions of atropisometric PCB were close to racemic. Median PAH concentration was 3010 microg kg(-1)dw( summation 15PAH, n = 69), and one quarter of the samples exhibited concentrations above the relevant Swiss guide value for compost (4000 microg kg(-1)dw). The levels were influenced by the treatment process (digestate &gt; compost), the season of input material collection (spring-summer &gt; winter &gt; autumn), the particle size (coarse-grained &gt; fine-grained), and maturity (mature &gt; less mature). The main source of PAH in compost was pyrogenic, probably influenced mainly by liquid fossil fuel combustion and some asphalt abrasion, as suggested by multiple linear regression. This study, together with a companion paper reporting on other organic contaminates including emerging compound classes, provides a starting point for a better risk-benefit estimation of the application of compost and digestate to agricultural soil in Switzerland.","author":[{"dropping-particle":"","family":"Brändli","given":"Rahel C.","non-dropping-particle":"","parse-names":false,"suffix":""},{"dropping-particle":"","family":"Bucheli","given":"Thomas D.","non-dropping-particle":"","parse-names":false,"suffix":""},{"dropping-particle":"","family":"Kupper","given":"Thomas","non-dropping-particle":"","parse-names":false,"suffix":""},{"dropping-particle":"","family":"Furrer","given":"Reinhard","non-dropping-particle":"","parse-names":false,"suffix":""},{"dropping-particle":"","family":"Stahel","given":"Werner A.","non-dropping-particle":"","parse-names":false,"suffix":""},{"dropping-particle":"","family":"Stadelmann","given":"Franz X.","non-dropping-particle":"","parse-names":false,"suffix":""},{"dropping-particle":"","family":"Tarradellas","given":"Joseph","non-dropping-particle":"","parse-names":false,"suffix":""}],"container-title":"Journal of Environmental Monitoring","id":"ITEM-1","issue":"5","issued":{"date-parts":[["2007"]]},"page":"456-464","title":"Organic pollutants in compost and digestate. Part 1. Polychlorinated biphenyls, polycyclic aromatic hydrocarbons and molecular markers","type":"article-journal","volume":"9"},"uris":["http://www.mendeley.com/documents/?uuid=6a2bcfa8-e240-4327-b896-20ea52d9c9e1"]}],"mendeley":{"formattedCitation":"(Brändli et al., 2007)","manualFormatting":"Brändli, Bucheli, et al. (2007)","plainTextFormattedCitation":"(Brändli et al., 2007)","previouslyFormattedCitation":"(Brändli et al., 2007)"},"properties":{"noteIndex":0},"schema":"https://github.com/citation-style-language/schema/raw/master/csl-citation.json"}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Brändli, et al. (2007)</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{"citationItems":[{"id":"ITEM-1","itemData":{"DOI":"10.1039/b617101j","ISBN":"1464-0325 (Print)\\r1464-0325 (Linking)","ISSN":"1464-0325","PMID":"17492091","abstract":"In Europe, 9.3 x 10(6) t(dry weight (dw)) of compost and digestate are produced per year. Most of this is applied to agricultural land, which can lead to considerable inputs of organic pollutants, such as polychlorinated biphenyls (PCB) and polycyclic aromatic hydrocarbons (PAH) to soil. This paper presents an inventory of the pollutant situation in source-separated composts, digestates and presswater in Switzerland by a detailed analysis of over 70 samples. PCB concentrations ( summation PCB 28, 52, 101, 118, 138, 153, 180) were significantly higher in urban (median: 30 microg kg(-1)dw, n = 52) than in rural samples (median: 14 microg kg(-1)dw, n = 16). Together with low concentrations in general, this points to aerial deposition on compost input material as the major contamination pathway. Enantiomeric fractions of atropisometric PCB were close to racemic. Median PAH concentration was 3010 microg kg(-1)dw( summation 15PAH, n = 69), and one quarter of the samples exhibited concentrations above the relevant Swiss guide value for compost (4000 microg kg(-1)dw). The levels were influenced by the treatment process (digestate &gt; compost), the season of input material collection (spring-summer &gt; winter &gt; autumn), the particle size (coarse-grained &gt; fine-grained), and maturity (mature &gt; less mature). The main source of PAH in compost was pyrogenic, probably influenced mainly by liquid fossil fuel combustion and some asphalt abrasion, as suggested by multiple linear regression. This study, together with a companion paper reporting on other organic contaminates including emerging compound classes, provides a starting point for a better risk-benefit estimation of the application of compost and digestate to agricultural soil in Switzerland.","author":[{"dropping-particle":"","family":"Brändli","given":"Rahel C.","non-dropping-particle":"","parse-names":false,"suffix":""},{"dropping-particle":"","family":"Bucheli","given":"Thomas D.","non-dropping-particle":"","parse-names":false,"suffix":""},{"dropping-particle":"","family":"Kupper","given":"Thomas","non-dropping-particle":"","parse-names":false,"suffix":""},{"dropping-particle":"","family":"Furrer","given":"Reinhard","non-dropping-particle":"","parse-names":false,"suffix":""},{"dropping-particle":"","family":"Stahel","given":"Werner A.","non-dropping-particle":"","parse-names":false,"suffix":""},{"dropping-particle":"","family":"Stadelmann","given":"Franz X.","non-dropping-particle":"","parse-names":false,"suffix":""},{"dropping-particle":"","family":"Tarradellas","given":"Joseph","non-dropping-particle":"","parse-names":false,"suffix":""}],"container-title":"Journal of Environmental Monitoring","id":"ITEM-1","issue":"5","issued":{"date-parts":[["2007"]]},"page":"456-464","title":"Organic pollutants in compost and digestate. Part 1. Polychlorinated biphenyls, polycyclic aromatic hydrocarbons and molecular markers","type":"article-journal","volume":"9"},"uris":["http://www.mendeley.com/documents/?uuid=6a2bcfa8-e240-4327-b896-20ea52d9c9e1"]}],"mendeley":{"formattedCitation":"(Brändli et al., 2007)","manualFormatting":"Brändli, Bucheli, et al. (2007)","plainTextFormattedCitation":"(Brändli et al., 2007)","previouslyFormattedCitation":"(Brändli et al., 2007)"},"properties":{"noteIndex":0},"schema":"https://github.com/citation-style-language/schema/raw/master/csl-citation.json"}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Brändli, et al. (2007)</w:t>
            </w:r>
            <w:r w:rsidRPr="00C81B1E">
              <w:rPr>
                <w:rFonts w:eastAsia="Calibri"/>
                <w:lang w:val="en-GB" w:eastAsia="en-US"/>
              </w:rPr>
              <w:fldChar w:fldCharType="end"/>
            </w:r>
          </w:p>
        </w:tc>
      </w:tr>
      <w:tr w:rsidR="00C81B1E" w:rsidRPr="00C81B1E" w14:paraId="185FAC76" w14:textId="77777777" w:rsidTr="00C81B1E">
        <w:trPr>
          <w:trHeight w:val="255"/>
        </w:trPr>
        <w:tc>
          <w:tcPr>
            <w:tcW w:w="1668" w:type="dxa"/>
            <w:tcBorders>
              <w:top w:val="single" w:sz="4" w:space="0" w:color="7F7F7F"/>
              <w:bottom w:val="single" w:sz="4" w:space="0" w:color="7F7F7F"/>
            </w:tcBorders>
            <w:shd w:val="clear" w:color="auto" w:fill="auto"/>
            <w:noWrap/>
            <w:vAlign w:val="center"/>
            <w:hideMark/>
          </w:tcPr>
          <w:p w14:paraId="6FEC2A49" w14:textId="77777777" w:rsidR="00C7764C" w:rsidRPr="00C81B1E" w:rsidRDefault="00C7764C" w:rsidP="00C81B1E">
            <w:pPr>
              <w:pStyle w:val="MDPI42tablebody"/>
              <w:rPr>
                <w:rFonts w:eastAsia="Calibri"/>
                <w:b/>
                <w:bCs/>
                <w:i/>
                <w:iCs/>
                <w:lang w:val="en-GB" w:eastAsia="en-US"/>
              </w:rPr>
            </w:pPr>
            <w:r w:rsidRPr="00C81B1E">
              <w:rPr>
                <w:rFonts w:eastAsia="Calibri"/>
                <w:b/>
                <w:bCs/>
                <w:i/>
                <w:iCs/>
                <w:lang w:val="en-GB" w:eastAsia="en-US"/>
              </w:rPr>
              <w:t>E. coli</w:t>
            </w:r>
          </w:p>
        </w:tc>
        <w:tc>
          <w:tcPr>
            <w:tcW w:w="1476" w:type="dxa"/>
            <w:tcBorders>
              <w:top w:val="single" w:sz="4" w:space="0" w:color="7F7F7F"/>
              <w:bottom w:val="single" w:sz="4" w:space="0" w:color="7F7F7F"/>
            </w:tcBorders>
            <w:shd w:val="clear" w:color="auto" w:fill="auto"/>
            <w:noWrap/>
            <w:vAlign w:val="center"/>
            <w:hideMark/>
          </w:tcPr>
          <w:p w14:paraId="521F29A8" w14:textId="77777777" w:rsidR="00C7764C" w:rsidRPr="00C81B1E" w:rsidRDefault="00C7764C" w:rsidP="00C81B1E">
            <w:pPr>
              <w:pStyle w:val="MDPI42tablebody"/>
              <w:rPr>
                <w:rFonts w:eastAsia="Calibri"/>
                <w:lang w:val="en-GB" w:eastAsia="en-US"/>
              </w:rPr>
            </w:pPr>
            <w:r w:rsidRPr="00C81B1E">
              <w:rPr>
                <w:rFonts w:eastAsia="Calibri"/>
                <w:lang w:val="en-GB" w:eastAsia="en-US"/>
              </w:rPr>
              <w:t>CFU/g fresh matter</w:t>
            </w:r>
          </w:p>
        </w:tc>
        <w:tc>
          <w:tcPr>
            <w:tcW w:w="899" w:type="dxa"/>
            <w:tcBorders>
              <w:top w:val="single" w:sz="4" w:space="0" w:color="7F7F7F"/>
              <w:bottom w:val="single" w:sz="4" w:space="0" w:color="7F7F7F"/>
            </w:tcBorders>
            <w:shd w:val="clear" w:color="auto" w:fill="auto"/>
            <w:noWrap/>
            <w:vAlign w:val="center"/>
            <w:hideMark/>
          </w:tcPr>
          <w:p w14:paraId="108DE4AE"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w:t>
            </w:r>
          </w:p>
        </w:tc>
        <w:tc>
          <w:tcPr>
            <w:tcW w:w="5029" w:type="dxa"/>
            <w:vMerge w:val="restart"/>
            <w:tcBorders>
              <w:top w:val="single" w:sz="4" w:space="0" w:color="7F7F7F"/>
              <w:bottom w:val="single" w:sz="4" w:space="0" w:color="7F7F7F"/>
            </w:tcBorders>
            <w:shd w:val="clear" w:color="auto" w:fill="auto"/>
            <w:noWrap/>
            <w:vAlign w:val="center"/>
            <w:hideMark/>
          </w:tcPr>
          <w:p w14:paraId="2E8AA81A"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AD: </w:t>
            </w:r>
            <w:r w:rsidRPr="00C81B1E">
              <w:rPr>
                <w:rFonts w:eastAsia="Calibri"/>
                <w:lang w:val="en-GB" w:eastAsia="en-US"/>
              </w:rPr>
              <w:fldChar w:fldCharType="begin" w:fldLock="1"/>
            </w:r>
            <w:r w:rsidRPr="00C81B1E">
              <w:rPr>
                <w:rFonts w:eastAsia="Calibri"/>
                <w:lang w:val="en-GB" w:eastAsia="en-US"/>
              </w:rPr>
              <w:instrText>ADDIN CSL_CITATION {"citationItems":[{"id":"ITEM-1","itemData":{"ISBN":"0580617300","abstract":"Food products, Anaerobic bacteria, Digestive system, Agricultural products, Microorganisms, Microbiology","author":[{"dropping-particle":"","family":"British Standards Institution","given":"","non-dropping-particle":"","parse-names":false,"suffix":""}],"id":"ITEM-1","issued":{"date-parts":[["2014"]]},"title":"PAS 110:2014. Specification for whole digestate, separated liquor and separated fibre derived from the anaerobic digestion of source-segregated biodegradable materials","type":"report"},"uris":["http://www.mendeley.com/documents/?uuid=a1334019-daa9-4ee5-bd60-cd891a066519"]}],"mendeley":{"formattedCitation":"(British Standards Institution, 2014)","manualFormatting":"British Standards Institution (2014)","plainTextFormattedCitation":"(British Standards Institution, 2014)","previouslyFormattedCitation":"(British Standards Institution, 2014)"},"properties":{"noteIndex":0},"schema":"https://github.com/citation-style-language/schema/raw/master/csl-citation.json"}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British Standards Institution (2014)</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{"citationItems":[{"id":"ITEM-1","itemData":{"DOI":"10.1128/AEM.71.9.4951","ISBN":"058045195X","author":[{"dropping-particle":"","family":"British Standards Institution","given":"","non-dropping-particle":"","parse-names":false,"suffix":""}],"id":"ITEM-1","issued":{"date-parts":[["2011"]]},"title":"PAS 100:2011 Specification for Composted Materials","type":"report","volume":"January"},"uris":["http://www.mendeley.com/documents/?uuid=f0f7c64c-b25d-4a88-8d84-9a437c7611e0"]}],"mendeley":{"formattedCitation":"(British Standards Institution, 2011)","manualFormatting":"British Standards Institution (2011)","plainTextFormattedCitation":"(British Standards Institution, 2011)","previouslyFormattedCitation":"(British Standards Institution, 2011)"},"properties":{"noteIndex":0},"schema":"https://github.com/citation-style-language/schema/raw/master/csl-citation.json"}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British Standards Institution (2011)</w:t>
            </w:r>
            <w:r w:rsidRPr="00C81B1E">
              <w:rPr>
                <w:rFonts w:eastAsia="Calibri"/>
                <w:lang w:val="en-GB" w:eastAsia="en-US"/>
              </w:rPr>
              <w:fldChar w:fldCharType="end"/>
            </w:r>
          </w:p>
        </w:tc>
      </w:tr>
      <w:tr w:rsidR="00C81B1E" w:rsidRPr="00C81B1E" w14:paraId="01FD7F16" w14:textId="77777777" w:rsidTr="00C81B1E">
        <w:trPr>
          <w:trHeight w:val="255"/>
        </w:trPr>
        <w:tc>
          <w:tcPr>
            <w:tcW w:w="1668" w:type="dxa"/>
            <w:shd w:val="clear" w:color="auto" w:fill="auto"/>
            <w:noWrap/>
            <w:vAlign w:val="center"/>
            <w:hideMark/>
          </w:tcPr>
          <w:p w14:paraId="2967FB7E" w14:textId="77777777" w:rsidR="00C7764C" w:rsidRPr="00C81B1E" w:rsidRDefault="00C7764C" w:rsidP="00C81B1E">
            <w:pPr>
              <w:pStyle w:val="MDPI42tablebody"/>
              <w:rPr>
                <w:rFonts w:eastAsia="Calibri"/>
                <w:b/>
                <w:bCs/>
                <w:i/>
                <w:iCs/>
                <w:lang w:val="en-GB" w:eastAsia="en-US"/>
              </w:rPr>
            </w:pPr>
            <w:r w:rsidRPr="00C81B1E">
              <w:rPr>
                <w:rFonts w:eastAsia="Calibri"/>
                <w:b/>
                <w:bCs/>
                <w:i/>
                <w:iCs/>
                <w:lang w:val="en-GB" w:eastAsia="en-US"/>
              </w:rPr>
              <w:t xml:space="preserve">Salmonella </w:t>
            </w:r>
            <w:proofErr w:type="spellStart"/>
            <w:r w:rsidRPr="00C81B1E">
              <w:rPr>
                <w:rFonts w:eastAsia="Calibri"/>
                <w:b/>
                <w:bCs/>
                <w:i/>
                <w:iCs/>
                <w:lang w:val="en-GB" w:eastAsia="en-US"/>
              </w:rPr>
              <w:t>spp</w:t>
            </w:r>
            <w:proofErr w:type="spellEnd"/>
          </w:p>
        </w:tc>
        <w:tc>
          <w:tcPr>
            <w:tcW w:w="1476" w:type="dxa"/>
            <w:shd w:val="clear" w:color="auto" w:fill="auto"/>
            <w:noWrap/>
            <w:vAlign w:val="center"/>
            <w:hideMark/>
          </w:tcPr>
          <w:p w14:paraId="1527D556"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CFU/g fresh </w:t>
            </w:r>
            <w:r w:rsidRPr="00C81B1E">
              <w:rPr>
                <w:rFonts w:eastAsia="Calibri"/>
                <w:lang w:val="en-GB" w:eastAsia="en-US"/>
              </w:rPr>
              <w:lastRenderedPageBreak/>
              <w:t>matter</w:t>
            </w:r>
          </w:p>
        </w:tc>
        <w:tc>
          <w:tcPr>
            <w:tcW w:w="899" w:type="dxa"/>
            <w:shd w:val="clear" w:color="auto" w:fill="auto"/>
            <w:noWrap/>
            <w:vAlign w:val="center"/>
            <w:hideMark/>
          </w:tcPr>
          <w:p w14:paraId="342FFF70" w14:textId="77777777" w:rsidR="00C7764C" w:rsidRPr="00C81B1E" w:rsidRDefault="00C7764C" w:rsidP="00C81B1E">
            <w:pPr>
              <w:pStyle w:val="MDPI42tablebody"/>
              <w:rPr>
                <w:rFonts w:eastAsia="Calibri"/>
                <w:lang w:val="en-GB" w:eastAsia="en-US"/>
              </w:rPr>
            </w:pPr>
            <w:r w:rsidRPr="00C81B1E">
              <w:rPr>
                <w:rFonts w:eastAsia="Calibri"/>
                <w:lang w:val="en-GB" w:eastAsia="en-US"/>
              </w:rPr>
              <w:lastRenderedPageBreak/>
              <w:t>AD, C</w:t>
            </w:r>
          </w:p>
        </w:tc>
        <w:tc>
          <w:tcPr>
            <w:tcW w:w="5029" w:type="dxa"/>
            <w:vMerge/>
            <w:shd w:val="clear" w:color="auto" w:fill="auto"/>
            <w:noWrap/>
            <w:vAlign w:val="center"/>
          </w:tcPr>
          <w:p w14:paraId="30673232" w14:textId="77777777" w:rsidR="00C7764C" w:rsidRPr="00C81B1E" w:rsidRDefault="00C7764C" w:rsidP="00C81B1E">
            <w:pPr>
              <w:pStyle w:val="MDPI42tablebody"/>
              <w:rPr>
                <w:rFonts w:eastAsia="Calibri"/>
                <w:lang w:val="en-GB" w:eastAsia="en-US"/>
              </w:rPr>
            </w:pPr>
          </w:p>
        </w:tc>
      </w:tr>
      <w:tr w:rsidR="00C81B1E" w:rsidRPr="00C81B1E" w14:paraId="235740E8" w14:textId="77777777" w:rsidTr="00C81B1E">
        <w:trPr>
          <w:trHeight w:val="255"/>
        </w:trPr>
        <w:tc>
          <w:tcPr>
            <w:tcW w:w="1668" w:type="dxa"/>
            <w:tcBorders>
              <w:top w:val="single" w:sz="4" w:space="0" w:color="7F7F7F"/>
              <w:bottom w:val="single" w:sz="4" w:space="0" w:color="7F7F7F"/>
            </w:tcBorders>
            <w:shd w:val="clear" w:color="auto" w:fill="auto"/>
            <w:noWrap/>
            <w:vAlign w:val="center"/>
            <w:hideMark/>
          </w:tcPr>
          <w:p w14:paraId="75011713"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Cd</w:t>
            </w:r>
          </w:p>
        </w:tc>
        <w:tc>
          <w:tcPr>
            <w:tcW w:w="1476" w:type="dxa"/>
            <w:tcBorders>
              <w:top w:val="single" w:sz="4" w:space="0" w:color="7F7F7F"/>
              <w:bottom w:val="single" w:sz="4" w:space="0" w:color="7F7F7F"/>
            </w:tcBorders>
            <w:shd w:val="clear" w:color="auto" w:fill="auto"/>
            <w:noWrap/>
            <w:vAlign w:val="center"/>
            <w:hideMark/>
          </w:tcPr>
          <w:p w14:paraId="45DF3AED" w14:textId="77777777" w:rsidR="00C7764C" w:rsidRPr="00C81B1E" w:rsidRDefault="00C7764C" w:rsidP="00C81B1E">
            <w:pPr>
              <w:pStyle w:val="MDPI42tablebody"/>
              <w:rPr>
                <w:rFonts w:eastAsia="Calibri"/>
                <w:lang w:val="en-GB" w:eastAsia="en-US"/>
              </w:rPr>
            </w:pPr>
            <w:r w:rsidRPr="00C81B1E">
              <w:rPr>
                <w:rFonts w:eastAsia="Calibri"/>
                <w:lang w:val="en-GB" w:eastAsia="en-US"/>
              </w:rPr>
              <w:t>mg/kg</w:t>
            </w:r>
          </w:p>
        </w:tc>
        <w:tc>
          <w:tcPr>
            <w:tcW w:w="899" w:type="dxa"/>
            <w:tcBorders>
              <w:top w:val="single" w:sz="4" w:space="0" w:color="7F7F7F"/>
              <w:bottom w:val="single" w:sz="4" w:space="0" w:color="7F7F7F"/>
            </w:tcBorders>
            <w:shd w:val="clear" w:color="auto" w:fill="auto"/>
            <w:noWrap/>
            <w:vAlign w:val="center"/>
            <w:hideMark/>
          </w:tcPr>
          <w:p w14:paraId="1FE46CCB"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w:t>
            </w:r>
          </w:p>
        </w:tc>
        <w:tc>
          <w:tcPr>
            <w:tcW w:w="5029" w:type="dxa"/>
            <w:vMerge/>
            <w:tcBorders>
              <w:top w:val="single" w:sz="4" w:space="0" w:color="7F7F7F"/>
              <w:bottom w:val="single" w:sz="4" w:space="0" w:color="7F7F7F"/>
            </w:tcBorders>
            <w:shd w:val="clear" w:color="auto" w:fill="auto"/>
            <w:noWrap/>
            <w:vAlign w:val="center"/>
          </w:tcPr>
          <w:p w14:paraId="192E614B" w14:textId="77777777" w:rsidR="00C7764C" w:rsidRPr="00C81B1E" w:rsidRDefault="00C7764C" w:rsidP="00C81B1E">
            <w:pPr>
              <w:pStyle w:val="MDPI42tablebody"/>
              <w:rPr>
                <w:rFonts w:eastAsia="Calibri"/>
                <w:lang w:val="en-GB" w:eastAsia="en-US"/>
              </w:rPr>
            </w:pPr>
          </w:p>
        </w:tc>
      </w:tr>
      <w:tr w:rsidR="00C81B1E" w:rsidRPr="00C81B1E" w14:paraId="0DA60D54" w14:textId="77777777" w:rsidTr="00C81B1E">
        <w:trPr>
          <w:trHeight w:val="255"/>
        </w:trPr>
        <w:tc>
          <w:tcPr>
            <w:tcW w:w="1668" w:type="dxa"/>
            <w:shd w:val="clear" w:color="auto" w:fill="auto"/>
            <w:noWrap/>
            <w:vAlign w:val="center"/>
            <w:hideMark/>
          </w:tcPr>
          <w:p w14:paraId="6561C2C5"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Cr</w:t>
            </w:r>
          </w:p>
        </w:tc>
        <w:tc>
          <w:tcPr>
            <w:tcW w:w="1476" w:type="dxa"/>
            <w:shd w:val="clear" w:color="auto" w:fill="auto"/>
            <w:noWrap/>
            <w:vAlign w:val="center"/>
            <w:hideMark/>
          </w:tcPr>
          <w:p w14:paraId="7279EC22" w14:textId="77777777" w:rsidR="00C7764C" w:rsidRPr="00C81B1E" w:rsidRDefault="00C7764C" w:rsidP="00C81B1E">
            <w:pPr>
              <w:pStyle w:val="MDPI42tablebody"/>
              <w:rPr>
                <w:rFonts w:eastAsia="Calibri"/>
                <w:lang w:val="en-GB" w:eastAsia="en-US"/>
              </w:rPr>
            </w:pPr>
            <w:r w:rsidRPr="00C81B1E">
              <w:rPr>
                <w:rFonts w:eastAsia="Calibri"/>
                <w:lang w:val="en-GB" w:eastAsia="en-US"/>
              </w:rPr>
              <w:t>mg/kg</w:t>
            </w:r>
          </w:p>
        </w:tc>
        <w:tc>
          <w:tcPr>
            <w:tcW w:w="899" w:type="dxa"/>
            <w:shd w:val="clear" w:color="auto" w:fill="auto"/>
            <w:noWrap/>
            <w:vAlign w:val="center"/>
            <w:hideMark/>
          </w:tcPr>
          <w:p w14:paraId="4A64DC1F"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w:t>
            </w:r>
          </w:p>
        </w:tc>
        <w:tc>
          <w:tcPr>
            <w:tcW w:w="5029" w:type="dxa"/>
            <w:vMerge/>
            <w:shd w:val="clear" w:color="auto" w:fill="auto"/>
            <w:noWrap/>
            <w:vAlign w:val="center"/>
          </w:tcPr>
          <w:p w14:paraId="1A5D7033" w14:textId="77777777" w:rsidR="00C7764C" w:rsidRPr="00C81B1E" w:rsidRDefault="00C7764C" w:rsidP="00C81B1E">
            <w:pPr>
              <w:pStyle w:val="MDPI42tablebody"/>
              <w:rPr>
                <w:rFonts w:eastAsia="Calibri"/>
                <w:lang w:val="en-GB" w:eastAsia="en-US"/>
              </w:rPr>
            </w:pPr>
          </w:p>
        </w:tc>
      </w:tr>
      <w:tr w:rsidR="00C81B1E" w:rsidRPr="00C81B1E" w14:paraId="33FCA84A" w14:textId="77777777" w:rsidTr="00C81B1E">
        <w:trPr>
          <w:trHeight w:val="255"/>
        </w:trPr>
        <w:tc>
          <w:tcPr>
            <w:tcW w:w="1668" w:type="dxa"/>
            <w:tcBorders>
              <w:top w:val="single" w:sz="4" w:space="0" w:color="7F7F7F"/>
              <w:bottom w:val="single" w:sz="4" w:space="0" w:color="7F7F7F"/>
            </w:tcBorders>
            <w:shd w:val="clear" w:color="auto" w:fill="auto"/>
            <w:noWrap/>
            <w:vAlign w:val="center"/>
            <w:hideMark/>
          </w:tcPr>
          <w:p w14:paraId="3659F6DB"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Pb</w:t>
            </w:r>
          </w:p>
        </w:tc>
        <w:tc>
          <w:tcPr>
            <w:tcW w:w="1476" w:type="dxa"/>
            <w:tcBorders>
              <w:top w:val="single" w:sz="4" w:space="0" w:color="7F7F7F"/>
              <w:bottom w:val="single" w:sz="4" w:space="0" w:color="7F7F7F"/>
            </w:tcBorders>
            <w:shd w:val="clear" w:color="auto" w:fill="auto"/>
            <w:noWrap/>
            <w:vAlign w:val="center"/>
            <w:hideMark/>
          </w:tcPr>
          <w:p w14:paraId="345FF0E6" w14:textId="77777777" w:rsidR="00C7764C" w:rsidRPr="00C81B1E" w:rsidRDefault="00C7764C" w:rsidP="00C81B1E">
            <w:pPr>
              <w:pStyle w:val="MDPI42tablebody"/>
              <w:rPr>
                <w:rFonts w:eastAsia="Calibri"/>
                <w:lang w:val="en-GB" w:eastAsia="en-US"/>
              </w:rPr>
            </w:pPr>
            <w:r w:rsidRPr="00C81B1E">
              <w:rPr>
                <w:rFonts w:eastAsia="Calibri"/>
                <w:lang w:val="en-GB" w:eastAsia="en-US"/>
              </w:rPr>
              <w:t>mg/kg</w:t>
            </w:r>
          </w:p>
        </w:tc>
        <w:tc>
          <w:tcPr>
            <w:tcW w:w="899" w:type="dxa"/>
            <w:tcBorders>
              <w:top w:val="single" w:sz="4" w:space="0" w:color="7F7F7F"/>
              <w:bottom w:val="single" w:sz="4" w:space="0" w:color="7F7F7F"/>
            </w:tcBorders>
            <w:shd w:val="clear" w:color="auto" w:fill="auto"/>
            <w:noWrap/>
            <w:vAlign w:val="center"/>
            <w:hideMark/>
          </w:tcPr>
          <w:p w14:paraId="5FA96A04"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w:t>
            </w:r>
          </w:p>
        </w:tc>
        <w:tc>
          <w:tcPr>
            <w:tcW w:w="5029" w:type="dxa"/>
            <w:vMerge/>
            <w:tcBorders>
              <w:top w:val="single" w:sz="4" w:space="0" w:color="7F7F7F"/>
              <w:bottom w:val="single" w:sz="4" w:space="0" w:color="7F7F7F"/>
            </w:tcBorders>
            <w:shd w:val="clear" w:color="auto" w:fill="auto"/>
            <w:noWrap/>
            <w:vAlign w:val="center"/>
          </w:tcPr>
          <w:p w14:paraId="0154F9B8" w14:textId="77777777" w:rsidR="00C7764C" w:rsidRPr="00C81B1E" w:rsidRDefault="00C7764C" w:rsidP="00C81B1E">
            <w:pPr>
              <w:pStyle w:val="MDPI42tablebody"/>
              <w:rPr>
                <w:rFonts w:eastAsia="Calibri"/>
                <w:lang w:val="en-GB" w:eastAsia="en-US"/>
              </w:rPr>
            </w:pPr>
          </w:p>
        </w:tc>
      </w:tr>
      <w:tr w:rsidR="00C81B1E" w:rsidRPr="00C81B1E" w14:paraId="45D6EBA5" w14:textId="77777777" w:rsidTr="00C81B1E">
        <w:trPr>
          <w:trHeight w:val="255"/>
        </w:trPr>
        <w:tc>
          <w:tcPr>
            <w:tcW w:w="1668" w:type="dxa"/>
            <w:shd w:val="clear" w:color="auto" w:fill="auto"/>
            <w:noWrap/>
            <w:vAlign w:val="center"/>
            <w:hideMark/>
          </w:tcPr>
          <w:p w14:paraId="7ED0EB4F"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Hg</w:t>
            </w:r>
          </w:p>
        </w:tc>
        <w:tc>
          <w:tcPr>
            <w:tcW w:w="1476" w:type="dxa"/>
            <w:shd w:val="clear" w:color="auto" w:fill="auto"/>
            <w:noWrap/>
            <w:vAlign w:val="center"/>
            <w:hideMark/>
          </w:tcPr>
          <w:p w14:paraId="2FE02588" w14:textId="77777777" w:rsidR="00C7764C" w:rsidRPr="00C81B1E" w:rsidRDefault="00C7764C" w:rsidP="00C81B1E">
            <w:pPr>
              <w:pStyle w:val="MDPI42tablebody"/>
              <w:rPr>
                <w:rFonts w:eastAsia="Calibri"/>
                <w:lang w:val="en-GB" w:eastAsia="en-US"/>
              </w:rPr>
            </w:pPr>
            <w:r w:rsidRPr="00C81B1E">
              <w:rPr>
                <w:rFonts w:eastAsia="Calibri"/>
                <w:lang w:val="en-GB" w:eastAsia="en-US"/>
              </w:rPr>
              <w:t>mg/kg</w:t>
            </w:r>
          </w:p>
        </w:tc>
        <w:tc>
          <w:tcPr>
            <w:tcW w:w="899" w:type="dxa"/>
            <w:shd w:val="clear" w:color="auto" w:fill="auto"/>
            <w:noWrap/>
            <w:vAlign w:val="center"/>
            <w:hideMark/>
          </w:tcPr>
          <w:p w14:paraId="450C9CF6"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w:t>
            </w:r>
          </w:p>
        </w:tc>
        <w:tc>
          <w:tcPr>
            <w:tcW w:w="5029" w:type="dxa"/>
            <w:vMerge/>
            <w:shd w:val="clear" w:color="auto" w:fill="auto"/>
            <w:noWrap/>
            <w:vAlign w:val="center"/>
          </w:tcPr>
          <w:p w14:paraId="0FEE58F2" w14:textId="77777777" w:rsidR="00C7764C" w:rsidRPr="00C81B1E" w:rsidRDefault="00C7764C" w:rsidP="00C81B1E">
            <w:pPr>
              <w:pStyle w:val="MDPI42tablebody"/>
              <w:rPr>
                <w:rFonts w:eastAsia="Calibri"/>
                <w:lang w:val="en-GB" w:eastAsia="en-US"/>
              </w:rPr>
            </w:pPr>
          </w:p>
        </w:tc>
      </w:tr>
      <w:tr w:rsidR="00C81B1E" w:rsidRPr="00C81B1E" w14:paraId="5323F356" w14:textId="77777777" w:rsidTr="00C81B1E">
        <w:trPr>
          <w:trHeight w:val="255"/>
        </w:trPr>
        <w:tc>
          <w:tcPr>
            <w:tcW w:w="1668" w:type="dxa"/>
            <w:tcBorders>
              <w:top w:val="single" w:sz="4" w:space="0" w:color="7F7F7F"/>
              <w:bottom w:val="single" w:sz="4" w:space="0" w:color="7F7F7F"/>
            </w:tcBorders>
            <w:shd w:val="clear" w:color="auto" w:fill="auto"/>
            <w:noWrap/>
            <w:vAlign w:val="center"/>
            <w:hideMark/>
          </w:tcPr>
          <w:p w14:paraId="611AE777"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Ni</w:t>
            </w:r>
          </w:p>
        </w:tc>
        <w:tc>
          <w:tcPr>
            <w:tcW w:w="1476" w:type="dxa"/>
            <w:tcBorders>
              <w:top w:val="single" w:sz="4" w:space="0" w:color="7F7F7F"/>
              <w:bottom w:val="single" w:sz="4" w:space="0" w:color="7F7F7F"/>
            </w:tcBorders>
            <w:shd w:val="clear" w:color="auto" w:fill="auto"/>
            <w:noWrap/>
            <w:vAlign w:val="center"/>
            <w:hideMark/>
          </w:tcPr>
          <w:p w14:paraId="602EA7DB" w14:textId="77777777" w:rsidR="00C7764C" w:rsidRPr="00C81B1E" w:rsidRDefault="00C7764C" w:rsidP="00C81B1E">
            <w:pPr>
              <w:pStyle w:val="MDPI42tablebody"/>
              <w:rPr>
                <w:rFonts w:eastAsia="Calibri"/>
                <w:lang w:val="en-GB" w:eastAsia="en-US"/>
              </w:rPr>
            </w:pPr>
            <w:r w:rsidRPr="00C81B1E">
              <w:rPr>
                <w:rFonts w:eastAsia="Calibri"/>
                <w:lang w:val="en-GB" w:eastAsia="en-US"/>
              </w:rPr>
              <w:t>mg/kg</w:t>
            </w:r>
          </w:p>
        </w:tc>
        <w:tc>
          <w:tcPr>
            <w:tcW w:w="899" w:type="dxa"/>
            <w:tcBorders>
              <w:top w:val="single" w:sz="4" w:space="0" w:color="7F7F7F"/>
              <w:bottom w:val="single" w:sz="4" w:space="0" w:color="7F7F7F"/>
            </w:tcBorders>
            <w:shd w:val="clear" w:color="auto" w:fill="auto"/>
            <w:noWrap/>
            <w:vAlign w:val="center"/>
            <w:hideMark/>
          </w:tcPr>
          <w:p w14:paraId="78EA5E69"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w:t>
            </w:r>
          </w:p>
        </w:tc>
        <w:tc>
          <w:tcPr>
            <w:tcW w:w="5029" w:type="dxa"/>
            <w:vMerge/>
            <w:tcBorders>
              <w:top w:val="single" w:sz="4" w:space="0" w:color="7F7F7F"/>
              <w:bottom w:val="single" w:sz="4" w:space="0" w:color="7F7F7F"/>
            </w:tcBorders>
            <w:shd w:val="clear" w:color="auto" w:fill="auto"/>
            <w:noWrap/>
            <w:vAlign w:val="center"/>
          </w:tcPr>
          <w:p w14:paraId="5234EAE3" w14:textId="77777777" w:rsidR="00C7764C" w:rsidRPr="00C81B1E" w:rsidRDefault="00C7764C" w:rsidP="00C81B1E">
            <w:pPr>
              <w:pStyle w:val="MDPI42tablebody"/>
              <w:rPr>
                <w:rFonts w:eastAsia="Calibri"/>
                <w:lang w:val="en-GB" w:eastAsia="en-US"/>
              </w:rPr>
            </w:pPr>
          </w:p>
        </w:tc>
      </w:tr>
      <w:tr w:rsidR="00C81B1E" w:rsidRPr="00C81B1E" w14:paraId="46C64774" w14:textId="77777777" w:rsidTr="00C81B1E">
        <w:trPr>
          <w:trHeight w:val="255"/>
        </w:trPr>
        <w:tc>
          <w:tcPr>
            <w:tcW w:w="1668" w:type="dxa"/>
            <w:shd w:val="clear" w:color="auto" w:fill="auto"/>
            <w:noWrap/>
            <w:vAlign w:val="center"/>
            <w:hideMark/>
          </w:tcPr>
          <w:p w14:paraId="253B0129"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VFAs</w:t>
            </w:r>
          </w:p>
        </w:tc>
        <w:tc>
          <w:tcPr>
            <w:tcW w:w="1476" w:type="dxa"/>
            <w:shd w:val="clear" w:color="auto" w:fill="auto"/>
            <w:noWrap/>
            <w:vAlign w:val="center"/>
            <w:hideMark/>
          </w:tcPr>
          <w:p w14:paraId="63A85058" w14:textId="77777777" w:rsidR="00C7764C" w:rsidRPr="00C81B1E" w:rsidRDefault="00C7764C" w:rsidP="00C81B1E">
            <w:pPr>
              <w:pStyle w:val="MDPI42tablebody"/>
              <w:rPr>
                <w:rFonts w:eastAsia="Calibri"/>
                <w:lang w:val="en-GB" w:eastAsia="en-US"/>
              </w:rPr>
            </w:pPr>
            <w:r w:rsidRPr="00C81B1E">
              <w:rPr>
                <w:rFonts w:eastAsia="Calibri"/>
                <w:lang w:val="en-GB" w:eastAsia="en-US"/>
              </w:rPr>
              <w:t>COD/g VS</w:t>
            </w:r>
          </w:p>
        </w:tc>
        <w:tc>
          <w:tcPr>
            <w:tcW w:w="899" w:type="dxa"/>
            <w:shd w:val="clear" w:color="auto" w:fill="auto"/>
            <w:noWrap/>
            <w:vAlign w:val="center"/>
            <w:hideMark/>
          </w:tcPr>
          <w:p w14:paraId="4B1F20A0"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w:t>
            </w:r>
          </w:p>
        </w:tc>
        <w:tc>
          <w:tcPr>
            <w:tcW w:w="5029" w:type="dxa"/>
            <w:vMerge/>
            <w:shd w:val="clear" w:color="auto" w:fill="auto"/>
            <w:noWrap/>
            <w:vAlign w:val="center"/>
          </w:tcPr>
          <w:p w14:paraId="0433801B" w14:textId="77777777" w:rsidR="00C7764C" w:rsidRPr="00C81B1E" w:rsidRDefault="00C7764C" w:rsidP="00C81B1E">
            <w:pPr>
              <w:pStyle w:val="MDPI42tablebody"/>
              <w:rPr>
                <w:rFonts w:eastAsia="Calibri"/>
                <w:lang w:val="en-GB" w:eastAsia="en-US"/>
              </w:rPr>
            </w:pPr>
          </w:p>
        </w:tc>
      </w:tr>
      <w:tr w:rsidR="00C81B1E" w:rsidRPr="00C81B1E" w14:paraId="5986A463" w14:textId="77777777" w:rsidTr="00C81B1E">
        <w:trPr>
          <w:trHeight w:val="255"/>
        </w:trPr>
        <w:tc>
          <w:tcPr>
            <w:tcW w:w="1668" w:type="dxa"/>
            <w:tcBorders>
              <w:top w:val="single" w:sz="4" w:space="0" w:color="7F7F7F"/>
              <w:bottom w:val="single" w:sz="4" w:space="0" w:color="7F7F7F"/>
            </w:tcBorders>
            <w:shd w:val="clear" w:color="auto" w:fill="auto"/>
            <w:noWrap/>
            <w:vAlign w:val="center"/>
            <w:hideMark/>
          </w:tcPr>
          <w:p w14:paraId="3FAFF718"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Total glass, metal, plastic and any ‘other’ non-stone, man-made fragments &gt; 2 mm</w:t>
            </w:r>
          </w:p>
        </w:tc>
        <w:tc>
          <w:tcPr>
            <w:tcW w:w="1476" w:type="dxa"/>
            <w:tcBorders>
              <w:top w:val="single" w:sz="4" w:space="0" w:color="7F7F7F"/>
              <w:bottom w:val="single" w:sz="4" w:space="0" w:color="7F7F7F"/>
            </w:tcBorders>
            <w:shd w:val="clear" w:color="auto" w:fill="auto"/>
            <w:noWrap/>
            <w:vAlign w:val="center"/>
            <w:hideMark/>
          </w:tcPr>
          <w:p w14:paraId="5CA73845" w14:textId="77777777" w:rsidR="00C7764C" w:rsidRPr="00C81B1E" w:rsidRDefault="00C7764C" w:rsidP="00C81B1E">
            <w:pPr>
              <w:pStyle w:val="MDPI42tablebody"/>
              <w:rPr>
                <w:rFonts w:eastAsia="Calibri"/>
                <w:lang w:val="en-GB" w:eastAsia="en-US"/>
              </w:rPr>
            </w:pPr>
            <w:r w:rsidRPr="00C81B1E">
              <w:rPr>
                <w:rFonts w:eastAsia="Calibri"/>
                <w:lang w:val="en-GB" w:eastAsia="en-US"/>
              </w:rPr>
              <w:t>% m/m dry matter, no sharps</w:t>
            </w:r>
          </w:p>
        </w:tc>
        <w:tc>
          <w:tcPr>
            <w:tcW w:w="899" w:type="dxa"/>
            <w:tcBorders>
              <w:top w:val="single" w:sz="4" w:space="0" w:color="7F7F7F"/>
              <w:bottom w:val="single" w:sz="4" w:space="0" w:color="7F7F7F"/>
            </w:tcBorders>
            <w:shd w:val="clear" w:color="auto" w:fill="auto"/>
            <w:noWrap/>
            <w:vAlign w:val="center"/>
            <w:hideMark/>
          </w:tcPr>
          <w:p w14:paraId="1626A621"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w:t>
            </w:r>
          </w:p>
        </w:tc>
        <w:tc>
          <w:tcPr>
            <w:tcW w:w="5029" w:type="dxa"/>
            <w:vMerge/>
            <w:tcBorders>
              <w:top w:val="single" w:sz="4" w:space="0" w:color="7F7F7F"/>
              <w:bottom w:val="single" w:sz="4" w:space="0" w:color="7F7F7F"/>
            </w:tcBorders>
            <w:shd w:val="clear" w:color="auto" w:fill="auto"/>
            <w:noWrap/>
            <w:vAlign w:val="center"/>
          </w:tcPr>
          <w:p w14:paraId="63C00B84" w14:textId="77777777" w:rsidR="00C7764C" w:rsidRPr="00C81B1E" w:rsidRDefault="00C7764C" w:rsidP="00C81B1E">
            <w:pPr>
              <w:pStyle w:val="MDPI42tablebody"/>
              <w:rPr>
                <w:rFonts w:eastAsia="Calibri"/>
                <w:lang w:val="en-GB" w:eastAsia="en-US"/>
              </w:rPr>
            </w:pPr>
          </w:p>
        </w:tc>
      </w:tr>
      <w:tr w:rsidR="00C81B1E" w:rsidRPr="00C81B1E" w14:paraId="053A7087" w14:textId="77777777" w:rsidTr="00C81B1E">
        <w:trPr>
          <w:trHeight w:val="255"/>
        </w:trPr>
        <w:tc>
          <w:tcPr>
            <w:tcW w:w="1668" w:type="dxa"/>
            <w:shd w:val="clear" w:color="auto" w:fill="auto"/>
            <w:noWrap/>
            <w:vAlign w:val="center"/>
            <w:hideMark/>
          </w:tcPr>
          <w:p w14:paraId="1D5D5736"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Stones &gt; 5 mm</w:t>
            </w:r>
          </w:p>
        </w:tc>
        <w:tc>
          <w:tcPr>
            <w:tcW w:w="1476" w:type="dxa"/>
            <w:shd w:val="clear" w:color="auto" w:fill="auto"/>
            <w:noWrap/>
            <w:vAlign w:val="center"/>
            <w:hideMark/>
          </w:tcPr>
          <w:p w14:paraId="20E78604" w14:textId="77777777" w:rsidR="00C7764C" w:rsidRPr="00C81B1E" w:rsidRDefault="00C7764C" w:rsidP="00C81B1E">
            <w:pPr>
              <w:pStyle w:val="MDPI42tablebody"/>
              <w:rPr>
                <w:rFonts w:eastAsia="Calibri"/>
                <w:lang w:val="en-GB" w:eastAsia="en-US"/>
              </w:rPr>
            </w:pPr>
            <w:r w:rsidRPr="00C81B1E">
              <w:rPr>
                <w:rFonts w:eastAsia="Calibri"/>
                <w:lang w:val="en-GB" w:eastAsia="en-US"/>
              </w:rPr>
              <w:t>% m/m dry matter</w:t>
            </w:r>
          </w:p>
        </w:tc>
        <w:tc>
          <w:tcPr>
            <w:tcW w:w="899" w:type="dxa"/>
            <w:shd w:val="clear" w:color="auto" w:fill="auto"/>
            <w:noWrap/>
            <w:vAlign w:val="center"/>
            <w:hideMark/>
          </w:tcPr>
          <w:p w14:paraId="6D0D014C"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w:t>
            </w:r>
          </w:p>
        </w:tc>
        <w:tc>
          <w:tcPr>
            <w:tcW w:w="5029" w:type="dxa"/>
            <w:shd w:val="clear" w:color="auto" w:fill="auto"/>
            <w:noWrap/>
            <w:vAlign w:val="center"/>
            <w:hideMark/>
          </w:tcPr>
          <w:p w14:paraId="26F7A324"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AD: </w:t>
            </w:r>
            <w:r w:rsidRPr="00C81B1E">
              <w:rPr>
                <w:rFonts w:eastAsia="Calibri"/>
                <w:lang w:val="en-GB" w:eastAsia="en-US"/>
              </w:rPr>
              <w:fldChar w:fldCharType="begin" w:fldLock="1"/>
            </w:r>
            <w:r w:rsidRPr="00C81B1E">
              <w:rPr>
                <w:rFonts w:eastAsia="Calibri"/>
                <w:lang w:val="en-GB" w:eastAsia="en-US"/>
              </w:rPr>
              <w:instrText>ADDIN CSL_CITATION {"citationItems":[{"id":"ITEM-1","itemData":{"ISBN":"0580617300","abstract":"Food products, Anaerobic bacteria, Digestive system, Agricultural products, Microorganisms, Microbiology","author":[{"dropping-particle":"","family":"British Standards Institution","given":"","non-dropping-particle":"","parse-names":false,"suffix":""}],"id":"ITEM-1","issued":{"date-parts":[["2014"]]},"title":"PAS 110:2014. Specification for whole digestate, separated liquor and separated fibre derived from the anaerobic digestion of source-segregated biodegradable materials","type":"report"},"uris":["http://www.mendeley.com/documents/?uuid=a1334019-daa9-4ee5-bd60-cd891a066519"]}],"mendeley":{"formattedCitation":"(British Standards Institution, 2014)","manualFormatting":"British Standards Institution (2014)","plainTextFormattedCitation":"(British Standards Institution, 2014)","previouslyFormattedCitation":"(British Standards Institution, 2014)"},"properties":{"noteIndex":0},"schema":"https://github.com/citation-style-language/schema/raw/master/csl-citation.json"}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British Standards Institution (2014)</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{"citationItems":[{"id":"ITEM-1","itemData":{"DOI":"10.1128/AEM.71.9.4951","ISBN":"058045195X","author":[{"dropping-particle":"","family":"British Standards Institution","given":"","non-dropping-particle":"","parse-names":false,"suffix":""}],"id":"ITEM-1","issued":{"date-parts":[["2011"]]},"title":"PAS 100:2011 Specification for Composted Materials","type":"report","volume":"January"},"uris":["http://www.mendeley.com/documents/?uuid=f0f7c64c-b25d-4a88-8d84-9a437c7611e0"]}],"mendeley":{"formattedCitation":"(British Standards Institution, 2011)","manualFormatting":"British Standards Institution (2011)","plainTextFormattedCitation":"(British Standards Institution, 2011)","previouslyFormattedCitation":"(British Standards Institution, 2011)"},"properties":{"noteIndex":0},"schema":"https://github.com/citation-style-language/schema/raw/master/csl-citation.json"}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British Standards Institution (2011)</w:t>
            </w:r>
            <w:r w:rsidRPr="00C81B1E">
              <w:rPr>
                <w:rFonts w:eastAsia="Calibri"/>
                <w:lang w:val="en-GB" w:eastAsia="en-US"/>
              </w:rPr>
              <w:fldChar w:fldCharType="end"/>
            </w:r>
          </w:p>
        </w:tc>
      </w:tr>
      <w:tr w:rsidR="00C81B1E" w:rsidRPr="00C81B1E" w14:paraId="170AE24D" w14:textId="77777777" w:rsidTr="00C81B1E">
        <w:trPr>
          <w:trHeight w:val="255"/>
        </w:trPr>
        <w:tc>
          <w:tcPr>
            <w:tcW w:w="1668" w:type="dxa"/>
            <w:tcBorders>
              <w:top w:val="single" w:sz="4" w:space="0" w:color="7F7F7F"/>
              <w:bottom w:val="single" w:sz="4" w:space="0" w:color="7F7F7F"/>
            </w:tcBorders>
            <w:shd w:val="clear" w:color="auto" w:fill="auto"/>
            <w:noWrap/>
            <w:vAlign w:val="center"/>
            <w:hideMark/>
          </w:tcPr>
          <w:p w14:paraId="2DFB935B"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Total physical contaminants (excluding stones)</w:t>
            </w:r>
          </w:p>
        </w:tc>
        <w:tc>
          <w:tcPr>
            <w:tcW w:w="1476" w:type="dxa"/>
            <w:tcBorders>
              <w:top w:val="single" w:sz="4" w:space="0" w:color="7F7F7F"/>
              <w:bottom w:val="single" w:sz="4" w:space="0" w:color="7F7F7F"/>
            </w:tcBorders>
            <w:shd w:val="clear" w:color="auto" w:fill="auto"/>
            <w:noWrap/>
            <w:vAlign w:val="center"/>
            <w:hideMark/>
          </w:tcPr>
          <w:p w14:paraId="2750D942" w14:textId="77777777" w:rsidR="00C7764C" w:rsidRPr="00C81B1E" w:rsidRDefault="00C7764C" w:rsidP="00C81B1E">
            <w:pPr>
              <w:pStyle w:val="MDPI42tablebody"/>
              <w:rPr>
                <w:rFonts w:eastAsia="Calibri"/>
                <w:lang w:val="en-GB" w:eastAsia="en-US"/>
              </w:rPr>
            </w:pPr>
            <w:r w:rsidRPr="00C81B1E">
              <w:rPr>
                <w:rFonts w:eastAsia="Calibri"/>
                <w:lang w:val="en-GB" w:eastAsia="en-US"/>
              </w:rPr>
              <w:t>kg/t</w:t>
            </w:r>
          </w:p>
        </w:tc>
        <w:tc>
          <w:tcPr>
            <w:tcW w:w="899" w:type="dxa"/>
            <w:tcBorders>
              <w:top w:val="single" w:sz="4" w:space="0" w:color="7F7F7F"/>
              <w:bottom w:val="single" w:sz="4" w:space="0" w:color="7F7F7F"/>
            </w:tcBorders>
            <w:shd w:val="clear" w:color="auto" w:fill="auto"/>
            <w:noWrap/>
            <w:vAlign w:val="center"/>
            <w:hideMark/>
          </w:tcPr>
          <w:p w14:paraId="63AB9297" w14:textId="77777777" w:rsidR="00C7764C" w:rsidRPr="00C81B1E" w:rsidRDefault="00C7764C" w:rsidP="00C81B1E">
            <w:pPr>
              <w:pStyle w:val="MDPI42tablebody"/>
              <w:rPr>
                <w:rFonts w:eastAsia="Calibri"/>
                <w:lang w:val="en-GB" w:eastAsia="en-US"/>
              </w:rPr>
            </w:pPr>
            <w:r w:rsidRPr="00C81B1E">
              <w:rPr>
                <w:rFonts w:eastAsia="Calibri"/>
                <w:lang w:val="en-GB" w:eastAsia="en-US"/>
              </w:rPr>
              <w:t>AD</w:t>
            </w:r>
          </w:p>
        </w:tc>
        <w:tc>
          <w:tcPr>
            <w:tcW w:w="5029" w:type="dxa"/>
            <w:tcBorders>
              <w:top w:val="single" w:sz="4" w:space="0" w:color="7F7F7F"/>
              <w:bottom w:val="single" w:sz="4" w:space="0" w:color="7F7F7F"/>
            </w:tcBorders>
            <w:shd w:val="clear" w:color="auto" w:fill="auto"/>
            <w:noWrap/>
            <w:vAlign w:val="center"/>
            <w:hideMark/>
          </w:tcPr>
          <w:p w14:paraId="48238DFC" w14:textId="77777777" w:rsidR="00C7764C" w:rsidRPr="00C81B1E" w:rsidRDefault="00C7764C" w:rsidP="00C81B1E">
            <w:pPr>
              <w:pStyle w:val="MDPI42tablebody"/>
              <w:rPr>
                <w:rFonts w:eastAsia="Calibri"/>
                <w:lang w:val="en-GB" w:eastAsia="en-US"/>
              </w:rPr>
            </w:pPr>
            <w:r w:rsidRPr="00C81B1E">
              <w:rPr>
                <w:rFonts w:eastAsia="Calibri"/>
                <w:lang w:val="en-GB" w:eastAsia="en-US"/>
              </w:rPr>
              <w:fldChar w:fldCharType="begin" w:fldLock="1"/>
            </w:r>
            <w:r w:rsidRPr="00C81B1E">
              <w:rPr>
                <w:rFonts w:eastAsia="Calibri"/>
                <w:lang w:val="en-GB" w:eastAsia="en-US"/>
              </w:rPr>
              <w:instrText>ADDIN CSL_CITATION {"citationItems":[{"id":"ITEM-1","itemData":{"ISBN":"0580617300","abstract":"Food products, Anaerobic bacteria, Digestive system, Agricultural products, Microorganisms, Microbiology","author":[{"dropping-particle":"","family":"British Standards Institution","given":"","non-dropping-particle":"","parse-names":false,"suffix":""}],"id":"ITEM-1","issued":{"date-parts":[["2014"]]},"title":"PAS 110:2014. Specification for whole digestate, separated liquor and separated fibre derived from the anaerobic digestion of source-segregated biodegradable materials","type":"report"},"uris":["http://www.mendeley.com/documents/?uuid=a1334019-daa9-4ee5-bd60-cd891a066519"]}],"mendeley":{"formattedCitation":"(British Standards Institution, 2014)","manualFormatting":"British Standards Institution (2014)","plainTextFormattedCitation":"(British Standards Institution, 2014)","previouslyFormattedCitation":"(British Standards Institution, 2014)"},"properties":{"noteIndex":0},"schema":"https://github.com/citation-style-language/schema/raw/master/csl-citation.json"}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British Standards Institution (2014)</w:t>
            </w:r>
            <w:r w:rsidRPr="00C81B1E">
              <w:rPr>
                <w:rFonts w:eastAsia="Calibri"/>
                <w:lang w:val="en-GB" w:eastAsia="en-US"/>
              </w:rPr>
              <w:fldChar w:fldCharType="end"/>
            </w:r>
          </w:p>
        </w:tc>
      </w:tr>
      <w:tr w:rsidR="00C81B1E" w:rsidRPr="00C81B1E" w14:paraId="79A2B0C7" w14:textId="77777777" w:rsidTr="00C81B1E">
        <w:trPr>
          <w:trHeight w:val="255"/>
        </w:trPr>
        <w:tc>
          <w:tcPr>
            <w:tcW w:w="1668" w:type="dxa"/>
            <w:shd w:val="clear" w:color="auto" w:fill="auto"/>
            <w:noWrap/>
            <w:vAlign w:val="center"/>
            <w:hideMark/>
          </w:tcPr>
          <w:p w14:paraId="17987114"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Nutrient content: Na</w:t>
            </w:r>
          </w:p>
        </w:tc>
        <w:tc>
          <w:tcPr>
            <w:tcW w:w="1476" w:type="dxa"/>
            <w:shd w:val="clear" w:color="auto" w:fill="auto"/>
            <w:noWrap/>
            <w:vAlign w:val="center"/>
            <w:hideMark/>
          </w:tcPr>
          <w:p w14:paraId="4E36BC38" w14:textId="58D9666C" w:rsidR="00C7764C" w:rsidRPr="00C81B1E" w:rsidRDefault="00C7764C" w:rsidP="00C81B1E">
            <w:pPr>
              <w:pStyle w:val="MDPI42tablebody"/>
              <w:rPr>
                <w:rFonts w:eastAsia="Calibri"/>
                <w:lang w:val="en-GB" w:eastAsia="en-US"/>
              </w:rPr>
            </w:pPr>
            <w:r w:rsidRPr="00C81B1E">
              <w:rPr>
                <w:rFonts w:eastAsia="Calibri"/>
                <w:lang w:val="en-GB" w:eastAsia="en-US"/>
              </w:rPr>
              <w:t>mg /kg</w:t>
            </w:r>
          </w:p>
        </w:tc>
        <w:tc>
          <w:tcPr>
            <w:tcW w:w="899" w:type="dxa"/>
            <w:shd w:val="clear" w:color="auto" w:fill="auto"/>
            <w:noWrap/>
            <w:vAlign w:val="center"/>
            <w:hideMark/>
          </w:tcPr>
          <w:p w14:paraId="24DF93C7" w14:textId="77777777" w:rsidR="00C7764C" w:rsidRPr="00C81B1E" w:rsidRDefault="00C7764C" w:rsidP="00C81B1E">
            <w:pPr>
              <w:pStyle w:val="MDPI42tablebody"/>
              <w:rPr>
                <w:rFonts w:eastAsia="Calibri"/>
                <w:lang w:val="en-GB" w:eastAsia="en-US"/>
              </w:rPr>
            </w:pPr>
            <w:r w:rsidRPr="00C81B1E">
              <w:rPr>
                <w:rFonts w:eastAsia="Calibri"/>
                <w:lang w:val="en-GB" w:eastAsia="en-US"/>
              </w:rPr>
              <w:t>C</w:t>
            </w:r>
          </w:p>
        </w:tc>
        <w:tc>
          <w:tcPr>
            <w:tcW w:w="5029" w:type="dxa"/>
            <w:vMerge w:val="restart"/>
            <w:shd w:val="clear" w:color="auto" w:fill="auto"/>
            <w:noWrap/>
            <w:vAlign w:val="center"/>
            <w:hideMark/>
          </w:tcPr>
          <w:p w14:paraId="3034EE32" w14:textId="77777777" w:rsidR="00C7764C" w:rsidRPr="00C81B1E" w:rsidRDefault="00C7764C" w:rsidP="00C81B1E">
            <w:pPr>
              <w:pStyle w:val="MDPI42tablebody"/>
              <w:rPr>
                <w:rFonts w:eastAsia="Calibri"/>
                <w:lang w:val="en-GB" w:eastAsia="en-US"/>
              </w:rPr>
            </w:pPr>
            <w:r w:rsidRPr="00C81B1E">
              <w:rPr>
                <w:rFonts w:eastAsia="Calibri"/>
                <w:lang w:val="en-GB" w:eastAsia="en-US"/>
              </w:rPr>
              <w:fldChar w:fldCharType="begin" w:fldLock="1"/>
            </w:r>
            <w:r w:rsidRPr="00C81B1E">
              <w:rPr>
                <w:rFonts w:eastAsia="Calibri"/>
                <w:lang w:val="en-GB" w:eastAsia="en-US"/>
              </w:rPr>
              <w:instrText>ADDIN CSL_CITATION {"citationItems":[{"id":"ITEM-1","itemData":{"DOI":"10.1128/AEM.71.9.4951","ISBN":"058045195X","author":[{"dropping-particle":"","family":"British Standards Institution","given":"","non-dropping-particle":"","parse-names":false,"suffix":""}],"id":"ITEM-1","issued":{"date-parts":[["2011"]]},"title":"PAS 100:2011 Specification for Composted Materials","type":"report","volume":"January"},"uris":["http://www.mendeley.com/documents/?uuid=f0f7c64c-b25d-4a88-8d84-9a437c7611e0"]}],"mendeley":{"formattedCitation":"(British Standards Institution, 2011)","manualFormatting":"British Standards Institution (2011)","plainTextFormattedCitation":"(British Standards Institution, 2011)","previouslyFormattedCitation":"(British Standards Institution, 2011)"},"properties":{"noteIndex":0},"schema":"https://github.com/citation-style-language/schema/raw/master/csl-citation.json"}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British Standards Institution (2011)</w:t>
            </w:r>
            <w:r w:rsidRPr="00C81B1E">
              <w:rPr>
                <w:rFonts w:eastAsia="Calibri"/>
                <w:lang w:val="en-GB" w:eastAsia="en-US"/>
              </w:rPr>
              <w:fldChar w:fldCharType="end"/>
            </w:r>
          </w:p>
        </w:tc>
      </w:tr>
      <w:tr w:rsidR="00C81B1E" w:rsidRPr="00C81B1E" w14:paraId="7087E44E" w14:textId="77777777" w:rsidTr="00C81B1E">
        <w:trPr>
          <w:trHeight w:val="255"/>
        </w:trPr>
        <w:tc>
          <w:tcPr>
            <w:tcW w:w="1668" w:type="dxa"/>
            <w:tcBorders>
              <w:top w:val="single" w:sz="4" w:space="0" w:color="7F7F7F"/>
              <w:bottom w:val="single" w:sz="4" w:space="0" w:color="7F7F7F"/>
            </w:tcBorders>
            <w:shd w:val="clear" w:color="auto" w:fill="auto"/>
            <w:noWrap/>
            <w:vAlign w:val="center"/>
            <w:hideMark/>
          </w:tcPr>
          <w:p w14:paraId="7164C078"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Nutrient content: B</w:t>
            </w:r>
          </w:p>
        </w:tc>
        <w:tc>
          <w:tcPr>
            <w:tcW w:w="1476" w:type="dxa"/>
            <w:tcBorders>
              <w:top w:val="single" w:sz="4" w:space="0" w:color="7F7F7F"/>
              <w:bottom w:val="single" w:sz="4" w:space="0" w:color="7F7F7F"/>
            </w:tcBorders>
            <w:shd w:val="clear" w:color="auto" w:fill="auto"/>
            <w:noWrap/>
            <w:vAlign w:val="center"/>
            <w:hideMark/>
          </w:tcPr>
          <w:p w14:paraId="4138B74D" w14:textId="77777777" w:rsidR="00C7764C" w:rsidRPr="00C81B1E" w:rsidRDefault="00C7764C" w:rsidP="00C81B1E">
            <w:pPr>
              <w:pStyle w:val="MDPI42tablebody"/>
              <w:rPr>
                <w:rFonts w:eastAsia="Calibri"/>
                <w:lang w:val="en-GB" w:eastAsia="en-US"/>
              </w:rPr>
            </w:pPr>
            <w:r w:rsidRPr="00C81B1E">
              <w:rPr>
                <w:rFonts w:eastAsia="Calibri"/>
                <w:lang w:val="en-GB" w:eastAsia="en-US"/>
              </w:rPr>
              <w:t>mg/kg</w:t>
            </w:r>
          </w:p>
        </w:tc>
        <w:tc>
          <w:tcPr>
            <w:tcW w:w="899" w:type="dxa"/>
            <w:tcBorders>
              <w:top w:val="single" w:sz="4" w:space="0" w:color="7F7F7F"/>
              <w:bottom w:val="single" w:sz="4" w:space="0" w:color="7F7F7F"/>
            </w:tcBorders>
            <w:shd w:val="clear" w:color="auto" w:fill="auto"/>
            <w:noWrap/>
            <w:vAlign w:val="center"/>
            <w:hideMark/>
          </w:tcPr>
          <w:p w14:paraId="37DCDA9E" w14:textId="77777777" w:rsidR="00C7764C" w:rsidRPr="00C81B1E" w:rsidRDefault="00C7764C" w:rsidP="00C81B1E">
            <w:pPr>
              <w:pStyle w:val="MDPI42tablebody"/>
              <w:rPr>
                <w:rFonts w:eastAsia="Calibri"/>
                <w:lang w:val="en-GB" w:eastAsia="en-US"/>
              </w:rPr>
            </w:pPr>
            <w:r w:rsidRPr="00C81B1E">
              <w:rPr>
                <w:rFonts w:eastAsia="Calibri"/>
                <w:lang w:val="en-GB" w:eastAsia="en-US"/>
              </w:rPr>
              <w:t>C</w:t>
            </w:r>
          </w:p>
        </w:tc>
        <w:tc>
          <w:tcPr>
            <w:tcW w:w="5029" w:type="dxa"/>
            <w:vMerge/>
            <w:tcBorders>
              <w:top w:val="single" w:sz="4" w:space="0" w:color="7F7F7F"/>
              <w:bottom w:val="single" w:sz="4" w:space="0" w:color="7F7F7F"/>
            </w:tcBorders>
            <w:shd w:val="clear" w:color="auto" w:fill="auto"/>
            <w:noWrap/>
            <w:vAlign w:val="center"/>
          </w:tcPr>
          <w:p w14:paraId="2EBBAA7A" w14:textId="77777777" w:rsidR="00C7764C" w:rsidRPr="00C81B1E" w:rsidRDefault="00C7764C" w:rsidP="00C81B1E">
            <w:pPr>
              <w:pStyle w:val="MDPI42tablebody"/>
              <w:rPr>
                <w:rFonts w:eastAsia="Calibri"/>
                <w:lang w:val="en-GB" w:eastAsia="en-US"/>
              </w:rPr>
            </w:pPr>
          </w:p>
        </w:tc>
      </w:tr>
      <w:tr w:rsidR="00C81B1E" w:rsidRPr="00C81B1E" w14:paraId="6462D0C6" w14:textId="77777777" w:rsidTr="00C81B1E">
        <w:trPr>
          <w:trHeight w:val="255"/>
        </w:trPr>
        <w:tc>
          <w:tcPr>
            <w:tcW w:w="1668" w:type="dxa"/>
            <w:shd w:val="clear" w:color="auto" w:fill="auto"/>
            <w:noWrap/>
            <w:vAlign w:val="center"/>
            <w:hideMark/>
          </w:tcPr>
          <w:p w14:paraId="284E8A4F"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Nutrient content: Fe</w:t>
            </w:r>
          </w:p>
        </w:tc>
        <w:tc>
          <w:tcPr>
            <w:tcW w:w="1476" w:type="dxa"/>
            <w:shd w:val="clear" w:color="auto" w:fill="auto"/>
            <w:noWrap/>
            <w:vAlign w:val="center"/>
            <w:hideMark/>
          </w:tcPr>
          <w:p w14:paraId="681CC9D8" w14:textId="77777777" w:rsidR="00C7764C" w:rsidRPr="00C81B1E" w:rsidRDefault="00C7764C" w:rsidP="00C81B1E">
            <w:pPr>
              <w:pStyle w:val="MDPI42tablebody"/>
              <w:rPr>
                <w:rFonts w:eastAsia="Calibri"/>
                <w:lang w:val="en-GB" w:eastAsia="en-US"/>
              </w:rPr>
            </w:pPr>
            <w:r w:rsidRPr="00C81B1E">
              <w:rPr>
                <w:rFonts w:eastAsia="Calibri"/>
                <w:lang w:val="en-GB" w:eastAsia="en-US"/>
              </w:rPr>
              <w:t>mg/kg</w:t>
            </w:r>
          </w:p>
        </w:tc>
        <w:tc>
          <w:tcPr>
            <w:tcW w:w="899" w:type="dxa"/>
            <w:shd w:val="clear" w:color="auto" w:fill="auto"/>
            <w:noWrap/>
            <w:vAlign w:val="center"/>
            <w:hideMark/>
          </w:tcPr>
          <w:p w14:paraId="337858CF" w14:textId="77777777" w:rsidR="00C7764C" w:rsidRPr="00C81B1E" w:rsidRDefault="00C7764C" w:rsidP="00C81B1E">
            <w:pPr>
              <w:pStyle w:val="MDPI42tablebody"/>
              <w:rPr>
                <w:rFonts w:eastAsia="Calibri"/>
                <w:lang w:val="en-GB" w:eastAsia="en-US"/>
              </w:rPr>
            </w:pPr>
            <w:r w:rsidRPr="00C81B1E">
              <w:rPr>
                <w:rFonts w:eastAsia="Calibri"/>
                <w:lang w:val="en-GB" w:eastAsia="en-US"/>
              </w:rPr>
              <w:t>C</w:t>
            </w:r>
          </w:p>
        </w:tc>
        <w:tc>
          <w:tcPr>
            <w:tcW w:w="5029" w:type="dxa"/>
            <w:vMerge/>
            <w:shd w:val="clear" w:color="auto" w:fill="auto"/>
            <w:noWrap/>
            <w:vAlign w:val="center"/>
          </w:tcPr>
          <w:p w14:paraId="2AF3C1E9" w14:textId="77777777" w:rsidR="00C7764C" w:rsidRPr="00C81B1E" w:rsidRDefault="00C7764C" w:rsidP="00C81B1E">
            <w:pPr>
              <w:pStyle w:val="MDPI42tablebody"/>
              <w:rPr>
                <w:rFonts w:eastAsia="Calibri"/>
                <w:lang w:val="en-GB" w:eastAsia="en-US"/>
              </w:rPr>
            </w:pPr>
          </w:p>
        </w:tc>
      </w:tr>
      <w:tr w:rsidR="00C81B1E" w:rsidRPr="00C81B1E" w14:paraId="17B17CAB" w14:textId="77777777" w:rsidTr="00C81B1E">
        <w:trPr>
          <w:trHeight w:val="255"/>
        </w:trPr>
        <w:tc>
          <w:tcPr>
            <w:tcW w:w="1668" w:type="dxa"/>
            <w:tcBorders>
              <w:top w:val="single" w:sz="4" w:space="0" w:color="7F7F7F"/>
              <w:bottom w:val="single" w:sz="4" w:space="0" w:color="7F7F7F"/>
            </w:tcBorders>
            <w:shd w:val="clear" w:color="auto" w:fill="auto"/>
            <w:noWrap/>
            <w:vAlign w:val="center"/>
            <w:hideMark/>
          </w:tcPr>
          <w:p w14:paraId="3DF0208F"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Nutrient content: Mn</w:t>
            </w:r>
          </w:p>
        </w:tc>
        <w:tc>
          <w:tcPr>
            <w:tcW w:w="1476" w:type="dxa"/>
            <w:tcBorders>
              <w:top w:val="single" w:sz="4" w:space="0" w:color="7F7F7F"/>
              <w:bottom w:val="single" w:sz="4" w:space="0" w:color="7F7F7F"/>
            </w:tcBorders>
            <w:shd w:val="clear" w:color="auto" w:fill="auto"/>
            <w:noWrap/>
            <w:vAlign w:val="center"/>
            <w:hideMark/>
          </w:tcPr>
          <w:p w14:paraId="401DE59E" w14:textId="77777777" w:rsidR="00C7764C" w:rsidRPr="00C81B1E" w:rsidRDefault="00C7764C" w:rsidP="00C81B1E">
            <w:pPr>
              <w:pStyle w:val="MDPI42tablebody"/>
              <w:rPr>
                <w:rFonts w:eastAsia="Calibri"/>
                <w:lang w:val="en-GB" w:eastAsia="en-US"/>
              </w:rPr>
            </w:pPr>
            <w:r w:rsidRPr="00C81B1E">
              <w:rPr>
                <w:rFonts w:eastAsia="Calibri"/>
                <w:lang w:val="en-GB" w:eastAsia="en-US"/>
              </w:rPr>
              <w:t>mg/kg</w:t>
            </w:r>
          </w:p>
        </w:tc>
        <w:tc>
          <w:tcPr>
            <w:tcW w:w="899" w:type="dxa"/>
            <w:tcBorders>
              <w:top w:val="single" w:sz="4" w:space="0" w:color="7F7F7F"/>
              <w:bottom w:val="single" w:sz="4" w:space="0" w:color="7F7F7F"/>
            </w:tcBorders>
            <w:shd w:val="clear" w:color="auto" w:fill="auto"/>
            <w:noWrap/>
            <w:vAlign w:val="center"/>
            <w:hideMark/>
          </w:tcPr>
          <w:p w14:paraId="55FEA5CE" w14:textId="77777777" w:rsidR="00C7764C" w:rsidRPr="00C81B1E" w:rsidRDefault="00C7764C" w:rsidP="00C81B1E">
            <w:pPr>
              <w:pStyle w:val="MDPI42tablebody"/>
              <w:rPr>
                <w:rFonts w:eastAsia="Calibri"/>
                <w:lang w:val="en-GB" w:eastAsia="en-US"/>
              </w:rPr>
            </w:pPr>
            <w:r w:rsidRPr="00C81B1E">
              <w:rPr>
                <w:rFonts w:eastAsia="Calibri"/>
                <w:lang w:val="en-GB" w:eastAsia="en-US"/>
              </w:rPr>
              <w:t>C</w:t>
            </w:r>
          </w:p>
        </w:tc>
        <w:tc>
          <w:tcPr>
            <w:tcW w:w="5029" w:type="dxa"/>
            <w:vMerge/>
            <w:tcBorders>
              <w:top w:val="single" w:sz="4" w:space="0" w:color="7F7F7F"/>
              <w:bottom w:val="single" w:sz="4" w:space="0" w:color="7F7F7F"/>
            </w:tcBorders>
            <w:shd w:val="clear" w:color="auto" w:fill="auto"/>
            <w:noWrap/>
            <w:vAlign w:val="center"/>
          </w:tcPr>
          <w:p w14:paraId="252BADA6" w14:textId="77777777" w:rsidR="00C7764C" w:rsidRPr="00C81B1E" w:rsidRDefault="00C7764C" w:rsidP="00C81B1E">
            <w:pPr>
              <w:pStyle w:val="MDPI42tablebody"/>
              <w:rPr>
                <w:rFonts w:eastAsia="Calibri"/>
                <w:lang w:val="en-GB" w:eastAsia="en-US"/>
              </w:rPr>
            </w:pPr>
          </w:p>
        </w:tc>
      </w:tr>
      <w:tr w:rsidR="00C81B1E" w:rsidRPr="00C81B1E" w14:paraId="451FF254" w14:textId="77777777" w:rsidTr="00C81B1E">
        <w:trPr>
          <w:trHeight w:val="255"/>
        </w:trPr>
        <w:tc>
          <w:tcPr>
            <w:tcW w:w="1668" w:type="dxa"/>
            <w:shd w:val="clear" w:color="auto" w:fill="auto"/>
            <w:noWrap/>
            <w:vAlign w:val="center"/>
            <w:hideMark/>
          </w:tcPr>
          <w:p w14:paraId="0F086AEA"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Particle size distribution</w:t>
            </w:r>
          </w:p>
        </w:tc>
        <w:tc>
          <w:tcPr>
            <w:tcW w:w="1476" w:type="dxa"/>
            <w:shd w:val="clear" w:color="auto" w:fill="auto"/>
            <w:noWrap/>
            <w:vAlign w:val="center"/>
            <w:hideMark/>
          </w:tcPr>
          <w:p w14:paraId="50FA4EBA" w14:textId="77777777" w:rsidR="00C7764C" w:rsidRPr="00C81B1E" w:rsidRDefault="00C7764C" w:rsidP="00C81B1E">
            <w:pPr>
              <w:pStyle w:val="MDPI42tablebody"/>
              <w:rPr>
                <w:rFonts w:eastAsia="Calibri"/>
                <w:lang w:val="en-GB" w:eastAsia="en-US"/>
              </w:rPr>
            </w:pPr>
            <w:r w:rsidRPr="00C81B1E">
              <w:rPr>
                <w:rFonts w:eastAsia="Calibri"/>
                <w:lang w:val="en-GB" w:eastAsia="en-US"/>
              </w:rPr>
              <w:t>mm</w:t>
            </w:r>
          </w:p>
        </w:tc>
        <w:tc>
          <w:tcPr>
            <w:tcW w:w="899" w:type="dxa"/>
            <w:shd w:val="clear" w:color="auto" w:fill="auto"/>
            <w:noWrap/>
            <w:vAlign w:val="center"/>
            <w:hideMark/>
          </w:tcPr>
          <w:p w14:paraId="2DAB067F" w14:textId="77777777" w:rsidR="00C7764C" w:rsidRPr="00C81B1E" w:rsidRDefault="00C7764C" w:rsidP="00C81B1E">
            <w:pPr>
              <w:pStyle w:val="MDPI42tablebody"/>
              <w:rPr>
                <w:rFonts w:eastAsia="Calibri"/>
                <w:lang w:val="en-GB" w:eastAsia="en-US"/>
              </w:rPr>
            </w:pPr>
            <w:r w:rsidRPr="00C81B1E">
              <w:rPr>
                <w:rFonts w:eastAsia="Calibri"/>
                <w:lang w:val="en-GB" w:eastAsia="en-US"/>
              </w:rPr>
              <w:t>C</w:t>
            </w:r>
          </w:p>
        </w:tc>
        <w:tc>
          <w:tcPr>
            <w:tcW w:w="5029" w:type="dxa"/>
            <w:vMerge/>
            <w:shd w:val="clear" w:color="auto" w:fill="auto"/>
            <w:noWrap/>
            <w:vAlign w:val="center"/>
          </w:tcPr>
          <w:p w14:paraId="1524F036" w14:textId="77777777" w:rsidR="00C7764C" w:rsidRPr="00C81B1E" w:rsidRDefault="00C7764C" w:rsidP="00C81B1E">
            <w:pPr>
              <w:pStyle w:val="MDPI42tablebody"/>
              <w:rPr>
                <w:rFonts w:eastAsia="Calibri"/>
                <w:lang w:val="en-GB" w:eastAsia="en-US"/>
              </w:rPr>
            </w:pPr>
          </w:p>
        </w:tc>
      </w:tr>
      <w:tr w:rsidR="00C81B1E" w:rsidRPr="00C81B1E" w14:paraId="03F0762C" w14:textId="77777777" w:rsidTr="00C81B1E">
        <w:trPr>
          <w:trHeight w:val="255"/>
        </w:trPr>
        <w:tc>
          <w:tcPr>
            <w:tcW w:w="1668" w:type="dxa"/>
            <w:tcBorders>
              <w:top w:val="single" w:sz="4" w:space="0" w:color="7F7F7F"/>
              <w:bottom w:val="single" w:sz="4" w:space="0" w:color="7F7F7F"/>
            </w:tcBorders>
            <w:shd w:val="clear" w:color="auto" w:fill="auto"/>
            <w:noWrap/>
            <w:vAlign w:val="center"/>
            <w:hideMark/>
          </w:tcPr>
          <w:p w14:paraId="75A04885" w14:textId="77777777" w:rsidR="00C7764C" w:rsidRPr="00C81B1E" w:rsidRDefault="00C7764C" w:rsidP="00C81B1E">
            <w:pPr>
              <w:pStyle w:val="MDPI42tablebody"/>
              <w:rPr>
                <w:rFonts w:eastAsia="Calibri"/>
                <w:b/>
                <w:bCs/>
                <w:lang w:val="en-GB" w:eastAsia="en-US"/>
              </w:rPr>
            </w:pPr>
            <w:proofErr w:type="gramStart"/>
            <w:r w:rsidRPr="00C81B1E">
              <w:rPr>
                <w:rFonts w:eastAsia="Calibri"/>
                <w:b/>
                <w:bCs/>
                <w:lang w:val="en-GB" w:eastAsia="en-US"/>
              </w:rPr>
              <w:t>C:N</w:t>
            </w:r>
            <w:proofErr w:type="gramEnd"/>
          </w:p>
        </w:tc>
        <w:tc>
          <w:tcPr>
            <w:tcW w:w="1476" w:type="dxa"/>
            <w:tcBorders>
              <w:top w:val="single" w:sz="4" w:space="0" w:color="7F7F7F"/>
              <w:bottom w:val="single" w:sz="4" w:space="0" w:color="7F7F7F"/>
            </w:tcBorders>
            <w:shd w:val="clear" w:color="auto" w:fill="auto"/>
            <w:noWrap/>
            <w:vAlign w:val="center"/>
            <w:hideMark/>
          </w:tcPr>
          <w:p w14:paraId="210B0583" w14:textId="77777777" w:rsidR="00C7764C" w:rsidRPr="00C81B1E" w:rsidRDefault="00C7764C" w:rsidP="00C81B1E">
            <w:pPr>
              <w:pStyle w:val="MDPI42tablebody"/>
              <w:rPr>
                <w:rFonts w:eastAsia="Calibri"/>
                <w:lang w:val="en-GB" w:eastAsia="en-US"/>
              </w:rPr>
            </w:pPr>
            <w:proofErr w:type="gramStart"/>
            <w:r w:rsidRPr="00C81B1E">
              <w:rPr>
                <w:rFonts w:eastAsia="Calibri"/>
                <w:lang w:val="en-GB" w:eastAsia="en-US"/>
              </w:rPr>
              <w:t>C:N</w:t>
            </w:r>
            <w:proofErr w:type="gramEnd"/>
            <w:r w:rsidRPr="00C81B1E">
              <w:rPr>
                <w:rFonts w:eastAsia="Calibri"/>
                <w:lang w:val="en-GB" w:eastAsia="en-US"/>
              </w:rPr>
              <w:t xml:space="preserve"> (mass)</w:t>
            </w:r>
          </w:p>
        </w:tc>
        <w:tc>
          <w:tcPr>
            <w:tcW w:w="899" w:type="dxa"/>
            <w:tcBorders>
              <w:top w:val="single" w:sz="4" w:space="0" w:color="7F7F7F"/>
              <w:bottom w:val="single" w:sz="4" w:space="0" w:color="7F7F7F"/>
            </w:tcBorders>
            <w:shd w:val="clear" w:color="auto" w:fill="auto"/>
            <w:noWrap/>
            <w:vAlign w:val="center"/>
            <w:hideMark/>
          </w:tcPr>
          <w:p w14:paraId="3EDF3B58" w14:textId="77777777" w:rsidR="00C7764C" w:rsidRPr="00C81B1E" w:rsidRDefault="00C7764C" w:rsidP="00C81B1E">
            <w:pPr>
              <w:pStyle w:val="MDPI42tablebody"/>
              <w:rPr>
                <w:rFonts w:eastAsia="Calibri"/>
                <w:lang w:val="en-GB" w:eastAsia="en-US"/>
              </w:rPr>
            </w:pPr>
            <w:r w:rsidRPr="00C81B1E">
              <w:rPr>
                <w:rFonts w:eastAsia="Calibri"/>
                <w:lang w:val="en-GB" w:eastAsia="en-US"/>
              </w:rPr>
              <w:t>C</w:t>
            </w:r>
          </w:p>
        </w:tc>
        <w:tc>
          <w:tcPr>
            <w:tcW w:w="5029" w:type="dxa"/>
            <w:vMerge/>
            <w:tcBorders>
              <w:top w:val="single" w:sz="4" w:space="0" w:color="7F7F7F"/>
              <w:bottom w:val="single" w:sz="4" w:space="0" w:color="7F7F7F"/>
            </w:tcBorders>
            <w:shd w:val="clear" w:color="auto" w:fill="auto"/>
            <w:noWrap/>
            <w:vAlign w:val="center"/>
          </w:tcPr>
          <w:p w14:paraId="14F4871F" w14:textId="77777777" w:rsidR="00C7764C" w:rsidRPr="00C81B1E" w:rsidRDefault="00C7764C" w:rsidP="00C81B1E">
            <w:pPr>
              <w:pStyle w:val="MDPI42tablebody"/>
              <w:rPr>
                <w:rFonts w:eastAsia="Calibri"/>
                <w:lang w:val="en-GB" w:eastAsia="en-US"/>
              </w:rPr>
            </w:pPr>
          </w:p>
        </w:tc>
      </w:tr>
      <w:tr w:rsidR="00C81B1E" w:rsidRPr="00C81B1E" w14:paraId="65E721C7" w14:textId="77777777" w:rsidTr="00C81B1E">
        <w:trPr>
          <w:trHeight w:val="255"/>
        </w:trPr>
        <w:tc>
          <w:tcPr>
            <w:tcW w:w="1668" w:type="dxa"/>
            <w:shd w:val="clear" w:color="auto" w:fill="auto"/>
            <w:noWrap/>
            <w:vAlign w:val="center"/>
            <w:hideMark/>
          </w:tcPr>
          <w:p w14:paraId="3AF23B85"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Electrical conductivity</w:t>
            </w:r>
          </w:p>
        </w:tc>
        <w:tc>
          <w:tcPr>
            <w:tcW w:w="1476" w:type="dxa"/>
            <w:shd w:val="clear" w:color="auto" w:fill="auto"/>
            <w:noWrap/>
            <w:vAlign w:val="center"/>
            <w:hideMark/>
          </w:tcPr>
          <w:p w14:paraId="79E2265E" w14:textId="77777777" w:rsidR="00C7764C" w:rsidRPr="00C81B1E" w:rsidRDefault="00C7764C" w:rsidP="00C81B1E">
            <w:pPr>
              <w:pStyle w:val="MDPI42tablebody"/>
              <w:rPr>
                <w:rFonts w:eastAsia="Calibri"/>
                <w:lang w:val="en-GB" w:eastAsia="en-US"/>
              </w:rPr>
            </w:pPr>
            <w:r w:rsidRPr="00C81B1E">
              <w:rPr>
                <w:rFonts w:eastAsia="Calibri"/>
                <w:lang w:val="en-GB" w:eastAsia="en-US"/>
              </w:rPr>
              <w:t>mS/cm</w:t>
            </w:r>
          </w:p>
        </w:tc>
        <w:tc>
          <w:tcPr>
            <w:tcW w:w="899" w:type="dxa"/>
            <w:shd w:val="clear" w:color="auto" w:fill="auto"/>
            <w:noWrap/>
            <w:vAlign w:val="center"/>
            <w:hideMark/>
          </w:tcPr>
          <w:p w14:paraId="73E6E82B" w14:textId="77777777" w:rsidR="00C7764C" w:rsidRPr="00C81B1E" w:rsidRDefault="00C7764C" w:rsidP="00C81B1E">
            <w:pPr>
              <w:pStyle w:val="MDPI42tablebody"/>
              <w:rPr>
                <w:rFonts w:eastAsia="Calibri"/>
                <w:lang w:val="en-GB" w:eastAsia="en-US"/>
              </w:rPr>
            </w:pPr>
            <w:r w:rsidRPr="00C81B1E">
              <w:rPr>
                <w:rFonts w:eastAsia="Calibri"/>
                <w:lang w:val="en-GB" w:eastAsia="en-US"/>
              </w:rPr>
              <w:t>C</w:t>
            </w:r>
          </w:p>
        </w:tc>
        <w:tc>
          <w:tcPr>
            <w:tcW w:w="5029" w:type="dxa"/>
            <w:vMerge/>
            <w:shd w:val="clear" w:color="auto" w:fill="auto"/>
            <w:noWrap/>
            <w:vAlign w:val="center"/>
          </w:tcPr>
          <w:p w14:paraId="7C65BBEB" w14:textId="77777777" w:rsidR="00C7764C" w:rsidRPr="00C81B1E" w:rsidRDefault="00C7764C" w:rsidP="00C81B1E">
            <w:pPr>
              <w:pStyle w:val="MDPI42tablebody"/>
              <w:rPr>
                <w:rFonts w:eastAsia="Calibri"/>
                <w:lang w:val="en-GB" w:eastAsia="en-US"/>
              </w:rPr>
            </w:pPr>
          </w:p>
        </w:tc>
      </w:tr>
      <w:tr w:rsidR="00C81B1E" w:rsidRPr="00C81B1E" w14:paraId="4935903B" w14:textId="77777777" w:rsidTr="00C81B1E">
        <w:trPr>
          <w:trHeight w:val="315"/>
        </w:trPr>
        <w:tc>
          <w:tcPr>
            <w:tcW w:w="1668" w:type="dxa"/>
            <w:tcBorders>
              <w:top w:val="single" w:sz="4" w:space="0" w:color="7F7F7F"/>
              <w:bottom w:val="single" w:sz="4" w:space="0" w:color="7F7F7F"/>
            </w:tcBorders>
            <w:shd w:val="clear" w:color="auto" w:fill="auto"/>
            <w:noWrap/>
            <w:vAlign w:val="center"/>
            <w:hideMark/>
          </w:tcPr>
          <w:p w14:paraId="6F07AF6C"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Microbial respiration rate</w:t>
            </w:r>
          </w:p>
        </w:tc>
        <w:tc>
          <w:tcPr>
            <w:tcW w:w="1476" w:type="dxa"/>
            <w:tcBorders>
              <w:top w:val="single" w:sz="4" w:space="0" w:color="7F7F7F"/>
              <w:bottom w:val="single" w:sz="4" w:space="0" w:color="7F7F7F"/>
            </w:tcBorders>
            <w:shd w:val="clear" w:color="auto" w:fill="auto"/>
            <w:noWrap/>
            <w:vAlign w:val="center"/>
            <w:hideMark/>
          </w:tcPr>
          <w:p w14:paraId="14E1C42A" w14:textId="77777777" w:rsidR="00C7764C" w:rsidRPr="00C81B1E" w:rsidRDefault="00C7764C" w:rsidP="00C81B1E">
            <w:pPr>
              <w:pStyle w:val="MDPI42tablebody"/>
              <w:rPr>
                <w:rFonts w:eastAsia="Calibri"/>
                <w:lang w:val="en-GB" w:eastAsia="en-US"/>
              </w:rPr>
            </w:pPr>
            <w:r w:rsidRPr="00C81B1E">
              <w:rPr>
                <w:rFonts w:eastAsia="Calibri"/>
                <w:lang w:val="en-GB" w:eastAsia="en-US"/>
              </w:rPr>
              <w:t>mg CO</w:t>
            </w:r>
            <w:r w:rsidRPr="00C81B1E">
              <w:rPr>
                <w:rFonts w:eastAsia="Calibri"/>
                <w:vertAlign w:val="subscript"/>
                <w:lang w:val="en-GB" w:eastAsia="en-US"/>
              </w:rPr>
              <w:t>2</w:t>
            </w:r>
            <w:r w:rsidRPr="00C81B1E">
              <w:rPr>
                <w:rFonts w:eastAsia="Calibri"/>
                <w:lang w:val="en-GB" w:eastAsia="en-US"/>
              </w:rPr>
              <w:t>/g organic matter per day</w:t>
            </w:r>
          </w:p>
        </w:tc>
        <w:tc>
          <w:tcPr>
            <w:tcW w:w="899" w:type="dxa"/>
            <w:tcBorders>
              <w:top w:val="single" w:sz="4" w:space="0" w:color="7F7F7F"/>
              <w:bottom w:val="single" w:sz="4" w:space="0" w:color="7F7F7F"/>
            </w:tcBorders>
            <w:shd w:val="clear" w:color="auto" w:fill="auto"/>
            <w:noWrap/>
            <w:vAlign w:val="center"/>
            <w:hideMark/>
          </w:tcPr>
          <w:p w14:paraId="342F3189" w14:textId="77777777" w:rsidR="00C7764C" w:rsidRPr="00C81B1E" w:rsidRDefault="00C7764C" w:rsidP="00C81B1E">
            <w:pPr>
              <w:pStyle w:val="MDPI42tablebody"/>
              <w:rPr>
                <w:rFonts w:eastAsia="Calibri"/>
                <w:lang w:val="en-GB" w:eastAsia="en-US"/>
              </w:rPr>
            </w:pPr>
            <w:r w:rsidRPr="00C81B1E">
              <w:rPr>
                <w:rFonts w:eastAsia="Calibri"/>
                <w:lang w:val="en-GB" w:eastAsia="en-US"/>
              </w:rPr>
              <w:t>C</w:t>
            </w:r>
          </w:p>
        </w:tc>
        <w:tc>
          <w:tcPr>
            <w:tcW w:w="5029" w:type="dxa"/>
            <w:vMerge/>
            <w:tcBorders>
              <w:top w:val="single" w:sz="4" w:space="0" w:color="7F7F7F"/>
              <w:bottom w:val="single" w:sz="4" w:space="0" w:color="7F7F7F"/>
            </w:tcBorders>
            <w:shd w:val="clear" w:color="auto" w:fill="auto"/>
            <w:noWrap/>
            <w:vAlign w:val="center"/>
          </w:tcPr>
          <w:p w14:paraId="118C2A0B" w14:textId="77777777" w:rsidR="00C7764C" w:rsidRPr="00C81B1E" w:rsidRDefault="00C7764C" w:rsidP="00C81B1E">
            <w:pPr>
              <w:pStyle w:val="MDPI42tablebody"/>
              <w:rPr>
                <w:rFonts w:eastAsia="Calibri"/>
                <w:lang w:val="en-GB" w:eastAsia="en-US"/>
              </w:rPr>
            </w:pPr>
          </w:p>
        </w:tc>
      </w:tr>
      <w:tr w:rsidR="00C81B1E" w:rsidRPr="00C81B1E" w14:paraId="7B7C8C0E" w14:textId="77777777" w:rsidTr="00C81B1E">
        <w:trPr>
          <w:trHeight w:val="255"/>
        </w:trPr>
        <w:tc>
          <w:tcPr>
            <w:tcW w:w="1668" w:type="dxa"/>
            <w:shd w:val="clear" w:color="auto" w:fill="auto"/>
            <w:noWrap/>
            <w:vAlign w:val="center"/>
            <w:hideMark/>
          </w:tcPr>
          <w:p w14:paraId="26EB1608"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Germination seeds or propagule regrowth</w:t>
            </w:r>
          </w:p>
        </w:tc>
        <w:tc>
          <w:tcPr>
            <w:tcW w:w="1476" w:type="dxa"/>
            <w:shd w:val="clear" w:color="auto" w:fill="auto"/>
            <w:noWrap/>
            <w:vAlign w:val="center"/>
            <w:hideMark/>
          </w:tcPr>
          <w:p w14:paraId="23B8E848" w14:textId="77777777" w:rsidR="00C7764C" w:rsidRPr="00C81B1E" w:rsidRDefault="00C7764C" w:rsidP="00C81B1E">
            <w:pPr>
              <w:pStyle w:val="MDPI42tablebody"/>
              <w:rPr>
                <w:rFonts w:eastAsia="Calibri"/>
                <w:lang w:val="en-GB" w:eastAsia="en-US"/>
              </w:rPr>
            </w:pPr>
            <w:r w:rsidRPr="00C81B1E">
              <w:rPr>
                <w:rFonts w:eastAsia="Calibri"/>
                <w:lang w:val="en-GB" w:eastAsia="en-US"/>
              </w:rPr>
              <w:t>mean number/litre of compost</w:t>
            </w:r>
          </w:p>
        </w:tc>
        <w:tc>
          <w:tcPr>
            <w:tcW w:w="899" w:type="dxa"/>
            <w:shd w:val="clear" w:color="auto" w:fill="auto"/>
            <w:noWrap/>
            <w:vAlign w:val="center"/>
            <w:hideMark/>
          </w:tcPr>
          <w:p w14:paraId="07B3CE8D" w14:textId="77777777" w:rsidR="00C7764C" w:rsidRPr="00C81B1E" w:rsidRDefault="00C7764C" w:rsidP="00C81B1E">
            <w:pPr>
              <w:pStyle w:val="MDPI42tablebody"/>
              <w:rPr>
                <w:rFonts w:eastAsia="Calibri"/>
                <w:lang w:val="en-GB" w:eastAsia="en-US"/>
              </w:rPr>
            </w:pPr>
            <w:r w:rsidRPr="00C81B1E">
              <w:rPr>
                <w:rFonts w:eastAsia="Calibri"/>
                <w:lang w:val="en-GB" w:eastAsia="en-US"/>
              </w:rPr>
              <w:t>C</w:t>
            </w:r>
          </w:p>
        </w:tc>
        <w:tc>
          <w:tcPr>
            <w:tcW w:w="5029" w:type="dxa"/>
            <w:vMerge/>
            <w:shd w:val="clear" w:color="auto" w:fill="auto"/>
            <w:noWrap/>
            <w:vAlign w:val="center"/>
          </w:tcPr>
          <w:p w14:paraId="1807BA23" w14:textId="77777777" w:rsidR="00C7764C" w:rsidRPr="00C81B1E" w:rsidRDefault="00C7764C" w:rsidP="00C81B1E">
            <w:pPr>
              <w:pStyle w:val="MDPI42tablebody"/>
              <w:rPr>
                <w:rFonts w:eastAsia="Calibri"/>
                <w:lang w:val="en-GB" w:eastAsia="en-US"/>
              </w:rPr>
            </w:pPr>
          </w:p>
        </w:tc>
      </w:tr>
      <w:tr w:rsidR="00C81B1E" w:rsidRPr="00C81B1E" w14:paraId="0E887DA4" w14:textId="77777777" w:rsidTr="00C81B1E">
        <w:trPr>
          <w:trHeight w:val="255"/>
        </w:trPr>
        <w:tc>
          <w:tcPr>
            <w:tcW w:w="1668" w:type="dxa"/>
            <w:tcBorders>
              <w:top w:val="single" w:sz="4" w:space="0" w:color="7F7F7F"/>
              <w:bottom w:val="single" w:sz="4" w:space="0" w:color="7F7F7F"/>
            </w:tcBorders>
            <w:shd w:val="clear" w:color="auto" w:fill="auto"/>
            <w:noWrap/>
            <w:vAlign w:val="center"/>
            <w:hideMark/>
          </w:tcPr>
          <w:p w14:paraId="7415EFE4"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Stones &gt; 4 mm in grades other than "mulch"</w:t>
            </w:r>
          </w:p>
        </w:tc>
        <w:tc>
          <w:tcPr>
            <w:tcW w:w="1476" w:type="dxa"/>
            <w:tcBorders>
              <w:top w:val="single" w:sz="4" w:space="0" w:color="7F7F7F"/>
              <w:bottom w:val="single" w:sz="4" w:space="0" w:color="7F7F7F"/>
            </w:tcBorders>
            <w:shd w:val="clear" w:color="auto" w:fill="auto"/>
            <w:noWrap/>
            <w:vAlign w:val="center"/>
            <w:hideMark/>
          </w:tcPr>
          <w:p w14:paraId="08A0F2F2" w14:textId="77777777" w:rsidR="00C7764C" w:rsidRPr="00C81B1E" w:rsidRDefault="00C7764C" w:rsidP="00C81B1E">
            <w:pPr>
              <w:pStyle w:val="MDPI42tablebody"/>
              <w:rPr>
                <w:rFonts w:eastAsia="Calibri"/>
                <w:lang w:val="en-GB" w:eastAsia="en-US"/>
              </w:rPr>
            </w:pPr>
            <w:r w:rsidRPr="00C81B1E">
              <w:rPr>
                <w:rFonts w:eastAsia="Calibri"/>
                <w:lang w:val="en-GB" w:eastAsia="en-US"/>
              </w:rPr>
              <w:t>% mass</w:t>
            </w:r>
          </w:p>
        </w:tc>
        <w:tc>
          <w:tcPr>
            <w:tcW w:w="899" w:type="dxa"/>
            <w:tcBorders>
              <w:top w:val="single" w:sz="4" w:space="0" w:color="7F7F7F"/>
              <w:bottom w:val="single" w:sz="4" w:space="0" w:color="7F7F7F"/>
            </w:tcBorders>
            <w:shd w:val="clear" w:color="auto" w:fill="auto"/>
            <w:noWrap/>
            <w:vAlign w:val="center"/>
            <w:hideMark/>
          </w:tcPr>
          <w:p w14:paraId="2194DDCC" w14:textId="77777777" w:rsidR="00C7764C" w:rsidRPr="00C81B1E" w:rsidRDefault="00C7764C" w:rsidP="00C81B1E">
            <w:pPr>
              <w:pStyle w:val="MDPI42tablebody"/>
              <w:rPr>
                <w:rFonts w:eastAsia="Calibri"/>
                <w:lang w:val="en-GB" w:eastAsia="en-US"/>
              </w:rPr>
            </w:pPr>
            <w:r w:rsidRPr="00C81B1E">
              <w:rPr>
                <w:rFonts w:eastAsia="Calibri"/>
                <w:lang w:val="en-GB" w:eastAsia="en-US"/>
              </w:rPr>
              <w:t>C</w:t>
            </w:r>
          </w:p>
        </w:tc>
        <w:tc>
          <w:tcPr>
            <w:tcW w:w="5029" w:type="dxa"/>
            <w:vMerge/>
            <w:tcBorders>
              <w:top w:val="single" w:sz="4" w:space="0" w:color="7F7F7F"/>
              <w:bottom w:val="single" w:sz="4" w:space="0" w:color="7F7F7F"/>
            </w:tcBorders>
            <w:shd w:val="clear" w:color="auto" w:fill="auto"/>
            <w:noWrap/>
            <w:vAlign w:val="center"/>
          </w:tcPr>
          <w:p w14:paraId="670D9135" w14:textId="77777777" w:rsidR="00C7764C" w:rsidRPr="00C81B1E" w:rsidRDefault="00C7764C" w:rsidP="00C81B1E">
            <w:pPr>
              <w:pStyle w:val="MDPI42tablebody"/>
              <w:rPr>
                <w:rFonts w:eastAsia="Calibri"/>
                <w:lang w:val="en-GB" w:eastAsia="en-US"/>
              </w:rPr>
            </w:pPr>
          </w:p>
        </w:tc>
      </w:tr>
      <w:tr w:rsidR="00C81B1E" w:rsidRPr="00C81B1E" w14:paraId="2FC9DA0B" w14:textId="77777777" w:rsidTr="00C81B1E">
        <w:trPr>
          <w:trHeight w:val="255"/>
        </w:trPr>
        <w:tc>
          <w:tcPr>
            <w:tcW w:w="1668" w:type="dxa"/>
            <w:shd w:val="clear" w:color="auto" w:fill="auto"/>
            <w:noWrap/>
            <w:vAlign w:val="center"/>
            <w:hideMark/>
          </w:tcPr>
          <w:p w14:paraId="2548B8D3"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Stones &gt; 4 mm in "mulch" grade</w:t>
            </w:r>
          </w:p>
        </w:tc>
        <w:tc>
          <w:tcPr>
            <w:tcW w:w="1476" w:type="dxa"/>
            <w:shd w:val="clear" w:color="auto" w:fill="auto"/>
            <w:noWrap/>
            <w:vAlign w:val="center"/>
            <w:hideMark/>
          </w:tcPr>
          <w:p w14:paraId="71E72BA0" w14:textId="77777777" w:rsidR="00C7764C" w:rsidRPr="00C81B1E" w:rsidRDefault="00C7764C" w:rsidP="00C81B1E">
            <w:pPr>
              <w:pStyle w:val="MDPI42tablebody"/>
              <w:rPr>
                <w:rFonts w:eastAsia="Calibri"/>
                <w:lang w:val="en-GB" w:eastAsia="en-US"/>
              </w:rPr>
            </w:pPr>
            <w:r w:rsidRPr="00C81B1E">
              <w:rPr>
                <w:rFonts w:eastAsia="Calibri"/>
                <w:lang w:val="en-GB" w:eastAsia="en-US"/>
              </w:rPr>
              <w:t>% mass</w:t>
            </w:r>
          </w:p>
        </w:tc>
        <w:tc>
          <w:tcPr>
            <w:tcW w:w="899" w:type="dxa"/>
            <w:shd w:val="clear" w:color="auto" w:fill="auto"/>
            <w:noWrap/>
            <w:vAlign w:val="center"/>
            <w:hideMark/>
          </w:tcPr>
          <w:p w14:paraId="4C818313" w14:textId="77777777" w:rsidR="00C7764C" w:rsidRPr="00C81B1E" w:rsidRDefault="00C7764C" w:rsidP="00C81B1E">
            <w:pPr>
              <w:pStyle w:val="MDPI42tablebody"/>
              <w:rPr>
                <w:rFonts w:eastAsia="Calibri"/>
                <w:lang w:val="en-GB" w:eastAsia="en-US"/>
              </w:rPr>
            </w:pPr>
            <w:r w:rsidRPr="00C81B1E">
              <w:rPr>
                <w:rFonts w:eastAsia="Calibri"/>
                <w:lang w:val="en-GB" w:eastAsia="en-US"/>
              </w:rPr>
              <w:t>C</w:t>
            </w:r>
          </w:p>
        </w:tc>
        <w:tc>
          <w:tcPr>
            <w:tcW w:w="5029" w:type="dxa"/>
            <w:vMerge/>
            <w:shd w:val="clear" w:color="auto" w:fill="auto"/>
            <w:noWrap/>
            <w:vAlign w:val="center"/>
          </w:tcPr>
          <w:p w14:paraId="1F8E43C0" w14:textId="77777777" w:rsidR="00C7764C" w:rsidRPr="00C81B1E" w:rsidRDefault="00C7764C" w:rsidP="00C81B1E">
            <w:pPr>
              <w:pStyle w:val="MDPI42tablebody"/>
              <w:rPr>
                <w:rFonts w:eastAsia="Calibri"/>
                <w:lang w:val="en-GB" w:eastAsia="en-US"/>
              </w:rPr>
            </w:pPr>
          </w:p>
        </w:tc>
      </w:tr>
      <w:tr w:rsidR="00C81B1E" w:rsidRPr="00C81B1E" w14:paraId="1DDC8F99" w14:textId="77777777" w:rsidTr="00C81B1E">
        <w:trPr>
          <w:trHeight w:val="255"/>
        </w:trPr>
        <w:tc>
          <w:tcPr>
            <w:tcW w:w="1668" w:type="dxa"/>
            <w:tcBorders>
              <w:top w:val="single" w:sz="4" w:space="0" w:color="7F7F7F"/>
              <w:bottom w:val="single" w:sz="4" w:space="0" w:color="7F7F7F"/>
            </w:tcBorders>
            <w:shd w:val="clear" w:color="auto" w:fill="auto"/>
            <w:noWrap/>
            <w:vAlign w:val="center"/>
            <w:hideMark/>
          </w:tcPr>
          <w:p w14:paraId="6DBEA1CC"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Leaching value</w:t>
            </w:r>
          </w:p>
        </w:tc>
        <w:tc>
          <w:tcPr>
            <w:tcW w:w="1476" w:type="dxa"/>
            <w:tcBorders>
              <w:top w:val="single" w:sz="4" w:space="0" w:color="7F7F7F"/>
              <w:bottom w:val="single" w:sz="4" w:space="0" w:color="7F7F7F"/>
            </w:tcBorders>
            <w:shd w:val="clear" w:color="auto" w:fill="auto"/>
            <w:noWrap/>
            <w:vAlign w:val="center"/>
            <w:hideMark/>
          </w:tcPr>
          <w:p w14:paraId="45520C17" w14:textId="77777777" w:rsidR="00C7764C" w:rsidRPr="00C81B1E" w:rsidRDefault="00C7764C" w:rsidP="00C81B1E">
            <w:pPr>
              <w:pStyle w:val="MDPI42tablebody"/>
              <w:rPr>
                <w:rFonts w:eastAsia="Calibri"/>
                <w:lang w:val="en-GB" w:eastAsia="en-US"/>
              </w:rPr>
            </w:pPr>
            <w:r w:rsidRPr="00C81B1E">
              <w:rPr>
                <w:rFonts w:eastAsia="Calibri"/>
                <w:lang w:val="en-GB" w:eastAsia="en-US"/>
              </w:rPr>
              <w:t>mg/kg</w:t>
            </w:r>
          </w:p>
        </w:tc>
        <w:tc>
          <w:tcPr>
            <w:tcW w:w="899" w:type="dxa"/>
            <w:tcBorders>
              <w:top w:val="single" w:sz="4" w:space="0" w:color="7F7F7F"/>
              <w:bottom w:val="single" w:sz="4" w:space="0" w:color="7F7F7F"/>
            </w:tcBorders>
            <w:shd w:val="clear" w:color="auto" w:fill="auto"/>
            <w:noWrap/>
            <w:vAlign w:val="center"/>
            <w:hideMark/>
          </w:tcPr>
          <w:p w14:paraId="77A6A74B" w14:textId="77777777" w:rsidR="00C7764C" w:rsidRPr="00C81B1E" w:rsidRDefault="00C7764C" w:rsidP="00C81B1E">
            <w:pPr>
              <w:pStyle w:val="MDPI42tablebody"/>
              <w:rPr>
                <w:rFonts w:eastAsia="Calibri"/>
                <w:lang w:val="en-GB" w:eastAsia="en-US"/>
              </w:rPr>
            </w:pPr>
            <w:r w:rsidRPr="00C81B1E">
              <w:rPr>
                <w:rFonts w:eastAsia="Calibri"/>
                <w:lang w:val="en-GB" w:eastAsia="en-US"/>
              </w:rPr>
              <w:t>TT</w:t>
            </w:r>
          </w:p>
        </w:tc>
        <w:tc>
          <w:tcPr>
            <w:tcW w:w="5029" w:type="dxa"/>
            <w:vMerge w:val="restart"/>
            <w:tcBorders>
              <w:top w:val="single" w:sz="4" w:space="0" w:color="7F7F7F"/>
              <w:bottom w:val="single" w:sz="4" w:space="0" w:color="7F7F7F"/>
            </w:tcBorders>
            <w:shd w:val="clear" w:color="auto" w:fill="auto"/>
            <w:noWrap/>
            <w:vAlign w:val="center"/>
            <w:hideMark/>
          </w:tcPr>
          <w:p w14:paraId="4F6CD963" w14:textId="77777777" w:rsidR="00C7764C" w:rsidRPr="00C81B1E" w:rsidRDefault="00C7764C" w:rsidP="00C81B1E">
            <w:pPr>
              <w:pStyle w:val="MDPI42tablebody"/>
              <w:rPr>
                <w:rFonts w:eastAsia="Calibri"/>
                <w:lang w:val="en-GB" w:eastAsia="en-US"/>
              </w:rPr>
            </w:pPr>
            <w:r w:rsidRPr="00C81B1E">
              <w:rPr>
                <w:rFonts w:eastAsia="Calibri"/>
                <w:lang w:val="en-GB" w:eastAsia="en-US"/>
              </w:rPr>
              <w:fldChar w:fldCharType="begin" w:fldLock="1"/>
            </w:r>
            <w:r w:rsidRPr="00C81B1E">
              <w:rPr>
                <w:rFonts w:eastAsia="Calibri"/>
                <w:lang w:val="en-GB" w:eastAsia="en-US"/>
              </w:rPr>
              <w:instrText>ADDIN CSL_CITATION {"citationItems":[{"id":"ITEM-1","itemData":{"abstract":"This project deals with combustion installations with a rated thermal\\ninput exceeding 50 MW. Plants with a thermal input lower than 50\\nMW are, however, discussed where technically relevant because smaller\\nunits can potentially be added to a plant to build one larger installation\\nexceeding 50 MW. All kinds of conventional power plants (e.g. utility\\nboiler plants, combined heat and power plants, district heating plants)\\nused for mechanical power and heat generation are covered in this\\nwork. Industrial combustion installations are covered if they use\\nconventional fuel. The commercial availability of the fuel on the\\nmarket has been used as an indicator to identify conventional fuels.\\nThe criterion for classifying a fuel as a 'conventional fuel' is\\na known composition which remains relatively constant, and indeed\\nis usually standardised. Coal, lignite, biomass, peat, liquid and\\ngaseous fuels (including hydrogen and biogas) are regarded as conventional\\nfuels. The use of waste as a secondary fuel is also covered in this\\nwork.","author":[{"dropping-particle":"","family":"European Commission","given":"","non-dropping-particle":"","parse-names":false,"suffix":""}],"container-title":"Integrated Pollution Prevention Control","id":"ITEM-1","issue":"August","issued":{"date-parts":[["2006"]]},"title":"Reference Document on the Best Available Techniques for Waste Incineration","type":"article-journal"},"uris":["http://www.mendeley.com/documents/?uuid=cafb8d98-221f-4574-9995-e04c7a48fca0"]}],"mendeley":{"formattedCitation":"(European Commission, 2006a)","manualFormatting":"European Commission (2006c)","plainTextFormattedCitation":"(European Commission, 2006a)","previouslyFormattedCitation":"(European Commission, 2006a)"},"properties":{"noteIndex":0},"schema":"https://github.com/citation-style-language/schema/raw/master/csl-citation.json"}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European Commission (2006c)</w:t>
            </w:r>
            <w:r w:rsidRPr="00C81B1E">
              <w:rPr>
                <w:rFonts w:eastAsia="Calibri"/>
                <w:lang w:val="en-GB" w:eastAsia="en-US"/>
              </w:rPr>
              <w:fldChar w:fldCharType="end"/>
            </w:r>
          </w:p>
        </w:tc>
      </w:tr>
      <w:tr w:rsidR="00C81B1E" w:rsidRPr="00C81B1E" w14:paraId="3F93D23E" w14:textId="77777777" w:rsidTr="00C81B1E">
        <w:trPr>
          <w:trHeight w:val="255"/>
        </w:trPr>
        <w:tc>
          <w:tcPr>
            <w:tcW w:w="1668" w:type="dxa"/>
            <w:shd w:val="clear" w:color="auto" w:fill="auto"/>
            <w:noWrap/>
            <w:vAlign w:val="center"/>
            <w:hideMark/>
          </w:tcPr>
          <w:p w14:paraId="317D91E3"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Sb</w:t>
            </w:r>
          </w:p>
        </w:tc>
        <w:tc>
          <w:tcPr>
            <w:tcW w:w="1476" w:type="dxa"/>
            <w:shd w:val="clear" w:color="auto" w:fill="auto"/>
            <w:noWrap/>
            <w:vAlign w:val="center"/>
            <w:hideMark/>
          </w:tcPr>
          <w:p w14:paraId="395278DF" w14:textId="77777777" w:rsidR="00C7764C" w:rsidRPr="00C81B1E" w:rsidRDefault="00C7764C" w:rsidP="00C81B1E">
            <w:pPr>
              <w:pStyle w:val="MDPI42tablebody"/>
              <w:rPr>
                <w:rFonts w:eastAsia="Calibri"/>
                <w:lang w:val="en-GB" w:eastAsia="en-US"/>
              </w:rPr>
            </w:pPr>
            <w:r w:rsidRPr="00C81B1E">
              <w:rPr>
                <w:rFonts w:eastAsia="Calibri"/>
                <w:lang w:val="en-GB" w:eastAsia="en-US"/>
              </w:rPr>
              <w:t>mg/kg</w:t>
            </w:r>
          </w:p>
        </w:tc>
        <w:tc>
          <w:tcPr>
            <w:tcW w:w="899" w:type="dxa"/>
            <w:shd w:val="clear" w:color="auto" w:fill="auto"/>
            <w:noWrap/>
            <w:vAlign w:val="center"/>
            <w:hideMark/>
          </w:tcPr>
          <w:p w14:paraId="2BF3E0D3" w14:textId="77777777" w:rsidR="00C7764C" w:rsidRPr="00C81B1E" w:rsidRDefault="00C7764C" w:rsidP="00C81B1E">
            <w:pPr>
              <w:pStyle w:val="MDPI42tablebody"/>
              <w:rPr>
                <w:rFonts w:eastAsia="Calibri"/>
                <w:lang w:val="en-GB" w:eastAsia="en-US"/>
              </w:rPr>
            </w:pPr>
            <w:r w:rsidRPr="00C81B1E">
              <w:rPr>
                <w:rFonts w:eastAsia="Calibri"/>
                <w:lang w:val="en-GB" w:eastAsia="en-US"/>
              </w:rPr>
              <w:t>TT</w:t>
            </w:r>
          </w:p>
        </w:tc>
        <w:tc>
          <w:tcPr>
            <w:tcW w:w="5029" w:type="dxa"/>
            <w:vMerge/>
            <w:shd w:val="clear" w:color="auto" w:fill="auto"/>
            <w:noWrap/>
            <w:vAlign w:val="center"/>
          </w:tcPr>
          <w:p w14:paraId="4604C203" w14:textId="77777777" w:rsidR="00C7764C" w:rsidRPr="00C81B1E" w:rsidRDefault="00C7764C" w:rsidP="00C81B1E">
            <w:pPr>
              <w:pStyle w:val="MDPI42tablebody"/>
              <w:rPr>
                <w:rFonts w:eastAsia="Calibri"/>
                <w:lang w:val="en-GB" w:eastAsia="en-US"/>
              </w:rPr>
            </w:pPr>
          </w:p>
        </w:tc>
      </w:tr>
      <w:tr w:rsidR="00C81B1E" w:rsidRPr="00C81B1E" w14:paraId="175A3E16" w14:textId="77777777" w:rsidTr="00C81B1E">
        <w:trPr>
          <w:trHeight w:val="255"/>
        </w:trPr>
        <w:tc>
          <w:tcPr>
            <w:tcW w:w="1668" w:type="dxa"/>
            <w:tcBorders>
              <w:top w:val="single" w:sz="4" w:space="0" w:color="7F7F7F"/>
              <w:bottom w:val="single" w:sz="4" w:space="0" w:color="7F7F7F"/>
            </w:tcBorders>
            <w:shd w:val="clear" w:color="auto" w:fill="auto"/>
            <w:noWrap/>
            <w:vAlign w:val="center"/>
            <w:hideMark/>
          </w:tcPr>
          <w:p w14:paraId="24F5769B"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Mo</w:t>
            </w:r>
          </w:p>
        </w:tc>
        <w:tc>
          <w:tcPr>
            <w:tcW w:w="1476" w:type="dxa"/>
            <w:tcBorders>
              <w:top w:val="single" w:sz="4" w:space="0" w:color="7F7F7F"/>
              <w:bottom w:val="single" w:sz="4" w:space="0" w:color="7F7F7F"/>
            </w:tcBorders>
            <w:shd w:val="clear" w:color="auto" w:fill="auto"/>
            <w:noWrap/>
            <w:vAlign w:val="center"/>
            <w:hideMark/>
          </w:tcPr>
          <w:p w14:paraId="77D3E93A" w14:textId="77777777" w:rsidR="00C7764C" w:rsidRPr="00C81B1E" w:rsidRDefault="00C7764C" w:rsidP="00C81B1E">
            <w:pPr>
              <w:pStyle w:val="MDPI42tablebody"/>
              <w:rPr>
                <w:rFonts w:eastAsia="Calibri"/>
                <w:lang w:val="en-GB" w:eastAsia="en-US"/>
              </w:rPr>
            </w:pPr>
            <w:r w:rsidRPr="00C81B1E">
              <w:rPr>
                <w:rFonts w:eastAsia="Calibri"/>
                <w:lang w:val="en-GB" w:eastAsia="en-US"/>
              </w:rPr>
              <w:t>mg/kg</w:t>
            </w:r>
          </w:p>
        </w:tc>
        <w:tc>
          <w:tcPr>
            <w:tcW w:w="899" w:type="dxa"/>
            <w:tcBorders>
              <w:top w:val="single" w:sz="4" w:space="0" w:color="7F7F7F"/>
              <w:bottom w:val="single" w:sz="4" w:space="0" w:color="7F7F7F"/>
            </w:tcBorders>
            <w:shd w:val="clear" w:color="auto" w:fill="auto"/>
            <w:noWrap/>
            <w:vAlign w:val="center"/>
            <w:hideMark/>
          </w:tcPr>
          <w:p w14:paraId="17A75CDE" w14:textId="77777777" w:rsidR="00C7764C" w:rsidRPr="00C81B1E" w:rsidRDefault="00C7764C" w:rsidP="00C81B1E">
            <w:pPr>
              <w:pStyle w:val="MDPI42tablebody"/>
              <w:rPr>
                <w:rFonts w:eastAsia="Calibri"/>
                <w:lang w:val="en-GB" w:eastAsia="en-US"/>
              </w:rPr>
            </w:pPr>
            <w:r w:rsidRPr="00C81B1E">
              <w:rPr>
                <w:rFonts w:eastAsia="Calibri"/>
                <w:lang w:val="en-GB" w:eastAsia="en-US"/>
              </w:rPr>
              <w:t>TT</w:t>
            </w:r>
          </w:p>
        </w:tc>
        <w:tc>
          <w:tcPr>
            <w:tcW w:w="5029" w:type="dxa"/>
            <w:vMerge/>
            <w:tcBorders>
              <w:top w:val="single" w:sz="4" w:space="0" w:color="7F7F7F"/>
              <w:bottom w:val="single" w:sz="4" w:space="0" w:color="7F7F7F"/>
            </w:tcBorders>
            <w:shd w:val="clear" w:color="auto" w:fill="auto"/>
            <w:noWrap/>
            <w:vAlign w:val="center"/>
          </w:tcPr>
          <w:p w14:paraId="0AA281CD" w14:textId="77777777" w:rsidR="00C7764C" w:rsidRPr="00C81B1E" w:rsidRDefault="00C7764C" w:rsidP="00C81B1E">
            <w:pPr>
              <w:pStyle w:val="MDPI42tablebody"/>
              <w:rPr>
                <w:rFonts w:eastAsia="Calibri"/>
                <w:lang w:val="en-GB" w:eastAsia="en-US"/>
              </w:rPr>
            </w:pPr>
          </w:p>
        </w:tc>
      </w:tr>
      <w:tr w:rsidR="00C81B1E" w:rsidRPr="00C81B1E" w14:paraId="0FC20CB0" w14:textId="77777777" w:rsidTr="00C81B1E">
        <w:trPr>
          <w:trHeight w:val="285"/>
        </w:trPr>
        <w:tc>
          <w:tcPr>
            <w:tcW w:w="1668" w:type="dxa"/>
            <w:shd w:val="clear" w:color="auto" w:fill="auto"/>
            <w:noWrap/>
            <w:vAlign w:val="center"/>
            <w:hideMark/>
          </w:tcPr>
          <w:p w14:paraId="7C0C96B3"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Cl-</w:t>
            </w:r>
          </w:p>
        </w:tc>
        <w:tc>
          <w:tcPr>
            <w:tcW w:w="1476" w:type="dxa"/>
            <w:shd w:val="clear" w:color="auto" w:fill="auto"/>
            <w:noWrap/>
            <w:vAlign w:val="center"/>
            <w:hideMark/>
          </w:tcPr>
          <w:p w14:paraId="09FE4086" w14:textId="77777777" w:rsidR="00C7764C" w:rsidRPr="00C81B1E" w:rsidRDefault="00C7764C" w:rsidP="00C81B1E">
            <w:pPr>
              <w:pStyle w:val="MDPI42tablebody"/>
              <w:rPr>
                <w:rFonts w:eastAsia="Calibri"/>
                <w:lang w:val="en-GB" w:eastAsia="en-US"/>
              </w:rPr>
            </w:pPr>
            <w:r w:rsidRPr="00C81B1E">
              <w:rPr>
                <w:rFonts w:eastAsia="Calibri"/>
                <w:lang w:val="en-GB" w:eastAsia="en-US"/>
              </w:rPr>
              <w:t>mg/kg</w:t>
            </w:r>
          </w:p>
        </w:tc>
        <w:tc>
          <w:tcPr>
            <w:tcW w:w="899" w:type="dxa"/>
            <w:shd w:val="clear" w:color="auto" w:fill="auto"/>
            <w:noWrap/>
            <w:vAlign w:val="center"/>
            <w:hideMark/>
          </w:tcPr>
          <w:p w14:paraId="79FE12F1" w14:textId="77777777" w:rsidR="00C7764C" w:rsidRPr="00C81B1E" w:rsidRDefault="00C7764C" w:rsidP="00C81B1E">
            <w:pPr>
              <w:pStyle w:val="MDPI42tablebody"/>
              <w:rPr>
                <w:rFonts w:eastAsia="Calibri"/>
                <w:lang w:val="en-GB" w:eastAsia="en-US"/>
              </w:rPr>
            </w:pPr>
            <w:r w:rsidRPr="00C81B1E">
              <w:rPr>
                <w:rFonts w:eastAsia="Calibri"/>
                <w:lang w:val="en-GB" w:eastAsia="en-US"/>
              </w:rPr>
              <w:t>TT</w:t>
            </w:r>
          </w:p>
        </w:tc>
        <w:tc>
          <w:tcPr>
            <w:tcW w:w="5029" w:type="dxa"/>
            <w:vMerge/>
            <w:shd w:val="clear" w:color="auto" w:fill="auto"/>
            <w:noWrap/>
            <w:vAlign w:val="center"/>
          </w:tcPr>
          <w:p w14:paraId="2329A595" w14:textId="77777777" w:rsidR="00C7764C" w:rsidRPr="00C81B1E" w:rsidRDefault="00C7764C" w:rsidP="00C81B1E">
            <w:pPr>
              <w:pStyle w:val="MDPI42tablebody"/>
              <w:rPr>
                <w:rFonts w:eastAsia="Calibri"/>
                <w:lang w:val="en-GB" w:eastAsia="en-US"/>
              </w:rPr>
            </w:pPr>
          </w:p>
        </w:tc>
      </w:tr>
      <w:tr w:rsidR="00C81B1E" w:rsidRPr="00C81B1E" w14:paraId="05E8FB6E" w14:textId="77777777" w:rsidTr="00C81B1E">
        <w:trPr>
          <w:trHeight w:val="315"/>
        </w:trPr>
        <w:tc>
          <w:tcPr>
            <w:tcW w:w="1668" w:type="dxa"/>
            <w:tcBorders>
              <w:top w:val="single" w:sz="4" w:space="0" w:color="7F7F7F"/>
              <w:bottom w:val="single" w:sz="4" w:space="0" w:color="7F7F7F"/>
            </w:tcBorders>
            <w:shd w:val="clear" w:color="auto" w:fill="auto"/>
            <w:noWrap/>
            <w:vAlign w:val="center"/>
            <w:hideMark/>
          </w:tcPr>
          <w:p w14:paraId="226D8153"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lastRenderedPageBreak/>
              <w:t>SO</w:t>
            </w:r>
            <w:r w:rsidRPr="00C81B1E">
              <w:rPr>
                <w:rFonts w:eastAsia="Calibri"/>
                <w:b/>
                <w:bCs/>
                <w:vertAlign w:val="subscript"/>
                <w:lang w:val="en-GB" w:eastAsia="en-US"/>
              </w:rPr>
              <w:t>4</w:t>
            </w:r>
            <w:r w:rsidRPr="00C81B1E">
              <w:rPr>
                <w:rFonts w:eastAsia="Calibri"/>
                <w:b/>
                <w:bCs/>
                <w:vertAlign w:val="superscript"/>
                <w:lang w:val="en-GB" w:eastAsia="en-US"/>
              </w:rPr>
              <w:t>-2</w:t>
            </w:r>
          </w:p>
        </w:tc>
        <w:tc>
          <w:tcPr>
            <w:tcW w:w="1476" w:type="dxa"/>
            <w:tcBorders>
              <w:top w:val="single" w:sz="4" w:space="0" w:color="7F7F7F"/>
              <w:bottom w:val="single" w:sz="4" w:space="0" w:color="7F7F7F"/>
            </w:tcBorders>
            <w:shd w:val="clear" w:color="auto" w:fill="auto"/>
            <w:noWrap/>
            <w:vAlign w:val="center"/>
            <w:hideMark/>
          </w:tcPr>
          <w:p w14:paraId="5E070845" w14:textId="77777777" w:rsidR="00C7764C" w:rsidRPr="00C81B1E" w:rsidRDefault="00C7764C" w:rsidP="00C81B1E">
            <w:pPr>
              <w:pStyle w:val="MDPI42tablebody"/>
              <w:rPr>
                <w:rFonts w:eastAsia="Calibri"/>
                <w:lang w:val="en-GB" w:eastAsia="en-US"/>
              </w:rPr>
            </w:pPr>
            <w:r w:rsidRPr="00C81B1E">
              <w:rPr>
                <w:rFonts w:eastAsia="Calibri"/>
                <w:lang w:val="en-GB" w:eastAsia="en-US"/>
              </w:rPr>
              <w:t>mg/kg</w:t>
            </w:r>
          </w:p>
        </w:tc>
        <w:tc>
          <w:tcPr>
            <w:tcW w:w="899" w:type="dxa"/>
            <w:tcBorders>
              <w:top w:val="single" w:sz="4" w:space="0" w:color="7F7F7F"/>
              <w:bottom w:val="single" w:sz="4" w:space="0" w:color="7F7F7F"/>
            </w:tcBorders>
            <w:shd w:val="clear" w:color="auto" w:fill="auto"/>
            <w:noWrap/>
            <w:vAlign w:val="center"/>
            <w:hideMark/>
          </w:tcPr>
          <w:p w14:paraId="4ED524F8" w14:textId="77777777" w:rsidR="00C7764C" w:rsidRPr="00C81B1E" w:rsidRDefault="00C7764C" w:rsidP="00C81B1E">
            <w:pPr>
              <w:pStyle w:val="MDPI42tablebody"/>
              <w:rPr>
                <w:rFonts w:eastAsia="Calibri"/>
                <w:lang w:val="en-GB" w:eastAsia="en-US"/>
              </w:rPr>
            </w:pPr>
            <w:r w:rsidRPr="00C81B1E">
              <w:rPr>
                <w:rFonts w:eastAsia="Calibri"/>
                <w:lang w:val="en-GB" w:eastAsia="en-US"/>
              </w:rPr>
              <w:t>TT</w:t>
            </w:r>
          </w:p>
        </w:tc>
        <w:tc>
          <w:tcPr>
            <w:tcW w:w="5029" w:type="dxa"/>
            <w:vMerge/>
            <w:tcBorders>
              <w:top w:val="single" w:sz="4" w:space="0" w:color="7F7F7F"/>
              <w:bottom w:val="single" w:sz="4" w:space="0" w:color="7F7F7F"/>
            </w:tcBorders>
            <w:shd w:val="clear" w:color="auto" w:fill="auto"/>
            <w:noWrap/>
            <w:vAlign w:val="center"/>
          </w:tcPr>
          <w:p w14:paraId="61F81921" w14:textId="77777777" w:rsidR="00C7764C" w:rsidRPr="00C81B1E" w:rsidRDefault="00C7764C" w:rsidP="00C81B1E">
            <w:pPr>
              <w:pStyle w:val="MDPI42tablebody"/>
              <w:rPr>
                <w:rFonts w:eastAsia="Calibri"/>
                <w:lang w:val="en-GB" w:eastAsia="en-US"/>
              </w:rPr>
            </w:pPr>
          </w:p>
        </w:tc>
      </w:tr>
    </w:tbl>
    <w:p w14:paraId="357A6E83" w14:textId="77777777" w:rsidR="00C7764C" w:rsidRPr="00C7764C" w:rsidRDefault="00C7764C" w:rsidP="00C7764C">
      <w:pPr>
        <w:spacing w:after="160" w:line="259" w:lineRule="auto"/>
        <w:rPr>
          <w:rFonts w:eastAsia="Calibri"/>
          <w:color w:val="auto"/>
          <w:sz w:val="16"/>
          <w:szCs w:val="16"/>
          <w:lang w:val="en-GB" w:eastAsia="en-US"/>
        </w:rPr>
      </w:pPr>
    </w:p>
    <w:p w14:paraId="34EE77B9" w14:textId="77777777" w:rsidR="00C7764C" w:rsidRPr="00C7764C" w:rsidRDefault="00C7764C" w:rsidP="00BA2E09">
      <w:pPr>
        <w:pStyle w:val="MDPI41tablecaption"/>
        <w:rPr>
          <w:rFonts w:eastAsia="Calibri"/>
          <w:lang w:val="en-GB" w:eastAsia="en-US"/>
        </w:rPr>
      </w:pPr>
      <w:r w:rsidRPr="00C7764C">
        <w:rPr>
          <w:rFonts w:eastAsia="Calibri"/>
          <w:lang w:val="en-GB" w:eastAsia="en-US"/>
        </w:rPr>
        <w:t xml:space="preserve">Table </w:t>
      </w:r>
      <w:r w:rsidRPr="00C7764C">
        <w:rPr>
          <w:rFonts w:eastAsia="Calibri"/>
          <w:lang w:val="en-GB" w:eastAsia="en-US"/>
        </w:rPr>
        <w:fldChar w:fldCharType="begin"/>
      </w:r>
      <w:r w:rsidRPr="00C7764C">
        <w:rPr>
          <w:rFonts w:eastAsia="Calibri"/>
          <w:lang w:val="en-GB" w:eastAsia="en-US"/>
        </w:rPr>
        <w:instrText xml:space="preserve"> SEQ Table \* ARABIC </w:instrText>
      </w:r>
      <w:r w:rsidRPr="00C7764C">
        <w:rPr>
          <w:rFonts w:eastAsia="Calibri"/>
          <w:lang w:val="en-GB" w:eastAsia="en-US"/>
        </w:rPr>
        <w:fldChar w:fldCharType="separate"/>
      </w:r>
      <w:r w:rsidRPr="00C7764C">
        <w:rPr>
          <w:rFonts w:eastAsia="Calibri"/>
          <w:noProof/>
          <w:lang w:val="en-GB" w:eastAsia="en-US"/>
        </w:rPr>
        <w:t>9</w:t>
      </w:r>
      <w:r w:rsidRPr="00C7764C">
        <w:rPr>
          <w:rFonts w:eastAsia="Calibri"/>
          <w:lang w:val="en-GB" w:eastAsia="en-US"/>
        </w:rPr>
        <w:fldChar w:fldCharType="end"/>
      </w:r>
      <w:r w:rsidRPr="00C7764C">
        <w:rPr>
          <w:rFonts w:eastAsia="Calibri"/>
          <w:lang w:val="en-GB" w:eastAsia="en-US"/>
        </w:rPr>
        <w:t>. Economic indicators</w:t>
      </w:r>
    </w:p>
    <w:tbl>
      <w:tblPr>
        <w:tblW w:w="9072" w:type="dxa"/>
        <w:tblBorders>
          <w:top w:val="single" w:sz="4" w:space="0" w:color="7F7F7F"/>
          <w:bottom w:val="single" w:sz="4" w:space="0" w:color="7F7F7F"/>
        </w:tblBorders>
        <w:tblLook w:val="04A0" w:firstRow="1" w:lastRow="0" w:firstColumn="1" w:lastColumn="0" w:noHBand="0" w:noVBand="1"/>
      </w:tblPr>
      <w:tblGrid>
        <w:gridCol w:w="1668"/>
        <w:gridCol w:w="1127"/>
        <w:gridCol w:w="1112"/>
        <w:gridCol w:w="5165"/>
      </w:tblGrid>
      <w:tr w:rsidR="00C81B1E" w:rsidRPr="00C81B1E" w14:paraId="41B9B3FB" w14:textId="77777777" w:rsidTr="00C81B1E">
        <w:trPr>
          <w:trHeight w:val="255"/>
        </w:trPr>
        <w:tc>
          <w:tcPr>
            <w:tcW w:w="1668" w:type="dxa"/>
            <w:tcBorders>
              <w:bottom w:val="single" w:sz="4" w:space="0" w:color="7F7F7F"/>
            </w:tcBorders>
            <w:shd w:val="clear" w:color="auto" w:fill="auto"/>
            <w:noWrap/>
            <w:vAlign w:val="center"/>
          </w:tcPr>
          <w:p w14:paraId="3B73CFC5" w14:textId="77777777" w:rsidR="00C7764C" w:rsidRPr="00C81B1E" w:rsidRDefault="00C7764C" w:rsidP="00C81B1E">
            <w:pPr>
              <w:pStyle w:val="MDPI42tablebody"/>
              <w:rPr>
                <w:rFonts w:eastAsia="Calibri"/>
                <w:b/>
                <w:bCs/>
                <w:szCs w:val="22"/>
                <w:lang w:val="en-GB" w:eastAsia="en-US"/>
              </w:rPr>
            </w:pPr>
            <w:r w:rsidRPr="00C81B1E">
              <w:rPr>
                <w:rFonts w:eastAsia="Calibri"/>
                <w:b/>
                <w:bCs/>
                <w:szCs w:val="22"/>
                <w:lang w:val="en-GB" w:eastAsia="en-US"/>
              </w:rPr>
              <w:t>Indicator</w:t>
            </w:r>
          </w:p>
        </w:tc>
        <w:tc>
          <w:tcPr>
            <w:tcW w:w="1127" w:type="dxa"/>
            <w:tcBorders>
              <w:bottom w:val="single" w:sz="4" w:space="0" w:color="7F7F7F"/>
            </w:tcBorders>
            <w:shd w:val="clear" w:color="auto" w:fill="auto"/>
            <w:noWrap/>
            <w:vAlign w:val="center"/>
          </w:tcPr>
          <w:p w14:paraId="64F6910E" w14:textId="77777777" w:rsidR="00C7764C" w:rsidRPr="00C81B1E" w:rsidRDefault="00C7764C" w:rsidP="00C81B1E">
            <w:pPr>
              <w:pStyle w:val="MDPI42tablebody"/>
              <w:rPr>
                <w:rFonts w:eastAsia="Calibri"/>
                <w:b/>
                <w:bCs/>
                <w:szCs w:val="22"/>
                <w:lang w:val="en-GB" w:eastAsia="en-US"/>
              </w:rPr>
            </w:pPr>
            <w:r w:rsidRPr="00C81B1E">
              <w:rPr>
                <w:rFonts w:eastAsia="Calibri"/>
                <w:b/>
                <w:bCs/>
                <w:szCs w:val="22"/>
                <w:lang w:val="en-GB" w:eastAsia="en-US"/>
              </w:rPr>
              <w:t>Example or unit</w:t>
            </w:r>
          </w:p>
        </w:tc>
        <w:tc>
          <w:tcPr>
            <w:tcW w:w="1112" w:type="dxa"/>
            <w:tcBorders>
              <w:bottom w:val="single" w:sz="4" w:space="0" w:color="7F7F7F"/>
            </w:tcBorders>
            <w:shd w:val="clear" w:color="auto" w:fill="auto"/>
            <w:noWrap/>
            <w:vAlign w:val="center"/>
          </w:tcPr>
          <w:p w14:paraId="6227B3C7" w14:textId="77777777" w:rsidR="00C7764C" w:rsidRPr="00C81B1E" w:rsidRDefault="00C7764C" w:rsidP="00C81B1E">
            <w:pPr>
              <w:pStyle w:val="MDPI42tablebody"/>
              <w:rPr>
                <w:rFonts w:eastAsia="Calibri"/>
                <w:b/>
                <w:bCs/>
                <w:szCs w:val="22"/>
                <w:lang w:val="en-GB" w:eastAsia="en-US"/>
              </w:rPr>
            </w:pPr>
            <w:r w:rsidRPr="00C81B1E">
              <w:rPr>
                <w:rFonts w:eastAsia="Calibri"/>
                <w:b/>
                <w:bCs/>
                <w:szCs w:val="22"/>
                <w:lang w:val="en-GB" w:eastAsia="en-US"/>
              </w:rPr>
              <w:t>FWMS</w:t>
            </w:r>
          </w:p>
        </w:tc>
        <w:tc>
          <w:tcPr>
            <w:tcW w:w="5165" w:type="dxa"/>
            <w:tcBorders>
              <w:bottom w:val="single" w:sz="4" w:space="0" w:color="7F7F7F"/>
            </w:tcBorders>
            <w:shd w:val="clear" w:color="auto" w:fill="auto"/>
            <w:noWrap/>
            <w:vAlign w:val="center"/>
          </w:tcPr>
          <w:p w14:paraId="2828D680" w14:textId="77777777" w:rsidR="00C7764C" w:rsidRPr="00C81B1E" w:rsidRDefault="00C7764C" w:rsidP="00C81B1E">
            <w:pPr>
              <w:pStyle w:val="MDPI42tablebody"/>
              <w:rPr>
                <w:rFonts w:eastAsia="Calibri"/>
                <w:b/>
                <w:bCs/>
                <w:szCs w:val="22"/>
                <w:lang w:val="en-GB" w:eastAsia="en-US"/>
              </w:rPr>
            </w:pPr>
            <w:r w:rsidRPr="00C81B1E">
              <w:rPr>
                <w:rFonts w:eastAsia="Calibri"/>
                <w:b/>
                <w:bCs/>
                <w:szCs w:val="22"/>
                <w:lang w:val="en-GB" w:eastAsia="en-US"/>
              </w:rPr>
              <w:t>Reference</w:t>
            </w:r>
          </w:p>
        </w:tc>
      </w:tr>
      <w:tr w:rsidR="00C81B1E" w:rsidRPr="00C81B1E" w14:paraId="40446F78" w14:textId="77777777" w:rsidTr="00C81B1E">
        <w:trPr>
          <w:trHeight w:val="255"/>
        </w:trPr>
        <w:tc>
          <w:tcPr>
            <w:tcW w:w="1668" w:type="dxa"/>
            <w:tcBorders>
              <w:top w:val="single" w:sz="4" w:space="0" w:color="7F7F7F"/>
              <w:bottom w:val="single" w:sz="4" w:space="0" w:color="7F7F7F"/>
            </w:tcBorders>
            <w:shd w:val="clear" w:color="auto" w:fill="auto"/>
            <w:noWrap/>
            <w:vAlign w:val="center"/>
            <w:hideMark/>
          </w:tcPr>
          <w:p w14:paraId="0C3A88F7" w14:textId="77777777" w:rsidR="00C7764C" w:rsidRPr="00C81B1E" w:rsidRDefault="00C7764C" w:rsidP="00C81B1E">
            <w:pPr>
              <w:pStyle w:val="MDPI42tablebody"/>
              <w:rPr>
                <w:rFonts w:eastAsia="Calibri"/>
                <w:b/>
                <w:bCs/>
                <w:szCs w:val="22"/>
                <w:lang w:val="en-GB" w:eastAsia="en-US"/>
              </w:rPr>
            </w:pPr>
            <w:r w:rsidRPr="00C81B1E">
              <w:rPr>
                <w:rFonts w:eastAsia="Calibri"/>
                <w:b/>
                <w:bCs/>
                <w:szCs w:val="22"/>
                <w:lang w:val="en-GB" w:eastAsia="en-US"/>
              </w:rPr>
              <w:t>Management cost</w:t>
            </w:r>
          </w:p>
        </w:tc>
        <w:tc>
          <w:tcPr>
            <w:tcW w:w="1127" w:type="dxa"/>
            <w:tcBorders>
              <w:top w:val="single" w:sz="4" w:space="0" w:color="7F7F7F"/>
              <w:bottom w:val="single" w:sz="4" w:space="0" w:color="7F7F7F"/>
            </w:tcBorders>
            <w:shd w:val="clear" w:color="auto" w:fill="auto"/>
            <w:noWrap/>
            <w:vAlign w:val="center"/>
            <w:hideMark/>
          </w:tcPr>
          <w:p w14:paraId="3CA52AF8" w14:textId="77777777" w:rsidR="00C7764C" w:rsidRPr="00C81B1E" w:rsidRDefault="00C7764C" w:rsidP="00C81B1E">
            <w:pPr>
              <w:pStyle w:val="MDPI42tablebody"/>
              <w:rPr>
                <w:rFonts w:eastAsia="Calibri"/>
                <w:szCs w:val="22"/>
                <w:lang w:val="en-GB" w:eastAsia="en-US"/>
              </w:rPr>
            </w:pPr>
            <w:r w:rsidRPr="00C81B1E">
              <w:rPr>
                <w:rFonts w:eastAsia="Calibri"/>
                <w:szCs w:val="22"/>
                <w:lang w:val="en-GB" w:eastAsia="en-US"/>
              </w:rPr>
              <w:t>£</w:t>
            </w:r>
          </w:p>
        </w:tc>
        <w:tc>
          <w:tcPr>
            <w:tcW w:w="1112" w:type="dxa"/>
            <w:tcBorders>
              <w:top w:val="single" w:sz="4" w:space="0" w:color="7F7F7F"/>
              <w:bottom w:val="single" w:sz="4" w:space="0" w:color="7F7F7F"/>
            </w:tcBorders>
            <w:shd w:val="clear" w:color="auto" w:fill="auto"/>
            <w:noWrap/>
            <w:vAlign w:val="center"/>
            <w:hideMark/>
          </w:tcPr>
          <w:p w14:paraId="276E51A0" w14:textId="77777777" w:rsidR="00C7764C" w:rsidRPr="00C81B1E" w:rsidRDefault="00C7764C" w:rsidP="00C81B1E">
            <w:pPr>
              <w:pStyle w:val="MDPI42tablebody"/>
              <w:rPr>
                <w:rFonts w:eastAsia="Calibri"/>
                <w:szCs w:val="22"/>
                <w:lang w:val="en-GB" w:eastAsia="en-US"/>
              </w:rPr>
            </w:pPr>
            <w:r w:rsidRPr="00C81B1E">
              <w:rPr>
                <w:rFonts w:eastAsia="Calibri"/>
                <w:szCs w:val="22"/>
                <w:lang w:val="en-GB" w:eastAsia="en-US"/>
              </w:rPr>
              <w:t>R, AF, AD, C, TT</w:t>
            </w:r>
          </w:p>
        </w:tc>
        <w:tc>
          <w:tcPr>
            <w:tcW w:w="5165" w:type="dxa"/>
            <w:tcBorders>
              <w:top w:val="single" w:sz="4" w:space="0" w:color="7F7F7F"/>
              <w:bottom w:val="single" w:sz="4" w:space="0" w:color="7F7F7F"/>
            </w:tcBorders>
            <w:shd w:val="clear" w:color="auto" w:fill="auto"/>
            <w:noWrap/>
            <w:vAlign w:val="center"/>
            <w:hideMark/>
          </w:tcPr>
          <w:p w14:paraId="4E3E1F52" w14:textId="77777777" w:rsidR="00C7764C" w:rsidRPr="00C81B1E" w:rsidRDefault="00C7764C" w:rsidP="00C81B1E">
            <w:pPr>
              <w:pStyle w:val="MDPI42tablebody"/>
              <w:rPr>
                <w:rFonts w:eastAsia="Calibri"/>
                <w:szCs w:val="22"/>
                <w:lang w:val="en-GB" w:eastAsia="en-US"/>
              </w:rPr>
            </w:pPr>
            <w:r w:rsidRPr="00C81B1E">
              <w:rPr>
                <w:rFonts w:eastAsia="Calibri"/>
                <w:szCs w:val="22"/>
                <w:lang w:val="es-ES" w:eastAsia="en-US"/>
              </w:rPr>
              <w:t xml:space="preserve">R: </w:t>
            </w:r>
            <w:r w:rsidRPr="00C81B1E">
              <w:rPr>
                <w:rFonts w:eastAsia="Calibri"/>
                <w:szCs w:val="22"/>
                <w:lang w:val="en-GB" w:eastAsia="en-US"/>
              </w:rPr>
              <w:fldChar w:fldCharType="begin" w:fldLock="1"/>
            </w:r>
            <w:r w:rsidRPr="00C81B1E">
              <w:rPr>
                <w:rFonts w:eastAsia="Calibri"/>
                <w:szCs w:val="22"/>
                <w:lang w:val="es-ES" w:eastAsia="en-US"/>
              </w:rPr>
              <w:instrText>ADDIN CSL_CITATION {"citationItems":[{"id":"ITEM-1","itemData":{"DOI":"10.1016/j.wasman.2014.02.018","ISBN":"0956-053X","ISSN":"18792456","PMID":"24685399","abstract":"The food supply chain is affected by losses of products near to their expiry date or damaged by improper transportation or production defects. Such products are usually poorly attractive for the consumer in the target market even if they maintain their nutritional properties. On the other hand undernourished people face every day the problem of fulfilling their nutritional needs usually relying on non-profit organizations. In this field the food recovery enabling economic benefits for donors is nowadays seen as a coherent way to manage food products unsalable in the target market for various causes and thus destined to be discarded and disposed to landfill thus representing only a cost. Despite its obvious affordability the food recovery is today not always practiced because the economic benefits that could be achieved are barely known. The paper aims at presenting a deterministic mathematical model for the optimization of the supply chain composed by retailers and potential recipients that practice the food recovery, taking into account the benefits recognized to donors and the management costs of the food recovery. The model determines the optimal time to withdraw the products from the shelves as well as the quantities to be donated to the non-profit organizations and those to be sent to the livestock market maximizing the retailer profit. The results show that the optimal conditions ensuring the affordability of the food recovery strategy including the tax reliefs and cost saving for the retailers outperforms the profit achievable in absence of such a system. ?? 2014 Elsevier Ltd.","author":[{"dropping-particle":"","family":"Giuseppe","given":"Aiello","non-dropping-particle":"","parse-names":false,"suffix":""},{"dropping-particle":"","family":"Mario","given":"Enea","non-dropping-particle":"","parse-names":false,"suffix":""},{"dropping-particle":"","family":"Cinzia","given":"Muriana","non-dropping-particle":"","parse-names":false,"suffix":""}],"container-title":"Waste Management","id":"ITEM-1","issue":"7","issued":{"date-parts":[["2014"]]},"page":"1306-1316","publisher":"Elsevier Ltd","title":"Economic benefits from food recovery at the retail stage: An application to Italian food chains","type":"article-journal","volume":"34"},"uris":["http://www.mendeley.com/documents/?uuid=7ee23600-f2be-4dcb-bec5-c39467b26db7"]}],"mendeley":{"formattedCitation":"(Giuseppe et al., 2014)","manualFormatting":"Giuseppe et al. (2014)","plainTextFormattedCitation":"(Giuseppe et al., 2014)","previouslyFormattedCitation":"(Giuseppe et al., 2014)"},"properties":{"noteIndex":0},"schema":"https://github.com/citation-style-language/schema/raw/master/csl-citation.json"}</w:instrText>
            </w:r>
            <w:r w:rsidRPr="00C81B1E">
              <w:rPr>
                <w:rFonts w:eastAsia="Calibri"/>
                <w:szCs w:val="22"/>
                <w:lang w:val="en-GB" w:eastAsia="en-US"/>
              </w:rPr>
              <w:fldChar w:fldCharType="separate"/>
            </w:r>
            <w:r w:rsidRPr="00C81B1E">
              <w:rPr>
                <w:rFonts w:eastAsia="Calibri"/>
                <w:noProof/>
                <w:szCs w:val="22"/>
                <w:lang w:val="es-ES" w:eastAsia="en-US"/>
              </w:rPr>
              <w:t>Giuseppe et al. (2014)</w:t>
            </w:r>
            <w:r w:rsidRPr="00C81B1E">
              <w:rPr>
                <w:rFonts w:eastAsia="Calibri"/>
                <w:szCs w:val="22"/>
                <w:lang w:val="en-GB" w:eastAsia="en-US"/>
              </w:rPr>
              <w:fldChar w:fldCharType="end"/>
            </w:r>
            <w:r w:rsidRPr="00C81B1E">
              <w:rPr>
                <w:rFonts w:eastAsia="Calibri"/>
                <w:szCs w:val="22"/>
                <w:lang w:val="es-ES" w:eastAsia="en-US"/>
              </w:rPr>
              <w:t xml:space="preserve">, AF: </w:t>
            </w:r>
            <w:r w:rsidRPr="00C81B1E">
              <w:rPr>
                <w:rFonts w:eastAsia="Calibri"/>
                <w:szCs w:val="22"/>
                <w:lang w:val="en-GB" w:eastAsia="en-US"/>
              </w:rPr>
              <w:fldChar w:fldCharType="begin" w:fldLock="1"/>
            </w:r>
            <w:r w:rsidRPr="00C81B1E">
              <w:rPr>
                <w:rFonts w:eastAsia="Calibri"/>
                <w:szCs w:val="22"/>
                <w:lang w:val="es-ES" w:eastAsia="en-US"/>
              </w:rPr>
              <w:instrText>ADDIN CSL_CITATION {"citationItems":[{"id":"ITEM-1","itemData":{"DOI":"10.1007/s10460-009-9193-x","ISBN":"0889-048X","ISSN":"0889048X","abstract":"Conflicts have arisen between communities and operators of confined animal feeding as farms have become bigger in order to maintain their competitiveness. These conflicts have been difficult to resolve because measuring and allocating the benefits and costs of livestock production is difficult. This papers demonstrates a policy tool for promoting compromise whereby the community gets reduced negative impacts from livestock while at the same time continues to benefit from livestock jobs, taxes, and related economic activity. Public economic benefits and public economic costs of confined animal feeding operations are estimated for every farm and affected house in Craven County, North Carolina. The results show public economic benefits of $5.7 million and public economic costs of $2.2 million, but that the ratio of benefits to costs for individual farm-house pairs varies in important ways across the 26 hog farms in Craven County.","author":[{"dropping-particle":"","family":"Kim","given":"Jungik","non-dropping-particle":"","parse-names":false,"suffix":""},{"dropping-particle":"","family":"Goldsmith","given":"Peter","non-dropping-particle":"","parse-names":false,"suffix":""},{"dropping-particle":"","family":"Thomas","given":"Michael H.","non-dropping-particle":"","parse-names":false,"suffix":""}],"container-title":"Agriculture and Human Values","id":"ITEM-1","issue":"1","issued":{"date-parts":[["2010"]]},"page":"29-42","title":"Economic impact and public costs of confined animal feeding operations at the parcel level of Craven County, North Carolina","type":"article-journal","volume":"27"},"uris":["http://www.mendeley.com/documents/?uuid=cccb9d87-eff2-46ab-9792-a105f8eb5d3a"]}],"mendeley":{"formattedCitation":"(Kim et al., 2010)","manualFormatting":"Kim et al. (2010)","plainTextFormattedCitation":"(Kim et al., 2010)","previouslyFormattedCitation":"(Kim et al., 2010)"},"properties":{"noteIndex":0},"schema":"https://github.com/citation-style-language/schema/raw/master/csl-citation.json"}</w:instrText>
            </w:r>
            <w:r w:rsidRPr="00C81B1E">
              <w:rPr>
                <w:rFonts w:eastAsia="Calibri"/>
                <w:szCs w:val="22"/>
                <w:lang w:val="en-GB" w:eastAsia="en-US"/>
              </w:rPr>
              <w:fldChar w:fldCharType="separate"/>
            </w:r>
            <w:r w:rsidRPr="00C81B1E">
              <w:rPr>
                <w:rFonts w:eastAsia="Calibri"/>
                <w:noProof/>
                <w:szCs w:val="22"/>
                <w:lang w:val="es-ES" w:eastAsia="en-US"/>
              </w:rPr>
              <w:t>Kim et al. (2010)</w:t>
            </w:r>
            <w:r w:rsidRPr="00C81B1E">
              <w:rPr>
                <w:rFonts w:eastAsia="Calibri"/>
                <w:szCs w:val="22"/>
                <w:lang w:val="en-GB" w:eastAsia="en-US"/>
              </w:rPr>
              <w:fldChar w:fldCharType="end"/>
            </w:r>
            <w:r w:rsidRPr="00C81B1E">
              <w:rPr>
                <w:rFonts w:eastAsia="Calibri"/>
                <w:szCs w:val="22"/>
                <w:lang w:val="es-ES" w:eastAsia="en-US"/>
              </w:rPr>
              <w:t xml:space="preserve">, AD: </w:t>
            </w:r>
            <w:r w:rsidRPr="00C81B1E">
              <w:rPr>
                <w:rFonts w:eastAsia="Calibri"/>
                <w:szCs w:val="22"/>
                <w:lang w:val="en-GB" w:eastAsia="en-US"/>
              </w:rPr>
              <w:fldChar w:fldCharType="begin" w:fldLock="1"/>
            </w:r>
            <w:r w:rsidRPr="00C81B1E">
              <w:rPr>
                <w:rFonts w:eastAsia="Calibri"/>
                <w:szCs w:val="22"/>
                <w:lang w:val="es-ES" w:eastAsia="en-US"/>
              </w:rPr>
              <w:instrText>ADDIN CSL_CITATION {"citationItems":[{"id":"ITEM-1","itemData":{"DOI":"10.1016/j.njas.2009.07.006","ISBN":"1573-5214","ISSN":"15735214","abstract":"One of the key concerns of biogas plants is the disposal of comparatively large amounts of digestates in an economically and environmentally sustainable manner. This paper analyses the economic performance of anaerobic digestion of a given biogas plant based on net present value (NPV) and internal rate of return (IRR) concepts. A scenario analysis is carried out based on a linear programming model to identify feedstocks that optimize electricity production and to determine the optimal application of digestate. In addition to a default scenario, management and policy scenarios were investigated. Economic evaluations of all scenarios, except no subsidy scenario, show positive NPV. The highest NPV and IRR values are observed under reverse osmosis (RO) as a green fertilizer scenario. Our findings show that treating RO as a green fertilizer, as opposed to manure (default scenario), is not only lucrative for the plant but also lessens environmental burden of long distance transportation of concentrates. This paper also concludes that given the uncertainty of regulations concerning RO and the currently low values of digestate and heat, high investment and operating costs limit feasibility of anaerobic digestion of wastes of farm origin and other co-substrates unless subsidies are provided. ?? 2009 Royal Netherlands Society for Agricultural Sciences.","author":[{"dropping-particle":"","family":"Gebrezgabher","given":"Solomie A.","non-dropping-particle":"","parse-names":false,"suffix":""},{"dropping-particle":"","family":"Meuwissen","given":"Miranda P M","non-dropping-particle":"","parse-names":false,"suffix":""},{"dropping-particle":"","family":"Prins","given":"Bram A M","non-dropping-particle":"","parse-names":false,"suffix":""},{"dropping-particle":"","family":"Lansink","given":"Alfons G J M Oude","non-dropping-particle":"","parse-names":false,"suffix":""}],"container-title":"NJAS - Wageningen Journal of Life Sciences","id":"ITEM-1","issue":"2","issued":{"date-parts":[["2010"]]},"page":"109-115","publisher":"Royal Netherlands Society for Agriculture Sciences","title":"Economic analysis of anaerobic digestion-A case of Green power biogas plant in the Netherlands","type":"article-journal","volume":"57"},"uris":["http://www.mendeley.com/documents/?uuid=4cef3017-a839-4bdf-9293-bdc9fd3565fc"]}],"mendeley":{"formattedCitation":"(Gebrezgabher et al., 2010)","manualFormatting":"Gebrezgabher et al. (2010)","plainTextFormattedCitation":"(Gebrezgabher et al., 2010)","previouslyFormattedCitation":"(Gebrezgabher et al., 2010)"},"properties":{"noteIndex":0},"schema":"https://github.com/citation-style-language/schema/raw/master/csl-citation.json"}</w:instrText>
            </w:r>
            <w:r w:rsidRPr="00C81B1E">
              <w:rPr>
                <w:rFonts w:eastAsia="Calibri"/>
                <w:szCs w:val="22"/>
                <w:lang w:val="en-GB" w:eastAsia="en-US"/>
              </w:rPr>
              <w:fldChar w:fldCharType="separate"/>
            </w:r>
            <w:r w:rsidRPr="00C81B1E">
              <w:rPr>
                <w:rFonts w:eastAsia="Calibri"/>
                <w:noProof/>
                <w:szCs w:val="22"/>
                <w:lang w:val="es-ES" w:eastAsia="en-US"/>
              </w:rPr>
              <w:t>Gebrezgabher et al. (2010)</w:t>
            </w:r>
            <w:r w:rsidRPr="00C81B1E">
              <w:rPr>
                <w:rFonts w:eastAsia="Calibri"/>
                <w:szCs w:val="22"/>
                <w:lang w:val="en-GB" w:eastAsia="en-US"/>
              </w:rPr>
              <w:fldChar w:fldCharType="end"/>
            </w:r>
            <w:r w:rsidRPr="00C81B1E">
              <w:rPr>
                <w:rFonts w:eastAsia="Calibri"/>
                <w:szCs w:val="22"/>
                <w:lang w:val="es-ES" w:eastAsia="en-US"/>
              </w:rPr>
              <w:t xml:space="preserve">, C: </w:t>
            </w:r>
            <w:r w:rsidRPr="00C81B1E">
              <w:rPr>
                <w:rFonts w:eastAsia="Calibri"/>
                <w:szCs w:val="22"/>
                <w:lang w:val="en-GB" w:eastAsia="en-US"/>
              </w:rPr>
              <w:fldChar w:fldCharType="begin" w:fldLock="1"/>
            </w:r>
            <w:r w:rsidRPr="00C81B1E">
              <w:rPr>
                <w:rFonts w:eastAsia="Calibri"/>
                <w:szCs w:val="22"/>
                <w:lang w:val="es-ES" w:eastAsia="en-US"/>
              </w:rPr>
              <w:instrText>ADDIN CSL_CITATION {"citationItems":[{"id":"ITEM-1","itemData":{"DOI":"10.1016/j.jclepro.2008.12.005","ISBN":"0959-6526","ISSN":"09596526","abstract":"The main organic wastes produced in modern wine industries include grape pomace (62%), lees (14%), stalk (12%) and dewatered sludge (12%). Some of these wastes are being used as by-products (grape pomace and lees) whereas the rest of organic wastes (stalk and wastewater sludge) has been traditionally incinerated or disposed in landfill. In this work, composting is proposed for the recovery of stalk and wastewater sludge to produce a sanitized organic amendment for application in the vineyard, closing the organic matter cycle. The environmental and economical analyses of the different alternatives to manage organic wastes from the wine industry are also presented. Composting costs are almost negligible when compared to other management options. From the environmental point of view, in-situ composting presents the best performance in 8 of the 10 impact categories analysed. Finally, the energy balance shows that the 4 composting systems involved less energy than the systems based on Mineral Fertilizer consumption. ?? 2008 Elsevier Ltd. All rights reserved.","author":[{"dropping-particle":"","family":"Ruggieri","given":"Luz","non-dropping-particle":"","parse-names":false,"suffix":""},{"dropping-particle":"","family":"Cadena","given":"Erasmo","non-dropping-particle":"","parse-names":false,"suffix":""},{"dropping-particle":"","family":"Martínez-Blanco","given":"Julia","non-dropping-particle":"","parse-names":false,"suffix":""},{"dropping-particle":"","family":"Gasol","given":"Carles M.","non-dropping-particle":"","parse-names":false,"suffix":""},{"dropping-particle":"","family":"Rieradevall","given":"Joan","non-dropping-particle":"","parse-names":false,"suffix":""},{"dropping-particle":"","family":"Gabarrell","given":"Xavier","non-dropping-particle":"","parse-names":false,"suffix":""},{"dropping-particle":"","family":"Gea","given":"Teresa","non-dropping-particle":"","parse-names":false,"suffix":""},{"dropping-particle":"","family":"Sort","given":"Xavier","non-dropping-particle":"","parse-names":false,"suffix":""},{"dropping-particle":"","family":"Sánchez","given":"Antoni","non-dropping-particle":"","parse-names":false,"suffix":""}],"container-title":"Journal of Cleaner Production","id":"ITEM-1","issue":"9","issued":{"date-parts":[["2009"]]},"page":"830-838","title":"Recovery of organic wastes in the Spanish wine industry. Technical, economic and environmental analyses of the composting process","type":"article-journal","volume":"17"},"uris":["http://www.mendeley.com/documents/?uuid=546bbbd1-4965-4bfa-8344-a7c4136aa461"]}],"mendeley":{"formattedCitation":"(Ruggieri et al., 2009)","manualFormatting":"Ruggieri et al. (2009)","plainTextFormattedCitation":"(Ruggieri et al., 2009)","previouslyFormattedCitation":"(Ruggieri et al., 2009)"},"properties":{"noteIndex":0},"schema":"https://github.com/citation-style-language/schema/raw/master/csl-citation.json"}</w:instrText>
            </w:r>
            <w:r w:rsidRPr="00C81B1E">
              <w:rPr>
                <w:rFonts w:eastAsia="Calibri"/>
                <w:szCs w:val="22"/>
                <w:lang w:val="en-GB" w:eastAsia="en-US"/>
              </w:rPr>
              <w:fldChar w:fldCharType="separate"/>
            </w:r>
            <w:r w:rsidRPr="00C81B1E">
              <w:rPr>
                <w:rFonts w:eastAsia="Calibri"/>
                <w:noProof/>
                <w:szCs w:val="22"/>
                <w:lang w:val="en-GB" w:eastAsia="en-US"/>
              </w:rPr>
              <w:t>Ruggieri et al. (2009)</w:t>
            </w:r>
            <w:r w:rsidRPr="00C81B1E">
              <w:rPr>
                <w:rFonts w:eastAsia="Calibri"/>
                <w:szCs w:val="22"/>
                <w:lang w:val="en-GB" w:eastAsia="en-US"/>
              </w:rPr>
              <w:fldChar w:fldCharType="end"/>
            </w:r>
            <w:r w:rsidRPr="00C81B1E">
              <w:rPr>
                <w:rFonts w:eastAsia="Calibri"/>
                <w:szCs w:val="22"/>
                <w:lang w:val="en-GB" w:eastAsia="en-US"/>
              </w:rPr>
              <w:t xml:space="preserve">, TT : </w:t>
            </w:r>
            <w:r w:rsidRPr="00C81B1E">
              <w:rPr>
                <w:rFonts w:eastAsia="Calibri"/>
                <w:szCs w:val="22"/>
                <w:lang w:val="en-GB" w:eastAsia="en-US"/>
              </w:rPr>
              <w:fldChar w:fldCharType="begin" w:fldLock="1"/>
            </w:r>
            <w:r w:rsidRPr="00C81B1E">
              <w:rPr>
                <w:rFonts w:eastAsia="Calibri"/>
                <w:szCs w:val="22"/>
                <w:lang w:val="en-GB" w:eastAsia="en-US"/>
              </w:rPr>
              <w:instrText>ADDIN CSL_CITATION {"citationItems":[{"id":"ITEM-1","itemData":{"DOI":"10.1016/j.ecolind.2012.09.005","ISBN":"1470-160X","ISSN":"1470160X","abstract":"The selection of a municipal solid waste (MSW) treatment alternative is a complex task in which a widespread set of criteria must be taken into account. Additionally to economic or social aspects, the decision process should consider the environmental perspective. With the purpose of quantifying the environmental burdens, a wide variety of environmental and sustainability indicators have been developed in the last years. Furthermore, integrative frameworks have been highlighted as the best option to achieve more comprehensive assessments. In this work, four different options of MSW treatment were ranked from an environmental point of view applying two methods: (1) the ecological footprint (EF) as single composite indicator and (2) multi-criteria analysis (MCA) integrating the EF together with other material flow indicators related to water consumption, emissions to air and water and occupied landfill volume. The MCA methods selected were a combination of Analytic Hierarchy Process (AHP) and Preference Ranking Organization Method for Enrichment Evaluation (PROMETHEE) aided by Geometrical Analysis for Interactive Aid (GAIA). The objective was twofold: on the one side, the identification of the most beneficial waste treatment alternative (including thermal plasma gasification which as yet has not been assessed systematically) from an environmental perspective and, on the other side, the comparison of the results yielded by the two ranking methods proposed. The ranking obtained in both cases was (from best to worst): thermal plasma gasification, biological treatment of organic fraction with energy recovery from refuse derived fuel, incineration with energy recovery and landfilling. Hence, the EF proved to be a good screening indicator although it did not provide a comprehensive measure of environmental impacts associated to the waste treatment options considered. Besides, the combined application of AHP and PROMETHEE/GAIA as MCA methodology was found to be a suitable way, not very complex at user level, to integrate the information provided by a set of environmental criteria and to aid decision making. ?? 2012 Elsevier Ltd.","author":[{"dropping-particle":"","family":"Herva","given":"Marta","non-dropping-particle":"","parse-names":false,"suffix":""},{"dropping-particle":"","family":"Roca","given":"Enrique","non-dropping-particle":"","parse-names":false,"suffix":""}],"container-title":"Ecological Indicators","id":"ITEM-1","issued":{"date-parts":[["2013"]]},"page":"77-84","publisher":"Elsevier Ltd","title":"Ranking municipal solid waste treatment alternatives based on ecological footprint and multi-criteria analysis","type":"article-journal","volume":"25"},"uris":["http://www.mendeley.com/documents/?uuid=39f7016a-0be3-4d8d-b77a-642b1dfd5c4a"]}],"mendeley":{"formattedCitation":"(Herva and Roca, 2013)","manualFormatting":"Herva &amp; Roca (2013)","plainTextFormattedCitation":"(Herva and Roca, 2013)","previouslyFormattedCitation":"(Herva and Roca, 2013)"},"properties":{"noteIndex":0},"schema":"https://github.com/citation-style-language/schema/raw/master/csl-citation.json"}</w:instrText>
            </w:r>
            <w:r w:rsidRPr="00C81B1E">
              <w:rPr>
                <w:rFonts w:eastAsia="Calibri"/>
                <w:szCs w:val="22"/>
                <w:lang w:val="en-GB" w:eastAsia="en-US"/>
              </w:rPr>
              <w:fldChar w:fldCharType="separate"/>
            </w:r>
            <w:r w:rsidRPr="00C81B1E">
              <w:rPr>
                <w:rFonts w:eastAsia="Calibri"/>
                <w:noProof/>
                <w:szCs w:val="22"/>
                <w:lang w:val="en-GB" w:eastAsia="en-US"/>
              </w:rPr>
              <w:t>Herva &amp; Roca (2013)</w:t>
            </w:r>
            <w:r w:rsidRPr="00C81B1E">
              <w:rPr>
                <w:rFonts w:eastAsia="Calibri"/>
                <w:szCs w:val="22"/>
                <w:lang w:val="en-GB" w:eastAsia="en-US"/>
              </w:rPr>
              <w:fldChar w:fldCharType="end"/>
            </w:r>
          </w:p>
        </w:tc>
      </w:tr>
      <w:tr w:rsidR="00C81B1E" w:rsidRPr="00C81B1E" w14:paraId="199E0B05" w14:textId="77777777" w:rsidTr="00C81B1E">
        <w:trPr>
          <w:trHeight w:val="255"/>
        </w:trPr>
        <w:tc>
          <w:tcPr>
            <w:tcW w:w="1668" w:type="dxa"/>
            <w:shd w:val="clear" w:color="auto" w:fill="auto"/>
            <w:noWrap/>
            <w:vAlign w:val="center"/>
            <w:hideMark/>
          </w:tcPr>
          <w:p w14:paraId="1C7530E7" w14:textId="77777777" w:rsidR="00C7764C" w:rsidRPr="00C81B1E" w:rsidRDefault="00C7764C" w:rsidP="00C81B1E">
            <w:pPr>
              <w:pStyle w:val="MDPI42tablebody"/>
              <w:rPr>
                <w:rFonts w:eastAsia="Calibri"/>
                <w:b/>
                <w:bCs/>
                <w:szCs w:val="22"/>
                <w:lang w:val="en-GB" w:eastAsia="en-US"/>
              </w:rPr>
            </w:pPr>
            <w:r w:rsidRPr="00C81B1E">
              <w:rPr>
                <w:rFonts w:eastAsia="Calibri"/>
                <w:b/>
                <w:bCs/>
                <w:szCs w:val="22"/>
                <w:lang w:val="en-GB" w:eastAsia="en-US"/>
              </w:rPr>
              <w:t>Economic value of solid material</w:t>
            </w:r>
          </w:p>
        </w:tc>
        <w:tc>
          <w:tcPr>
            <w:tcW w:w="1127" w:type="dxa"/>
            <w:shd w:val="clear" w:color="auto" w:fill="auto"/>
            <w:noWrap/>
            <w:vAlign w:val="center"/>
            <w:hideMark/>
          </w:tcPr>
          <w:p w14:paraId="56E1CD62" w14:textId="77777777" w:rsidR="00C7764C" w:rsidRPr="00C81B1E" w:rsidRDefault="00C7764C" w:rsidP="00C81B1E">
            <w:pPr>
              <w:pStyle w:val="MDPI42tablebody"/>
              <w:rPr>
                <w:rFonts w:eastAsia="Calibri"/>
                <w:szCs w:val="22"/>
                <w:lang w:val="en-GB" w:eastAsia="en-US"/>
              </w:rPr>
            </w:pPr>
            <w:r w:rsidRPr="00C81B1E">
              <w:rPr>
                <w:rFonts w:eastAsia="Calibri"/>
                <w:szCs w:val="22"/>
                <w:lang w:val="en-GB" w:eastAsia="en-US"/>
              </w:rPr>
              <w:t>£/t</w:t>
            </w:r>
          </w:p>
        </w:tc>
        <w:tc>
          <w:tcPr>
            <w:tcW w:w="1112" w:type="dxa"/>
            <w:shd w:val="clear" w:color="auto" w:fill="auto"/>
            <w:noWrap/>
            <w:vAlign w:val="center"/>
            <w:hideMark/>
          </w:tcPr>
          <w:p w14:paraId="2F90FCAC" w14:textId="77777777" w:rsidR="00C7764C" w:rsidRPr="00C81B1E" w:rsidRDefault="00C7764C" w:rsidP="00C81B1E">
            <w:pPr>
              <w:pStyle w:val="MDPI42tablebody"/>
              <w:rPr>
                <w:rFonts w:eastAsia="Calibri"/>
                <w:szCs w:val="22"/>
                <w:lang w:val="en-GB" w:eastAsia="en-US"/>
              </w:rPr>
            </w:pPr>
            <w:r w:rsidRPr="00C81B1E">
              <w:rPr>
                <w:rFonts w:eastAsia="Calibri"/>
                <w:szCs w:val="22"/>
                <w:lang w:val="en-GB" w:eastAsia="en-US"/>
              </w:rPr>
              <w:t>AF, AD, C, TT</w:t>
            </w:r>
          </w:p>
        </w:tc>
        <w:tc>
          <w:tcPr>
            <w:tcW w:w="5165" w:type="dxa"/>
            <w:shd w:val="clear" w:color="auto" w:fill="auto"/>
            <w:noWrap/>
            <w:vAlign w:val="center"/>
            <w:hideMark/>
          </w:tcPr>
          <w:p w14:paraId="683A24AE" w14:textId="273B3499" w:rsidR="00C7764C" w:rsidRPr="00C81B1E" w:rsidRDefault="00C7764C" w:rsidP="00C81B1E">
            <w:pPr>
              <w:pStyle w:val="MDPI42tablebody"/>
              <w:rPr>
                <w:rFonts w:eastAsia="Calibri"/>
                <w:szCs w:val="22"/>
                <w:lang w:val="en-GB" w:eastAsia="en-US"/>
              </w:rPr>
            </w:pPr>
            <w:r w:rsidRPr="00C81B1E">
              <w:rPr>
                <w:rFonts w:eastAsia="Calibri"/>
                <w:szCs w:val="22"/>
                <w:lang w:val="en-GB" w:eastAsia="en-US"/>
              </w:rPr>
              <w:t xml:space="preserve">AF: </w:t>
            </w:r>
            <w:r w:rsidRPr="00C81B1E">
              <w:rPr>
                <w:rFonts w:eastAsia="Calibri"/>
                <w:szCs w:val="22"/>
                <w:lang w:val="en-GB" w:eastAsia="en-US"/>
              </w:rPr>
              <w:fldChar w:fldCharType="begin" w:fldLock="1"/>
            </w:r>
            <w:r w:rsidRPr="00C81B1E">
              <w:rPr>
                <w:rFonts w:eastAsia="Calibri"/>
                <w:szCs w:val="22"/>
                <w:lang w:val="en-GB" w:eastAsia="en-US"/>
              </w:rPr>
              <w:instrText>ADDIN CSL_CITATION {"citationItems":[{"id":"ITEM-1","itemData":{"author":[{"dropping-particle":"","family":"Parfitt","given":"Julian","non-dropping-particle":"","parse-names":false,"suffix":""},{"dropping-particle":"","family":"Stanley","given":"Chris","non-dropping-particle":"","parse-names":false,"suffix":""},{"dropping-particle":"","family":"Thompson","given":"Laura","non-dropping-particle":"","parse-names":false,"suffix":""}],"id":"ITEM-1","issue":"May","issued":{"date-parts":[["2016"]]},"title":"Guidance for food and drink manufacturers and retailers on the use of food surplus as animal feed. Version 1.0","type":"report"},"uris":["http://www.mendeley.com/documents/?uuid=52a5d25a-b1e1-491e-ba4a-1b95106ef3dc"]}],"mendeley":{"formattedCitation":"(Parfitt et al., 2016)","manualFormatting":"Parfitt, Stanley, et al. (2016)","plainTextFormattedCitation":"(Parfitt et al., 2016)","previouslyFormattedCitation":"(Parfitt et al., 2016)"},"properties":{"noteIndex":0},"schema":"https://github.com/citation-style-language/schema/raw/master/csl-citation.json"}</w:instrText>
            </w:r>
            <w:r w:rsidRPr="00C81B1E">
              <w:rPr>
                <w:rFonts w:eastAsia="Calibri"/>
                <w:szCs w:val="22"/>
                <w:lang w:val="en-GB" w:eastAsia="en-US"/>
              </w:rPr>
              <w:fldChar w:fldCharType="separate"/>
            </w:r>
            <w:r w:rsidRPr="00C81B1E">
              <w:rPr>
                <w:rFonts w:eastAsia="Calibri"/>
                <w:noProof/>
                <w:szCs w:val="22"/>
                <w:lang w:val="en-GB" w:eastAsia="en-US"/>
              </w:rPr>
              <w:t>Parfitt, et al. (2016)</w:t>
            </w:r>
            <w:r w:rsidRPr="00C81B1E">
              <w:rPr>
                <w:rFonts w:eastAsia="Calibri"/>
                <w:szCs w:val="22"/>
                <w:lang w:val="en-GB" w:eastAsia="en-US"/>
              </w:rPr>
              <w:fldChar w:fldCharType="end"/>
            </w:r>
            <w:r w:rsidRPr="00C81B1E">
              <w:rPr>
                <w:rFonts w:eastAsia="Calibri"/>
                <w:szCs w:val="22"/>
                <w:lang w:val="en-GB" w:eastAsia="en-US"/>
              </w:rPr>
              <w:t xml:space="preserve">, AD: </w:t>
            </w:r>
            <w:r w:rsidRPr="00C81B1E">
              <w:rPr>
                <w:rFonts w:eastAsia="Calibri"/>
                <w:szCs w:val="22"/>
                <w:lang w:val="en-GB" w:eastAsia="en-US"/>
              </w:rPr>
              <w:fldChar w:fldCharType="begin" w:fldLock="1"/>
            </w:r>
            <w:r w:rsidRPr="00C81B1E">
              <w:rPr>
                <w:rFonts w:eastAsia="Calibri"/>
                <w:szCs w:val="22"/>
                <w:lang w:val="en-GB" w:eastAsia="en-US"/>
              </w:rPr>
              <w:instrText>ADDIN CSL_CITATION {"citationItems":[{"id":"ITEM-1","itemData":{"DOI":"10.1016/j.scitotenv.2016.03.236","ISSN":"18791026","PMID":"27101461","abstract":"Anaerobic digestion (AD) is expanding rapidly in the UK. Previous life cycle assessment (LCA) studies have highlighted the sensitivity of environmental outcomes to feedstock type, fugitive emissions, biomethane use, energy conversion efficiency and digestate management. We combined statistics on current and planned AD deployment with operational data from a survey of biogas plant operators to evaluate the environmental balance of the UK biogas sector for the years 2014 and 2017. Consequential LCA was applied to account for all major environmental credits and burdens incurred, including: (i) substitution of composting, incineration, sewer disposal, field decomposition and animal feeding of wastes; (ii) indirect land use change (ILUC) incurred by the cultivation of crops used for biogas production and to compensate for bakery and brewery wastes diverted from animal feed. In 2014, the UK biogas sector reduced greenhouse gas (GHG) emissions by 551-755 Gg CO2e excluding ILUC, or 238-755 Gg CO2e including ILUC uncertainty. Fossil energy depletion was reduced by 8.9-10.8 PJe, but eutrophication and acidification burdens were increased by 1.8-3.4 Gg PO4e and 8.1-14.6 Gg SO2e, respectively. Food waste and manure feedstocks dominate GHG abatement, largely through substitution of in-vessel composting and manure storage, whilst food waste and crop feedstocks dominate fossil energy credit, primarily through substitution of natural gas power generation. Biogas expansion is projected to increase environmental credits and loadings by a factor of 2.4 by 2017. If all AD bioelectricity replaced coal generation, or if 90% of biomethane replaced transport diesel or grid natural gas, GHG abatement would increase by 131%, 38% and 20%, respectively. Policies to encourage digestion of food waste and manures could maximize GHG abatement, avoiding the risk of carbon leakage associated with use of crops and wastes otherwise used to feed livestock. Covering digestate stores could largely mitigate net eutrophication and acidification burdens.","author":[{"dropping-particle":"","family":"Styles","given":"David","non-dropping-particle":"","parse-names":false,"suffix":""},{"dropping-particle":"","family":"Dominguez","given":"Eduardo Mesa","non-dropping-particle":"","parse-names":false,"suffix":""},{"dropping-particle":"","family":"Chadwick","given":"Dave","non-dropping-particle":"","parse-names":false,"suffix":""}],"container-title":"Science of the Total Environment","id":"ITEM-1","issued":{"date-parts":[["2016"]]},"page":"241-253","publisher":"Elsevier B.V.","title":"Environmental balance of the of the UK biogas sector: An evaluation by consequential life cycle assessment","type":"article-journal","volume":"560-561"},"uris":["http://www.mendeley.com/documents/?uuid=eb2d83a2-c1b2-4004-9aa1-54e3aa1bd22a"]}],"mendeley":{"formattedCitation":"(Styles et al., 2016)","manualFormatting":"Styles et al. (2016)","plainTextFormattedCitation":"(Styles et al., 2016)","previouslyFormattedCitation":"(Styles et al., 2016)"},"properties":{"noteIndex":0},"schema":"https://github.com/citation-style-language/schema/raw/master/csl-citation.json"}</w:instrText>
            </w:r>
            <w:r w:rsidRPr="00C81B1E">
              <w:rPr>
                <w:rFonts w:eastAsia="Calibri"/>
                <w:szCs w:val="22"/>
                <w:lang w:val="en-GB" w:eastAsia="en-US"/>
              </w:rPr>
              <w:fldChar w:fldCharType="separate"/>
            </w:r>
            <w:r w:rsidRPr="00C81B1E">
              <w:rPr>
                <w:rFonts w:eastAsia="Calibri"/>
                <w:noProof/>
                <w:szCs w:val="22"/>
                <w:lang w:val="en-GB" w:eastAsia="en-US"/>
              </w:rPr>
              <w:t>Styles et al. (2016)</w:t>
            </w:r>
            <w:r w:rsidRPr="00C81B1E">
              <w:rPr>
                <w:rFonts w:eastAsia="Calibri"/>
                <w:szCs w:val="22"/>
                <w:lang w:val="en-GB" w:eastAsia="en-US"/>
              </w:rPr>
              <w:fldChar w:fldCharType="end"/>
            </w:r>
            <w:r w:rsidRPr="00C81B1E">
              <w:rPr>
                <w:rFonts w:eastAsia="Calibri"/>
                <w:szCs w:val="22"/>
                <w:lang w:val="en-GB" w:eastAsia="en-US"/>
              </w:rPr>
              <w:t xml:space="preserve">, C: </w:t>
            </w:r>
            <w:r w:rsidRPr="00C81B1E">
              <w:rPr>
                <w:rFonts w:eastAsia="Calibri"/>
                <w:szCs w:val="22"/>
                <w:lang w:val="en-GB" w:eastAsia="en-US"/>
              </w:rPr>
              <w:fldChar w:fldCharType="begin" w:fldLock="1"/>
            </w:r>
            <w:r w:rsidRPr="00C81B1E">
              <w:rPr>
                <w:rFonts w:eastAsia="Calibri"/>
                <w:szCs w:val="22"/>
                <w:lang w:val="en-GB" w:eastAsia="en-US"/>
              </w:rPr>
              <w:instrText>ADDIN CSL_CITATION {"citationItems":[{"id":"ITEM-1","itemData":{"ISBN":"9783906484365","abstract":"Urban solid waste management is considered to be one of the most immediate and serious environmental problems confronting urban governments in developing countries. The severity of this challenge will increase in the future given the trends of rapid urbanisation and growth in urban population. Inadequate collection and disposal of waste poses a serious health risk to the population and is an obvious cause of environmental degradation in most cities of the developing world. With growing public pressure and environmental legislation, the waste experts are being called upon to develop more sustainable methods of dealing with municipal waste. One step in improving the current solid waste situation is enhancing resource recovering activities. Recycling inorganic materials from municipal solid waste is often well developed by the activities of the informal sector. Reuse of organic waste material however, often contributing to more than 50% of the total waste amount, is still fairly limited but has interesting recovery potential. Coupled with approaches to reduce reliance on landfill as a disposal route, biological treatment is increasingly becoming adopted as a standard requirement for the vast majority of biodegradable wastes. This book deals with such urban organic municipal wastes from households, commercial activities, institutions, as well as gardens and parks. It describes approaches and methods of composting on neighbourhood level in small -and middle- scale plants. It considers issues of primary waste collection, composting methods, management systems, occupational health, product quality, marketing and end - user demands.","author":[{"dropping-particle":"","family":"Rothenberger","given":"Silke","non-dropping-particle":"","parse-names":false,"suffix":""},{"dropping-particle":"","family":"Zurbrügg","given":"Christian","non-dropping-particle":"","parse-names":false,"suffix":""},{"dropping-particle":"","family":"Enayetullah","given":"Iftekhar","non-dropping-particle":"","parse-names":false,"suffix":""},{"dropping-particle":"","family":"Sinha","given":"a H Md Maqsood","non-dropping-particle":"","parse-names":false,"suffix":""}],"id":"ITEM-1","issued":{"date-parts":[["2006"]]},"publisher":"Waste Concern","title":"Decentralised Composting for Cities of Low- and Middle- Income Countries","type":"report"},"uris":["http://www.mendeley.com/documents/?uuid=b68f49db-b881-457a-828c-c06442c121a9"]}],"mendeley":{"formattedCitation":"(Rothenberger et al., 2006)","manualFormatting":"Rothenberger et al. (2006)","plainTextFormattedCitation":"(Rothenberger et al., 2006)","previouslyFormattedCitation":"(Rothenberger et al., 2006)"},"properties":{"noteIndex":0},"schema":"https://github.com/citation-style-language/schema/raw/master/csl-citation.json"}</w:instrText>
            </w:r>
            <w:r w:rsidRPr="00C81B1E">
              <w:rPr>
                <w:rFonts w:eastAsia="Calibri"/>
                <w:szCs w:val="22"/>
                <w:lang w:val="en-GB" w:eastAsia="en-US"/>
              </w:rPr>
              <w:fldChar w:fldCharType="separate"/>
            </w:r>
            <w:r w:rsidRPr="00C81B1E">
              <w:rPr>
                <w:rFonts w:eastAsia="Calibri"/>
                <w:noProof/>
                <w:szCs w:val="22"/>
                <w:lang w:val="en-GB" w:eastAsia="en-US"/>
              </w:rPr>
              <w:t>Rothenberger et al. (2006)</w:t>
            </w:r>
            <w:r w:rsidRPr="00C81B1E">
              <w:rPr>
                <w:rFonts w:eastAsia="Calibri"/>
                <w:szCs w:val="22"/>
                <w:lang w:val="en-GB" w:eastAsia="en-US"/>
              </w:rPr>
              <w:fldChar w:fldCharType="end"/>
            </w:r>
            <w:r w:rsidRPr="00C81B1E">
              <w:rPr>
                <w:rFonts w:eastAsia="Calibri"/>
                <w:szCs w:val="22"/>
                <w:lang w:val="en-GB" w:eastAsia="en-US"/>
              </w:rPr>
              <w:t xml:space="preserve">, TT: </w:t>
            </w:r>
            <w:r w:rsidRPr="00C81B1E">
              <w:rPr>
                <w:rFonts w:eastAsia="Calibri"/>
                <w:szCs w:val="22"/>
                <w:lang w:val="en-GB" w:eastAsia="en-US"/>
              </w:rPr>
              <w:fldChar w:fldCharType="begin" w:fldLock="1"/>
            </w:r>
            <w:r w:rsidRPr="00C81B1E">
              <w:rPr>
                <w:rFonts w:eastAsia="Calibri"/>
                <w:szCs w:val="22"/>
                <w:lang w:val="en-GB" w:eastAsia="en-US"/>
              </w:rPr>
              <w:instrText>ADDIN CSL_CITATION {"citationItems":[{"id":"ITEM-1","itemData":{"DOI":"10.1016/j.renene.2015.06.007","ISSN":"09601481","abstract":"This paper discusses the effects of changes in the management methods for animal by-products in a meat-processing plant after the implementation of an onsite thermal process waste recycling system and the construction of a production facility for mineral fertilisers. The changes concern cured meat production at a beef, pork and poultry cutting plant with a capacity of 150 tons per day. The remains of the processing comprise 17 tons per day of bones and pulp from meat and bone, which are burnt to ash. The resulting waste (ash) is converted into a new and useful product: mineral fertiliser. This paper details a case study of the first facility in Poland with an animal by-product thermal recycling facility and a plant, located at the meat-processing factory, that produces mineral fertiliser for agriculture and horticulture. The results of this study indicate that the management of animal by-products eliminates some of the negative effects related to their transport to local facilities for disposal. The study also highlights substantial ecological, energy-related and economic advantages.","author":[{"dropping-particle":"","family":"Bujak","given":"Janusz Wojciech","non-dropping-particle":"","parse-names":false,"suffix":""}],"container-title":"Renewable Energy","id":"ITEM-1","issued":{"date-parts":[["2015"]]},"page":"1174-1186","publisher":"Elsevier Ltd","title":"New insights into waste management – Meat industry","type":"article-journal","volume":"83"},"uris":["http://www.mendeley.com/documents/?uuid=813faf4e-824c-4144-ad28-d119dada6f62"]}],"mendeley":{"formattedCitation":"(Bujak, 2015)","manualFormatting":"Bujak (2015)","plainTextFormattedCitation":"(Bujak, 2015)","previouslyFormattedCitation":"(Bujak, 2015)"},"properties":{"noteIndex":0},"schema":"https://github.com/citation-style-language/schema/raw/master/csl-citation.json"}</w:instrText>
            </w:r>
            <w:r w:rsidRPr="00C81B1E">
              <w:rPr>
                <w:rFonts w:eastAsia="Calibri"/>
                <w:szCs w:val="22"/>
                <w:lang w:val="en-GB" w:eastAsia="en-US"/>
              </w:rPr>
              <w:fldChar w:fldCharType="separate"/>
            </w:r>
            <w:r w:rsidRPr="00C81B1E">
              <w:rPr>
                <w:rFonts w:eastAsia="Calibri"/>
                <w:noProof/>
                <w:szCs w:val="22"/>
                <w:lang w:val="en-GB" w:eastAsia="en-US"/>
              </w:rPr>
              <w:t>Bujak (2015)</w:t>
            </w:r>
            <w:r w:rsidRPr="00C81B1E">
              <w:rPr>
                <w:rFonts w:eastAsia="Calibri"/>
                <w:szCs w:val="22"/>
                <w:lang w:val="en-GB" w:eastAsia="en-US"/>
              </w:rPr>
              <w:fldChar w:fldCharType="end"/>
            </w:r>
          </w:p>
        </w:tc>
      </w:tr>
      <w:tr w:rsidR="00C81B1E" w:rsidRPr="00C81B1E" w14:paraId="3E621C8B" w14:textId="77777777" w:rsidTr="00C81B1E">
        <w:trPr>
          <w:trHeight w:val="255"/>
        </w:trPr>
        <w:tc>
          <w:tcPr>
            <w:tcW w:w="1668" w:type="dxa"/>
            <w:tcBorders>
              <w:top w:val="single" w:sz="4" w:space="0" w:color="7F7F7F"/>
              <w:bottom w:val="single" w:sz="4" w:space="0" w:color="7F7F7F"/>
            </w:tcBorders>
            <w:shd w:val="clear" w:color="auto" w:fill="auto"/>
            <w:noWrap/>
            <w:vAlign w:val="center"/>
            <w:hideMark/>
          </w:tcPr>
          <w:p w14:paraId="5F197031" w14:textId="77777777" w:rsidR="00C7764C" w:rsidRPr="00C81B1E" w:rsidRDefault="00C7764C" w:rsidP="00C81B1E">
            <w:pPr>
              <w:pStyle w:val="MDPI42tablebody"/>
              <w:rPr>
                <w:rFonts w:eastAsia="Calibri"/>
                <w:b/>
                <w:bCs/>
                <w:szCs w:val="22"/>
                <w:lang w:val="en-GB" w:eastAsia="en-US"/>
              </w:rPr>
            </w:pPr>
            <w:r w:rsidRPr="00C81B1E">
              <w:rPr>
                <w:rFonts w:eastAsia="Calibri"/>
                <w:b/>
                <w:bCs/>
                <w:szCs w:val="22"/>
                <w:lang w:val="en-GB" w:eastAsia="en-US"/>
              </w:rPr>
              <w:t>Heat recovered / Output power</w:t>
            </w:r>
          </w:p>
        </w:tc>
        <w:tc>
          <w:tcPr>
            <w:tcW w:w="1127" w:type="dxa"/>
            <w:tcBorders>
              <w:top w:val="single" w:sz="4" w:space="0" w:color="7F7F7F"/>
              <w:bottom w:val="single" w:sz="4" w:space="0" w:color="7F7F7F"/>
            </w:tcBorders>
            <w:shd w:val="clear" w:color="auto" w:fill="auto"/>
            <w:noWrap/>
            <w:vAlign w:val="center"/>
            <w:hideMark/>
          </w:tcPr>
          <w:p w14:paraId="6DF1FC89" w14:textId="77777777" w:rsidR="00C7764C" w:rsidRPr="00C81B1E" w:rsidRDefault="00C7764C" w:rsidP="00C81B1E">
            <w:pPr>
              <w:pStyle w:val="MDPI42tablebody"/>
              <w:rPr>
                <w:rFonts w:eastAsia="Calibri"/>
                <w:szCs w:val="22"/>
                <w:lang w:val="en-GB" w:eastAsia="en-US"/>
              </w:rPr>
            </w:pPr>
            <w:r w:rsidRPr="00C81B1E">
              <w:rPr>
                <w:rFonts w:eastAsia="Calibri"/>
                <w:szCs w:val="22"/>
                <w:lang w:val="en-GB" w:eastAsia="en-US"/>
              </w:rPr>
              <w:t>kJ/min</w:t>
            </w:r>
          </w:p>
        </w:tc>
        <w:tc>
          <w:tcPr>
            <w:tcW w:w="1112" w:type="dxa"/>
            <w:tcBorders>
              <w:top w:val="single" w:sz="4" w:space="0" w:color="7F7F7F"/>
              <w:bottom w:val="single" w:sz="4" w:space="0" w:color="7F7F7F"/>
            </w:tcBorders>
            <w:shd w:val="clear" w:color="auto" w:fill="auto"/>
            <w:noWrap/>
            <w:vAlign w:val="center"/>
            <w:hideMark/>
          </w:tcPr>
          <w:p w14:paraId="777213D2" w14:textId="77777777" w:rsidR="00C7764C" w:rsidRPr="00C81B1E" w:rsidRDefault="00C7764C" w:rsidP="00C81B1E">
            <w:pPr>
              <w:pStyle w:val="MDPI42tablebody"/>
              <w:rPr>
                <w:rFonts w:eastAsia="Calibri"/>
                <w:szCs w:val="22"/>
                <w:lang w:val="en-GB" w:eastAsia="en-US"/>
              </w:rPr>
            </w:pPr>
            <w:r w:rsidRPr="00C81B1E">
              <w:rPr>
                <w:rFonts w:eastAsia="Calibri"/>
                <w:szCs w:val="22"/>
                <w:lang w:val="en-GB" w:eastAsia="en-US"/>
              </w:rPr>
              <w:t>AD, TT</w:t>
            </w:r>
          </w:p>
        </w:tc>
        <w:tc>
          <w:tcPr>
            <w:tcW w:w="5165" w:type="dxa"/>
            <w:tcBorders>
              <w:top w:val="single" w:sz="4" w:space="0" w:color="7F7F7F"/>
              <w:bottom w:val="single" w:sz="4" w:space="0" w:color="7F7F7F"/>
            </w:tcBorders>
            <w:shd w:val="clear" w:color="auto" w:fill="auto"/>
            <w:noWrap/>
            <w:vAlign w:val="center"/>
            <w:hideMark/>
          </w:tcPr>
          <w:p w14:paraId="6E6F4976" w14:textId="77777777" w:rsidR="00C7764C" w:rsidRPr="00C81B1E" w:rsidRDefault="00C7764C" w:rsidP="00C81B1E">
            <w:pPr>
              <w:pStyle w:val="MDPI42tablebody"/>
              <w:rPr>
                <w:rFonts w:eastAsia="Calibri"/>
                <w:szCs w:val="22"/>
                <w:lang w:val="en-GB" w:eastAsia="en-US"/>
              </w:rPr>
            </w:pPr>
            <w:r w:rsidRPr="00C81B1E">
              <w:rPr>
                <w:rFonts w:eastAsia="Calibri"/>
                <w:szCs w:val="22"/>
                <w:lang w:val="en-GB" w:eastAsia="en-US"/>
              </w:rPr>
              <w:t xml:space="preserve">AD: </w:t>
            </w:r>
            <w:r w:rsidRPr="00C81B1E">
              <w:rPr>
                <w:rFonts w:eastAsia="Calibri"/>
                <w:szCs w:val="22"/>
                <w:lang w:val="en-GB" w:eastAsia="en-US"/>
              </w:rPr>
              <w:fldChar w:fldCharType="begin" w:fldLock="1"/>
            </w:r>
            <w:r w:rsidRPr="00C81B1E">
              <w:rPr>
                <w:rFonts w:eastAsia="Calibri"/>
                <w:szCs w:val="22"/>
                <w:lang w:val="en-GB" w:eastAsia="en-US"/>
              </w:rPr>
              <w:instrText>ADDIN CSL_CITATION {"citationItems":[{"id":"ITEM-1","itemData":{"DOI":"10.1016/j.scitotenv.2016.03.236","ISSN":"18791026","PMID":"27101461","abstract":"Anaerobic digestion (AD) is expanding rapidly in the UK. Previous life cycle assessment (LCA) studies have highlighted the sensitivity of environmental outcomes to feedstock type, fugitive emissions, biomethane use, energy conversion efficiency and digestate management. We combined statistics on current and planned AD deployment with operational data from a survey of biogas plant operators to evaluate the environmental balance of the UK biogas sector for the years 2014 and 2017. Consequential LCA was applied to account for all major environmental credits and burdens incurred, including: (i) substitution of composting, incineration, sewer disposal, field decomposition and animal feeding of wastes; (ii) indirect land use change (ILUC) incurred by the cultivation of crops used for biogas production and to compensate for bakery and brewery wastes diverted from animal feed. In 2014, the UK biogas sector reduced greenhouse gas (GHG) emissions by 551-755 Gg CO2e excluding ILUC, or 238-755 Gg CO2e including ILUC uncertainty. Fossil energy depletion was reduced by 8.9-10.8 PJe, but eutrophication and acidification burdens were increased by 1.8-3.4 Gg PO4e and 8.1-14.6 Gg SO2e, respectively. Food waste and manure feedstocks dominate GHG abatement, largely through substitution of in-vessel composting and manure storage, whilst food waste and crop feedstocks dominate fossil energy credit, primarily through substitution of natural gas power generation. Biogas expansion is projected to increase environmental credits and loadings by a factor of 2.4 by 2017. If all AD bioelectricity replaced coal generation, or if 90% of biomethane replaced transport diesel or grid natural gas, GHG abatement would increase by 131%, 38% and 20%, respectively. Policies to encourage digestion of food waste and manures could maximize GHG abatement, avoiding the risk of carbon leakage associated with use of crops and wastes otherwise used to feed livestock. Covering digestate stores could largely mitigate net eutrophication and acidification burdens.","author":[{"dropping-particle":"","family":"Styles","given":"David","non-dropping-particle":"","parse-names":false,"suffix":""},{"dropping-particle":"","family":"Dominguez","given":"Eduardo Mesa","non-dropping-particle":"","parse-names":false,"suffix":""},{"dropping-particle":"","family":"Chadwick","given":"Dave","non-dropping-particle":"","parse-names":false,"suffix":""}],"container-title":"Science of the Total Environment","id":"ITEM-1","issued":{"date-parts":[["2016"]]},"page":"241-253","publisher":"Elsevier B.V.","title":"Environmental balance of the of the UK biogas sector: An evaluation by consequential life cycle assessment","type":"article-journal","volume":"560-561"},"uris":["http://www.mendeley.com/documents/?uuid=eb2d83a2-c1b2-4004-9aa1-54e3aa1bd22a"]}],"mendeley":{"formattedCitation":"(Styles et al., 2016)","manualFormatting":"Styles et al. (2016)","plainTextFormattedCitation":"(Styles et al., 2016)","previouslyFormattedCitation":"(Styles et al., 2016)"},"properties":{"noteIndex":0},"schema":"https://github.com/citation-style-language/schema/raw/master/csl-citation.json"}</w:instrText>
            </w:r>
            <w:r w:rsidRPr="00C81B1E">
              <w:rPr>
                <w:rFonts w:eastAsia="Calibri"/>
                <w:szCs w:val="22"/>
                <w:lang w:val="en-GB" w:eastAsia="en-US"/>
              </w:rPr>
              <w:fldChar w:fldCharType="separate"/>
            </w:r>
            <w:r w:rsidRPr="00C81B1E">
              <w:rPr>
                <w:rFonts w:eastAsia="Calibri"/>
                <w:noProof/>
                <w:szCs w:val="22"/>
                <w:lang w:val="en-GB" w:eastAsia="en-US"/>
              </w:rPr>
              <w:t>Styles et al. (2016)</w:t>
            </w:r>
            <w:r w:rsidRPr="00C81B1E">
              <w:rPr>
                <w:rFonts w:eastAsia="Calibri"/>
                <w:szCs w:val="22"/>
                <w:lang w:val="en-GB" w:eastAsia="en-US"/>
              </w:rPr>
              <w:fldChar w:fldCharType="end"/>
            </w:r>
            <w:r w:rsidRPr="00C81B1E">
              <w:rPr>
                <w:rFonts w:eastAsia="Calibri"/>
                <w:szCs w:val="22"/>
                <w:lang w:val="en-GB" w:eastAsia="en-US"/>
              </w:rPr>
              <w:t xml:space="preserve">, TT: </w:t>
            </w:r>
            <w:r w:rsidRPr="00C81B1E">
              <w:rPr>
                <w:rFonts w:eastAsia="Calibri"/>
                <w:szCs w:val="22"/>
                <w:lang w:val="en-GB" w:eastAsia="en-US"/>
              </w:rPr>
              <w:fldChar w:fldCharType="begin" w:fldLock="1"/>
            </w:r>
            <w:r w:rsidRPr="00C81B1E">
              <w:rPr>
                <w:rFonts w:eastAsia="Calibri"/>
                <w:szCs w:val="22"/>
                <w:lang w:val="en-GB" w:eastAsia="en-US"/>
              </w:rPr>
              <w:instrText>ADDIN CSL_CITATION {"citationItems":[{"id":"ITEM-1","itemData":{"DOI":"10.1016/j.apenergy.2009.08.032","ISBN":"0306-2619","ISSN":"03062619","abstract":"Characteristics of syngas from the pyrolysis and gasification of food waste has been investigated. Characteristic differences in syngas properties and overall yields from pyrolysis and gasification were determined at two distinct high temperatures of 800 and 900 ??C. Pyrolysis and gasification behavior were evaluated in terms of syngas flow rate, hydrogen flow rate, output power, total syngas yield, total hydrogen yield, total energy yield, and apparent thermal efficiency. Gasification was more beneficial than pyrolysis based on investigated criteria, but longer time was needed to finish the gasification process. Longer time of gasification is attributed to slow reactions between the residual char and gasifying agent. Consequently, the char gasification kinetics was investigated. Inorganic constituents of food char were found to have a catalytic effect. Char reactivity increased with increased degree of conversion. In the conversion range from 0.1 to 0.9 the increase in reactivity was accompanied by an increase in pre-exponential factor, which suggested an increase in gasifying agent adsorption rate to char surface. However, in the conversion range from 0.93 to 0.98 the increase in reactivity was accompanied by a decrease in activation energy. A compensation effect was observed in this range of conversion of 0.93-0.98. ?? 2009 Elsevier Ltd. All rights reserved.","author":[{"dropping-particle":"","family":"Ahmed","given":"I. I.","non-dropping-particle":"","parse-names":false,"suffix":""},{"dropping-particle":"","family":"Gupta","given":"A. K.","non-dropping-particle":"","parse-names":false,"suffix":""}],"container-title":"Applied Energy","id":"ITEM-1","issue":"1","issued":{"date-parts":[["2010"]]},"page":"101-108","publisher":"Elsevier Ltd","title":"Pyrolysis and gasification of food waste: Syngas characteristics and char gasification kinetics","type":"article-journal","volume":"87"},"uris":["http://www.mendeley.com/documents/?uuid=ba947297-756d-4216-9a69-33c8820cc240"]}],"mendeley":{"formattedCitation":"(Ahmed and Gupta, 2010)","manualFormatting":"Ahmed &amp; Gupta (2010)","plainTextFormattedCitation":"(Ahmed and Gupta, 2010)","previouslyFormattedCitation":"(Ahmed and Gupta, 2010)"},"properties":{"noteIndex":0},"schema":"https://github.com/citation-style-language/schema/raw/master/csl-citation.json"}</w:instrText>
            </w:r>
            <w:r w:rsidRPr="00C81B1E">
              <w:rPr>
                <w:rFonts w:eastAsia="Calibri"/>
                <w:szCs w:val="22"/>
                <w:lang w:val="en-GB" w:eastAsia="en-US"/>
              </w:rPr>
              <w:fldChar w:fldCharType="separate"/>
            </w:r>
            <w:r w:rsidRPr="00C81B1E">
              <w:rPr>
                <w:rFonts w:eastAsia="Calibri"/>
                <w:noProof/>
                <w:szCs w:val="22"/>
                <w:lang w:val="en-GB" w:eastAsia="en-US"/>
              </w:rPr>
              <w:t>Ahmed &amp; Gupta (2010)</w:t>
            </w:r>
            <w:r w:rsidRPr="00C81B1E">
              <w:rPr>
                <w:rFonts w:eastAsia="Calibri"/>
                <w:szCs w:val="22"/>
                <w:lang w:val="en-GB" w:eastAsia="en-US"/>
              </w:rPr>
              <w:fldChar w:fldCharType="end"/>
            </w:r>
          </w:p>
        </w:tc>
      </w:tr>
      <w:tr w:rsidR="00C81B1E" w:rsidRPr="00C81B1E" w14:paraId="6BF22890" w14:textId="77777777" w:rsidTr="00C81B1E">
        <w:trPr>
          <w:trHeight w:val="285"/>
        </w:trPr>
        <w:tc>
          <w:tcPr>
            <w:tcW w:w="1668" w:type="dxa"/>
            <w:shd w:val="clear" w:color="auto" w:fill="auto"/>
            <w:noWrap/>
            <w:vAlign w:val="center"/>
            <w:hideMark/>
          </w:tcPr>
          <w:p w14:paraId="54EDD0E5" w14:textId="77777777" w:rsidR="00C7764C" w:rsidRPr="00C81B1E" w:rsidRDefault="00C7764C" w:rsidP="00C81B1E">
            <w:pPr>
              <w:pStyle w:val="MDPI42tablebody"/>
              <w:rPr>
                <w:rFonts w:eastAsia="Calibri"/>
                <w:b/>
                <w:bCs/>
                <w:szCs w:val="22"/>
                <w:lang w:val="en-GB" w:eastAsia="en-US"/>
              </w:rPr>
            </w:pPr>
            <w:r w:rsidRPr="00C81B1E">
              <w:rPr>
                <w:rFonts w:eastAsia="Calibri"/>
                <w:b/>
                <w:bCs/>
                <w:szCs w:val="22"/>
                <w:lang w:val="en-GB" w:eastAsia="en-US"/>
              </w:rPr>
              <w:t>Biogas rate</w:t>
            </w:r>
          </w:p>
        </w:tc>
        <w:tc>
          <w:tcPr>
            <w:tcW w:w="1127" w:type="dxa"/>
            <w:shd w:val="clear" w:color="auto" w:fill="auto"/>
            <w:noWrap/>
            <w:vAlign w:val="center"/>
            <w:hideMark/>
          </w:tcPr>
          <w:p w14:paraId="4273B736" w14:textId="77777777" w:rsidR="00C7764C" w:rsidRPr="00C81B1E" w:rsidRDefault="00C7764C" w:rsidP="00C81B1E">
            <w:pPr>
              <w:pStyle w:val="MDPI42tablebody"/>
              <w:rPr>
                <w:rFonts w:eastAsia="Calibri"/>
                <w:szCs w:val="22"/>
                <w:lang w:val="en-GB" w:eastAsia="en-US"/>
              </w:rPr>
            </w:pPr>
            <w:r w:rsidRPr="00C81B1E">
              <w:rPr>
                <w:rFonts w:eastAsia="Calibri"/>
                <w:szCs w:val="22"/>
                <w:lang w:val="en-GB" w:eastAsia="en-US"/>
              </w:rPr>
              <w:t>Nm</w:t>
            </w:r>
            <w:r w:rsidRPr="00C81B1E">
              <w:rPr>
                <w:rFonts w:eastAsia="Calibri"/>
                <w:szCs w:val="22"/>
                <w:vertAlign w:val="superscript"/>
                <w:lang w:val="en-GB" w:eastAsia="en-US"/>
              </w:rPr>
              <w:t>3</w:t>
            </w:r>
            <w:r w:rsidRPr="00C81B1E">
              <w:rPr>
                <w:rFonts w:eastAsia="Calibri"/>
                <w:szCs w:val="22"/>
                <w:lang w:val="en-GB" w:eastAsia="en-US"/>
              </w:rPr>
              <w:t>/day</w:t>
            </w:r>
          </w:p>
        </w:tc>
        <w:tc>
          <w:tcPr>
            <w:tcW w:w="1112" w:type="dxa"/>
            <w:shd w:val="clear" w:color="auto" w:fill="auto"/>
            <w:noWrap/>
            <w:vAlign w:val="center"/>
            <w:hideMark/>
          </w:tcPr>
          <w:p w14:paraId="6C485A2C" w14:textId="77777777" w:rsidR="00C7764C" w:rsidRPr="00C81B1E" w:rsidRDefault="00C7764C" w:rsidP="00C81B1E">
            <w:pPr>
              <w:pStyle w:val="MDPI42tablebody"/>
              <w:rPr>
                <w:rFonts w:eastAsia="Calibri"/>
                <w:szCs w:val="22"/>
                <w:lang w:val="en-GB" w:eastAsia="en-US"/>
              </w:rPr>
            </w:pPr>
            <w:r w:rsidRPr="00C81B1E">
              <w:rPr>
                <w:rFonts w:eastAsia="Calibri"/>
                <w:szCs w:val="22"/>
                <w:lang w:val="en-GB" w:eastAsia="en-US"/>
              </w:rPr>
              <w:t>AD</w:t>
            </w:r>
          </w:p>
        </w:tc>
        <w:tc>
          <w:tcPr>
            <w:tcW w:w="5165" w:type="dxa"/>
            <w:vMerge w:val="restart"/>
            <w:shd w:val="clear" w:color="auto" w:fill="auto"/>
            <w:noWrap/>
            <w:vAlign w:val="center"/>
            <w:hideMark/>
          </w:tcPr>
          <w:p w14:paraId="2EB835BC" w14:textId="77777777" w:rsidR="00C7764C" w:rsidRPr="00C81B1E" w:rsidRDefault="00C7764C" w:rsidP="00C81B1E">
            <w:pPr>
              <w:pStyle w:val="MDPI42tablebody"/>
              <w:rPr>
                <w:rFonts w:eastAsia="Calibri"/>
                <w:szCs w:val="22"/>
                <w:lang w:val="en-GB" w:eastAsia="en-US"/>
              </w:rPr>
            </w:pPr>
            <w:r w:rsidRPr="00C81B1E">
              <w:rPr>
                <w:rFonts w:eastAsia="Calibri"/>
                <w:szCs w:val="22"/>
                <w:lang w:val="en-GB" w:eastAsia="en-US"/>
              </w:rPr>
              <w:fldChar w:fldCharType="begin" w:fldLock="1"/>
            </w:r>
            <w:r w:rsidRPr="00C81B1E">
              <w:rPr>
                <w:rFonts w:eastAsia="Calibri"/>
                <w:szCs w:val="22"/>
                <w:lang w:val="en-GB" w:eastAsia="en-US"/>
              </w:rPr>
              <w:instrText>ADDIN CSL_CITATION {"citationItems":[{"id":"ITEM-1","itemData":{"DOI":"10.1016/j.scitotenv.2016.03.236","ISSN":"18791026","PMID":"27101461","abstract":"Anaerobic digestion (AD) is expanding rapidly in the UK. Previous life cycle assessment (LCA) studies have highlighted the sensitivity of environmental outcomes to feedstock type, fugitive emissions, biomethane use, energy conversion efficiency and digestate management. We combined statistics on current and planned AD deployment with operational data from a survey of biogas plant operators to evaluate the environmental balance of the UK biogas sector for the years 2014 and 2017. Consequential LCA was applied to account for all major environmental credits and burdens incurred, including: (i) substitution of composting, incineration, sewer disposal, field decomposition and animal feeding of wastes; (ii) indirect land use change (ILUC) incurred by the cultivation of crops used for biogas production and to compensate for bakery and brewery wastes diverted from animal feed. In 2014, the UK biogas sector reduced greenhouse gas (GHG) emissions by 551-755 Gg CO2e excluding ILUC, or 238-755 Gg CO2e including ILUC uncertainty. Fossil energy depletion was reduced by 8.9-10.8 PJe, but eutrophication and acidification burdens were increased by 1.8-3.4 Gg PO4e and 8.1-14.6 Gg SO2e, respectively. Food waste and manure feedstocks dominate GHG abatement, largely through substitution of in-vessel composting and manure storage, whilst food waste and crop feedstocks dominate fossil energy credit, primarily through substitution of natural gas power generation. Biogas expansion is projected to increase environmental credits and loadings by a factor of 2.4 by 2017. If all AD bioelectricity replaced coal generation, or if 90% of biomethane replaced transport diesel or grid natural gas, GHG abatement would increase by 131%, 38% and 20%, respectively. Policies to encourage digestion of food waste and manures could maximize GHG abatement, avoiding the risk of carbon leakage associated with use of crops and wastes otherwise used to feed livestock. Covering digestate stores could largely mitigate net eutrophication and acidification burdens.","author":[{"dropping-particle":"","family":"Styles","given":"David","non-dropping-particle":"","parse-names":false,"suffix":""},{"dropping-particle":"","family":"Dominguez","given":"Eduardo Mesa","non-dropping-particle":"","parse-names":false,"suffix":""},{"dropping-particle":"","family":"Chadwick","given":"Dave","non-dropping-particle":"","parse-names":false,"suffix":""}],"container-title":"Science of the Total Environment","id":"ITEM-1","issued":{"date-parts":[["2016"]]},"page":"241-253","publisher":"Elsevier B.V.","title":"Environmental balance of the of the UK biogas sector: An evaluation by consequential life cycle assessment","type":"article-journal","volume":"560-561"},"uris":["http://www.mendeley.com/documents/?uuid=eb2d83a2-c1b2-4004-9aa1-54e3aa1bd22a"]}],"mendeley":{"formattedCitation":"(Styles et al., 2016)","manualFormatting":"Styles et al. (2016)","plainTextFormattedCitation":"(Styles et al., 2016)","previouslyFormattedCitation":"(Styles et al., 2016)"},"properties":{"noteIndex":0},"schema":"https://github.com/citation-style-language/schema/raw/master/csl-citation.json"}</w:instrText>
            </w:r>
            <w:r w:rsidRPr="00C81B1E">
              <w:rPr>
                <w:rFonts w:eastAsia="Calibri"/>
                <w:szCs w:val="22"/>
                <w:lang w:val="en-GB" w:eastAsia="en-US"/>
              </w:rPr>
              <w:fldChar w:fldCharType="separate"/>
            </w:r>
            <w:r w:rsidRPr="00C81B1E">
              <w:rPr>
                <w:rFonts w:eastAsia="Calibri"/>
                <w:noProof/>
                <w:szCs w:val="22"/>
                <w:lang w:val="en-GB" w:eastAsia="en-US"/>
              </w:rPr>
              <w:t>Styles et al. (2016)</w:t>
            </w:r>
            <w:r w:rsidRPr="00C81B1E">
              <w:rPr>
                <w:rFonts w:eastAsia="Calibri"/>
                <w:szCs w:val="22"/>
                <w:lang w:val="en-GB" w:eastAsia="en-US"/>
              </w:rPr>
              <w:fldChar w:fldCharType="end"/>
            </w:r>
          </w:p>
        </w:tc>
      </w:tr>
      <w:tr w:rsidR="00C81B1E" w:rsidRPr="00C81B1E" w14:paraId="195342BB" w14:textId="77777777" w:rsidTr="00C81B1E">
        <w:trPr>
          <w:trHeight w:val="255"/>
        </w:trPr>
        <w:tc>
          <w:tcPr>
            <w:tcW w:w="1668" w:type="dxa"/>
            <w:tcBorders>
              <w:top w:val="single" w:sz="4" w:space="0" w:color="7F7F7F"/>
              <w:bottom w:val="single" w:sz="4" w:space="0" w:color="7F7F7F"/>
            </w:tcBorders>
            <w:shd w:val="clear" w:color="auto" w:fill="auto"/>
            <w:noWrap/>
            <w:vAlign w:val="center"/>
            <w:hideMark/>
          </w:tcPr>
          <w:p w14:paraId="440B1027" w14:textId="77777777" w:rsidR="00C7764C" w:rsidRPr="00C81B1E" w:rsidRDefault="00C7764C" w:rsidP="00C81B1E">
            <w:pPr>
              <w:pStyle w:val="MDPI42tablebody"/>
              <w:rPr>
                <w:rFonts w:eastAsia="Calibri"/>
                <w:b/>
                <w:bCs/>
                <w:szCs w:val="22"/>
                <w:lang w:val="en-GB" w:eastAsia="en-US"/>
              </w:rPr>
            </w:pPr>
            <w:r w:rsidRPr="00C81B1E">
              <w:rPr>
                <w:rFonts w:eastAsia="Calibri"/>
                <w:b/>
                <w:bCs/>
                <w:szCs w:val="22"/>
                <w:lang w:val="en-GB" w:eastAsia="en-US"/>
              </w:rPr>
              <w:t>[CH</w:t>
            </w:r>
            <w:r w:rsidRPr="00C81B1E">
              <w:rPr>
                <w:rFonts w:eastAsia="Calibri"/>
                <w:b/>
                <w:bCs/>
                <w:szCs w:val="22"/>
                <w:vertAlign w:val="subscript"/>
                <w:lang w:val="en-GB" w:eastAsia="en-US"/>
              </w:rPr>
              <w:t>4</w:t>
            </w:r>
            <w:r w:rsidRPr="00C81B1E">
              <w:rPr>
                <w:rFonts w:eastAsia="Calibri"/>
                <w:b/>
                <w:bCs/>
                <w:szCs w:val="22"/>
                <w:lang w:val="en-GB" w:eastAsia="en-US"/>
              </w:rPr>
              <w:t>] in biogas</w:t>
            </w:r>
          </w:p>
        </w:tc>
        <w:tc>
          <w:tcPr>
            <w:tcW w:w="1127" w:type="dxa"/>
            <w:tcBorders>
              <w:top w:val="single" w:sz="4" w:space="0" w:color="7F7F7F"/>
              <w:bottom w:val="single" w:sz="4" w:space="0" w:color="7F7F7F"/>
            </w:tcBorders>
            <w:shd w:val="clear" w:color="auto" w:fill="auto"/>
            <w:noWrap/>
            <w:vAlign w:val="center"/>
            <w:hideMark/>
          </w:tcPr>
          <w:p w14:paraId="77777B1C" w14:textId="77777777" w:rsidR="00C7764C" w:rsidRPr="00C81B1E" w:rsidRDefault="00C7764C" w:rsidP="00C81B1E">
            <w:pPr>
              <w:pStyle w:val="MDPI42tablebody"/>
              <w:rPr>
                <w:rFonts w:eastAsia="Calibri"/>
                <w:szCs w:val="22"/>
                <w:lang w:val="en-GB" w:eastAsia="en-US"/>
              </w:rPr>
            </w:pPr>
            <w:r w:rsidRPr="00C81B1E">
              <w:rPr>
                <w:rFonts w:eastAsia="Calibri"/>
                <w:szCs w:val="22"/>
                <w:lang w:val="en-GB" w:eastAsia="en-US"/>
              </w:rPr>
              <w:t>%</w:t>
            </w:r>
          </w:p>
        </w:tc>
        <w:tc>
          <w:tcPr>
            <w:tcW w:w="1112" w:type="dxa"/>
            <w:tcBorders>
              <w:top w:val="single" w:sz="4" w:space="0" w:color="7F7F7F"/>
              <w:bottom w:val="single" w:sz="4" w:space="0" w:color="7F7F7F"/>
            </w:tcBorders>
            <w:shd w:val="clear" w:color="auto" w:fill="auto"/>
            <w:noWrap/>
            <w:vAlign w:val="center"/>
            <w:hideMark/>
          </w:tcPr>
          <w:p w14:paraId="3DBAE44C" w14:textId="77777777" w:rsidR="00C7764C" w:rsidRPr="00C81B1E" w:rsidRDefault="00C7764C" w:rsidP="00C81B1E">
            <w:pPr>
              <w:pStyle w:val="MDPI42tablebody"/>
              <w:rPr>
                <w:rFonts w:eastAsia="Calibri"/>
                <w:szCs w:val="22"/>
                <w:lang w:val="en-GB" w:eastAsia="en-US"/>
              </w:rPr>
            </w:pPr>
            <w:r w:rsidRPr="00C81B1E">
              <w:rPr>
                <w:rFonts w:eastAsia="Calibri"/>
                <w:szCs w:val="22"/>
                <w:lang w:val="en-GB" w:eastAsia="en-US"/>
              </w:rPr>
              <w:t>AD</w:t>
            </w:r>
          </w:p>
        </w:tc>
        <w:tc>
          <w:tcPr>
            <w:tcW w:w="5165" w:type="dxa"/>
            <w:vMerge/>
            <w:tcBorders>
              <w:top w:val="single" w:sz="4" w:space="0" w:color="7F7F7F"/>
              <w:bottom w:val="single" w:sz="4" w:space="0" w:color="7F7F7F"/>
            </w:tcBorders>
            <w:shd w:val="clear" w:color="auto" w:fill="auto"/>
            <w:noWrap/>
            <w:vAlign w:val="center"/>
            <w:hideMark/>
          </w:tcPr>
          <w:p w14:paraId="45D50CA7" w14:textId="77777777" w:rsidR="00C7764C" w:rsidRPr="00C81B1E" w:rsidRDefault="00C7764C" w:rsidP="00C81B1E">
            <w:pPr>
              <w:pStyle w:val="MDPI42tablebody"/>
              <w:rPr>
                <w:rFonts w:eastAsia="Calibri"/>
                <w:szCs w:val="22"/>
                <w:lang w:val="en-GB" w:eastAsia="en-US"/>
              </w:rPr>
            </w:pPr>
          </w:p>
        </w:tc>
      </w:tr>
    </w:tbl>
    <w:p w14:paraId="2A33AE2A" w14:textId="77777777" w:rsidR="00C7764C" w:rsidRPr="00C7764C" w:rsidRDefault="00C7764C" w:rsidP="00C7764C">
      <w:pPr>
        <w:spacing w:after="160" w:line="259" w:lineRule="auto"/>
        <w:rPr>
          <w:rFonts w:eastAsia="Calibri"/>
          <w:color w:val="auto"/>
          <w:sz w:val="16"/>
          <w:szCs w:val="16"/>
          <w:lang w:val="en-GB" w:eastAsia="en-US"/>
        </w:rPr>
      </w:pPr>
    </w:p>
    <w:p w14:paraId="64F6FAF8" w14:textId="77777777" w:rsidR="00C7764C" w:rsidRPr="00C7764C" w:rsidRDefault="00C7764C" w:rsidP="00BA2E09">
      <w:pPr>
        <w:pStyle w:val="MDPI41tablecaption"/>
        <w:rPr>
          <w:rFonts w:eastAsia="Calibri"/>
          <w:lang w:val="en-GB" w:eastAsia="en-US"/>
        </w:rPr>
      </w:pPr>
      <w:r w:rsidRPr="00C7764C">
        <w:rPr>
          <w:rFonts w:eastAsia="Calibri"/>
          <w:lang w:val="en-GB" w:eastAsia="en-US"/>
        </w:rPr>
        <w:t xml:space="preserve">Table </w:t>
      </w:r>
      <w:r w:rsidRPr="00C7764C">
        <w:rPr>
          <w:rFonts w:eastAsia="Calibri"/>
          <w:lang w:val="en-GB" w:eastAsia="en-US"/>
        </w:rPr>
        <w:fldChar w:fldCharType="begin"/>
      </w:r>
      <w:r w:rsidRPr="00C7764C">
        <w:rPr>
          <w:rFonts w:eastAsia="Calibri"/>
          <w:lang w:val="en-GB" w:eastAsia="en-US"/>
        </w:rPr>
        <w:instrText xml:space="preserve"> SEQ Table \* ARABIC </w:instrText>
      </w:r>
      <w:r w:rsidRPr="00C7764C">
        <w:rPr>
          <w:rFonts w:eastAsia="Calibri"/>
          <w:lang w:val="en-GB" w:eastAsia="en-US"/>
        </w:rPr>
        <w:fldChar w:fldCharType="separate"/>
      </w:r>
      <w:r w:rsidRPr="00C7764C">
        <w:rPr>
          <w:rFonts w:eastAsia="Calibri"/>
          <w:noProof/>
          <w:lang w:val="en-GB" w:eastAsia="en-US"/>
        </w:rPr>
        <w:t>10</w:t>
      </w:r>
      <w:r w:rsidRPr="00C7764C">
        <w:rPr>
          <w:rFonts w:eastAsia="Calibri"/>
          <w:lang w:val="en-GB" w:eastAsia="en-US"/>
        </w:rPr>
        <w:fldChar w:fldCharType="end"/>
      </w:r>
      <w:r w:rsidRPr="00C7764C">
        <w:rPr>
          <w:rFonts w:eastAsia="Calibri"/>
          <w:lang w:val="en-GB" w:eastAsia="en-US"/>
        </w:rPr>
        <w:t>. Social indicators</w:t>
      </w:r>
    </w:p>
    <w:tbl>
      <w:tblPr>
        <w:tblW w:w="9072" w:type="dxa"/>
        <w:tblBorders>
          <w:top w:val="single" w:sz="4" w:space="0" w:color="7F7F7F"/>
          <w:bottom w:val="single" w:sz="4" w:space="0" w:color="7F7F7F"/>
        </w:tblBorders>
        <w:tblLook w:val="04A0" w:firstRow="1" w:lastRow="0" w:firstColumn="1" w:lastColumn="0" w:noHBand="0" w:noVBand="1"/>
      </w:tblPr>
      <w:tblGrid>
        <w:gridCol w:w="1266"/>
        <w:gridCol w:w="1812"/>
        <w:gridCol w:w="881"/>
        <w:gridCol w:w="5113"/>
      </w:tblGrid>
      <w:tr w:rsidR="00C81B1E" w:rsidRPr="00C81B1E" w14:paraId="32086D4B" w14:textId="77777777" w:rsidTr="00C81B1E">
        <w:trPr>
          <w:trHeight w:val="255"/>
        </w:trPr>
        <w:tc>
          <w:tcPr>
            <w:tcW w:w="1266" w:type="dxa"/>
            <w:tcBorders>
              <w:bottom w:val="single" w:sz="4" w:space="0" w:color="7F7F7F"/>
            </w:tcBorders>
            <w:shd w:val="clear" w:color="auto" w:fill="auto"/>
            <w:noWrap/>
            <w:vAlign w:val="center"/>
          </w:tcPr>
          <w:p w14:paraId="7206D674"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Indicator</w:t>
            </w:r>
          </w:p>
        </w:tc>
        <w:tc>
          <w:tcPr>
            <w:tcW w:w="1812" w:type="dxa"/>
            <w:tcBorders>
              <w:bottom w:val="single" w:sz="4" w:space="0" w:color="7F7F7F"/>
            </w:tcBorders>
            <w:shd w:val="clear" w:color="auto" w:fill="auto"/>
            <w:noWrap/>
            <w:vAlign w:val="center"/>
          </w:tcPr>
          <w:p w14:paraId="0B5E2298"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Example or unit</w:t>
            </w:r>
          </w:p>
        </w:tc>
        <w:tc>
          <w:tcPr>
            <w:tcW w:w="881" w:type="dxa"/>
            <w:tcBorders>
              <w:bottom w:val="single" w:sz="4" w:space="0" w:color="7F7F7F"/>
            </w:tcBorders>
            <w:shd w:val="clear" w:color="auto" w:fill="auto"/>
            <w:noWrap/>
            <w:vAlign w:val="center"/>
          </w:tcPr>
          <w:p w14:paraId="3561DDD6"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FWMS</w:t>
            </w:r>
          </w:p>
        </w:tc>
        <w:tc>
          <w:tcPr>
            <w:tcW w:w="5113" w:type="dxa"/>
            <w:tcBorders>
              <w:bottom w:val="single" w:sz="4" w:space="0" w:color="7F7F7F"/>
            </w:tcBorders>
            <w:shd w:val="clear" w:color="auto" w:fill="auto"/>
            <w:noWrap/>
            <w:vAlign w:val="center"/>
          </w:tcPr>
          <w:p w14:paraId="06883290"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Reference</w:t>
            </w:r>
          </w:p>
        </w:tc>
      </w:tr>
      <w:tr w:rsidR="00C81B1E" w:rsidRPr="00C81B1E" w14:paraId="0C11F6A1" w14:textId="77777777" w:rsidTr="00C81B1E">
        <w:trPr>
          <w:trHeight w:val="255"/>
        </w:trPr>
        <w:tc>
          <w:tcPr>
            <w:tcW w:w="1266" w:type="dxa"/>
            <w:tcBorders>
              <w:top w:val="single" w:sz="4" w:space="0" w:color="7F7F7F"/>
              <w:bottom w:val="single" w:sz="4" w:space="0" w:color="7F7F7F"/>
            </w:tcBorders>
            <w:shd w:val="clear" w:color="auto" w:fill="auto"/>
            <w:noWrap/>
            <w:vAlign w:val="center"/>
            <w:hideMark/>
          </w:tcPr>
          <w:p w14:paraId="0855ABD1"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Support of local economies</w:t>
            </w:r>
          </w:p>
        </w:tc>
        <w:tc>
          <w:tcPr>
            <w:tcW w:w="1812" w:type="dxa"/>
            <w:tcBorders>
              <w:top w:val="single" w:sz="4" w:space="0" w:color="7F7F7F"/>
              <w:bottom w:val="single" w:sz="4" w:space="0" w:color="7F7F7F"/>
            </w:tcBorders>
            <w:shd w:val="clear" w:color="auto" w:fill="auto"/>
            <w:noWrap/>
            <w:vAlign w:val="center"/>
            <w:hideMark/>
          </w:tcPr>
          <w:p w14:paraId="59AD3509" w14:textId="77777777" w:rsidR="00C7764C" w:rsidRPr="00C81B1E" w:rsidRDefault="00C7764C" w:rsidP="00C81B1E">
            <w:pPr>
              <w:pStyle w:val="MDPI42tablebody"/>
              <w:rPr>
                <w:rFonts w:eastAsia="Calibri"/>
                <w:lang w:val="en-GB" w:eastAsia="en-US"/>
              </w:rPr>
            </w:pPr>
            <w:r w:rsidRPr="00C81B1E">
              <w:rPr>
                <w:rFonts w:eastAsia="Calibri"/>
                <w:lang w:val="en-GB" w:eastAsia="en-US"/>
              </w:rPr>
              <w:t>Yes (number of people benefitted / tonne) / No</w:t>
            </w:r>
          </w:p>
        </w:tc>
        <w:tc>
          <w:tcPr>
            <w:tcW w:w="881" w:type="dxa"/>
            <w:tcBorders>
              <w:top w:val="single" w:sz="4" w:space="0" w:color="7F7F7F"/>
              <w:bottom w:val="single" w:sz="4" w:space="0" w:color="7F7F7F"/>
            </w:tcBorders>
            <w:shd w:val="clear" w:color="auto" w:fill="auto"/>
            <w:noWrap/>
            <w:vAlign w:val="center"/>
            <w:hideMark/>
          </w:tcPr>
          <w:p w14:paraId="64D87861" w14:textId="77777777" w:rsidR="00C7764C" w:rsidRPr="00C81B1E" w:rsidRDefault="00C7764C" w:rsidP="00C81B1E">
            <w:pPr>
              <w:pStyle w:val="MDPI42tablebody"/>
              <w:rPr>
                <w:rFonts w:eastAsia="Calibri"/>
                <w:lang w:val="en-GB" w:eastAsia="en-US"/>
              </w:rPr>
            </w:pPr>
            <w:r w:rsidRPr="00C81B1E">
              <w:rPr>
                <w:rFonts w:eastAsia="Calibri"/>
                <w:lang w:val="en-GB" w:eastAsia="en-US"/>
              </w:rPr>
              <w:t>R, AF, AD, C, TT</w:t>
            </w:r>
          </w:p>
        </w:tc>
        <w:tc>
          <w:tcPr>
            <w:tcW w:w="5113" w:type="dxa"/>
            <w:tcBorders>
              <w:top w:val="single" w:sz="4" w:space="0" w:color="7F7F7F"/>
              <w:bottom w:val="single" w:sz="4" w:space="0" w:color="7F7F7F"/>
            </w:tcBorders>
            <w:shd w:val="clear" w:color="auto" w:fill="auto"/>
            <w:noWrap/>
            <w:vAlign w:val="center"/>
            <w:hideMark/>
          </w:tcPr>
          <w:p w14:paraId="5F8F0078"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R: </w:t>
            </w:r>
            <w:r w:rsidRPr="00C81B1E">
              <w:rPr>
                <w:rFonts w:eastAsia="Calibri"/>
                <w:lang w:val="en-GB" w:eastAsia="en-US"/>
              </w:rPr>
              <w:fldChar w:fldCharType="begin" w:fldLock="1"/>
            </w:r>
            <w:r w:rsidRPr="00C81B1E">
              <w:rPr>
                <w:rFonts w:eastAsia="Calibri"/>
                <w:lang w:val="en-GB" w:eastAsia="en-US"/>
              </w:rPr>
              <w:instrText>ADDIN CSL_CITATION {"citationItems":[{"id":"ITEM-1","itemData":{"author":[{"dropping-particle":"","family":"Buksti","given":"Michael","non-dropping-particle":"","parse-names":false,"suffix":""},{"dropping-particle":"","family":"Fremming","given":"Thomas","non-dropping-particle":"","parse-names":false,"suffix":""},{"dropping-particle":"","family":"Juul","given":"Selina","non-dropping-particle":"","parse-names":false,"suffix":""},{"dropping-particle":"","family":"Grandjean","given":"Frans","non-dropping-particle":"","parse-names":false,"suffix":""},{"dropping-particle":"","family":"Christensen","given":"Sidsel","non-dropping-particle":"","parse-names":false,"suffix":""}],"id":"ITEM-1","issue":"September","issued":{"date-parts":[["2015"]]},"publisher-place":"Wageningen (The Netherlands)","title":"Surplus Food Redistribution System. Feasibility Final Report","type":"report"},"uris":["http://www.mendeley.com/documents/?uuid=6de6977d-c718-40fd-8a88-07e0ef57fd70"]}],"mendeley":{"formattedCitation":"(Buksti et al., 2015)","manualFormatting":"Buksti et al. (2015)","plainTextFormattedCitation":"(Buksti et al., 2015)","previouslyFormattedCitation":"(Buksti et al., 2015)"},"properties":{"noteIndex":0},"schema":"https://github.com/citation-style-language/schema/raw/master/csl-citation.json"}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Buksti et al. (2015)</w:t>
            </w:r>
            <w:r w:rsidRPr="00C81B1E">
              <w:rPr>
                <w:rFonts w:eastAsia="Calibri"/>
                <w:lang w:val="en-GB" w:eastAsia="en-US"/>
              </w:rPr>
              <w:fldChar w:fldCharType="end"/>
            </w:r>
            <w:r w:rsidRPr="00C81B1E">
              <w:rPr>
                <w:rFonts w:eastAsia="Calibri"/>
                <w:lang w:val="en-GB" w:eastAsia="en-US"/>
              </w:rPr>
              <w:t xml:space="preserve">, AF: </w:t>
            </w:r>
            <w:r w:rsidRPr="00C81B1E">
              <w:rPr>
                <w:rFonts w:eastAsia="Calibri"/>
                <w:lang w:val="en-GB" w:eastAsia="en-US"/>
              </w:rPr>
              <w:fldChar w:fldCharType="begin" w:fldLock="1"/>
            </w:r>
            <w:r w:rsidRPr="00C81B1E">
              <w:rPr>
                <w:rFonts w:eastAsia="Calibri"/>
                <w:lang w:val="en-GB" w:eastAsia="en-US"/>
              </w:rPr>
              <w:instrText>ADDIN CSL_CITATION {"citationItems":[{"id":"ITEM-1","itemData":{"ISBN":"1828-1427 (Electronic)\\r0505-401X (Linking)","ISSN":"1828-1427","PMID":"20391403","abstract":"Due to the price hike of imported grains for feed, the production of Ecofeed, feed produced from recycled food waste, has increased in recent years. Food dregs from the food and beverage processing industry and out-of-date food from supermarkets and convenience stores are most often used as raw materials for Ecofeed. As food waste usually contains a lot of moisture and is easily spoiled, guidelines prescribing measures to be taken when collecting, transporting and storing raw materials, and for the production, shipment, stor</w:instrText>
            </w:r>
            <w:r w:rsidRPr="00AF527D">
              <w:rPr>
                <w:rFonts w:eastAsia="Calibri"/>
                <w:lang w:val="es-ES" w:eastAsia="en-US"/>
              </w:rPr>
              <w:instrText>age and use of Ecofeed products, have been developed to ensure the safety of Ecofeed. The guidelines also include measures that should be taken to prevent the spread of bovine spongiform encephalopathy when producing and using Ecofeed. A certification system was introduced in March 2009 to ensure the quality and safety of Ecofeed and thus promote its use.","author":[{"dropping-particle":"","family":"Sugiura","given":"Katsuaki","non-dropping-particle":"","parse-names":false,"suffix":""},{"dropping-particle":"","family":"Yamatani","given":"Shoich","non-dropping-particle":"","parse-names":false,"suffix":""},{"dropping-particle":"","family":"Watahara","given":"Masashi","non-dropping-particle":"","parse-names":false,"suffix":""},{"dropping-particle":"","family":"Onodera","given":"Takashi","non-dropping-particle":"","parse-names":false,"suffix":""}],"container-title":"Veterinaria italiana","id":"ITEM-1","issue":"3","issued":{"date-parts":[["2009"]]},"page":"397-4</w:instrText>
            </w:r>
            <w:r w:rsidRPr="00C81B1E">
              <w:rPr>
                <w:rFonts w:eastAsia="Calibri"/>
                <w:lang w:val="es-ES" w:eastAsia="en-US"/>
              </w:rPr>
              <w:instrText>04","title":"Ecofeed, animal feed produced from recycled food waste","type":"article-journal","volume":"45"},"uris":["http://www.mendeley.com/documents/?uuid=2f2aa4ab-2ba2-4210-bdc0-90593e3907db"]}],"mendeley":{"formattedCitation":"(Sugiura et al., 2009)","manualFormatting":"Sugiura et al. (2009)","plainTextFormattedCitation":"(Sugiura et al., 2009)","previouslyFormattedCitation":"(Sugiura et al., 2009)"},"properties":{"noteIndex":0},"schema":"https://github.com/citation-style-language/schema/raw/master/csl-citation.json"}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s-ES" w:eastAsia="en-US"/>
              </w:rPr>
              <w:t>Sugiura et al. (2009)</w:t>
            </w:r>
            <w:r w:rsidRPr="00C81B1E">
              <w:rPr>
                <w:rFonts w:eastAsia="Calibri"/>
                <w:lang w:val="en-GB" w:eastAsia="en-US"/>
              </w:rPr>
              <w:fldChar w:fldCharType="end"/>
            </w:r>
            <w:r w:rsidRPr="00C81B1E">
              <w:rPr>
                <w:rFonts w:eastAsia="Calibri"/>
                <w:lang w:val="es-ES" w:eastAsia="en-US"/>
              </w:rPr>
              <w:t xml:space="preserve">, AD: </w:t>
            </w:r>
            <w:r w:rsidRPr="00C81B1E">
              <w:rPr>
                <w:rFonts w:eastAsia="Calibri"/>
                <w:lang w:val="en-GB" w:eastAsia="en-US"/>
              </w:rPr>
              <w:fldChar w:fldCharType="begin" w:fldLock="1"/>
            </w:r>
            <w:r w:rsidRPr="00C81B1E">
              <w:rPr>
                <w:rFonts w:eastAsia="Calibri"/>
                <w:lang w:val="es-ES" w:eastAsia="en-US"/>
              </w:rPr>
              <w:instrText>ADDIN CSL_CITATION {"citationItems":[{"id":"ITEM-1","itemData":{"DOI":"10.1016/j.rser.2015.11.036","ISSN":"18790690","abstract":"Studies of waste-to-energy systems have applied a varying range of indicators to assess their sustainability. The sets of indicators prescribed were often based on the respective context and are therefore of varying emphasis. Through a literature review, this research aims to develop a framework of sustainability indicators that can serve as a reference for future research in waste-to-energy systems. Sustainability indicators and their underlying factors from the three pillars of sustainability were consolidated and structured under a proposed framework. As factors interlinking between the three pillars such as carbon schemes are critical for sustainability, they were identified and described within the framework. The proposed framework is extended with a lifecycle dimension to facilitate lifecycle sustainability assessments. This article presents a novel metric of sustainability (MOS). The proposed indicator framework and the MOS are applied in a case study to demonstrate their functions in sustainability assessments. The case highlighted the advantages of the MOS and the importance of considering systems from a more holistic perspective, especially in practice where sustainability issues tend to fall within and across boundaries of the economic, environmental and social lifecycles.","author":[{"dropping-particle":"","family":"Chong","given":"Yih Tng","non-dropping-particle":"","parse-names":false,"suffix":""},{"dropping-particle":"","family":"Teo","given":"Kwong Meng","non-dropping-particle":"","parse-names":false,"suffix":""},{"dropping-particle":"","family":"Tang","given":"Loon Ching","non-dropping-particle":"","parse-names":false,"suffix":""}],"container-title":"Renewable and Sustainable Energy Reviews","id":"ITEM-1","issued":{"date-parts":[["2016"]]},"page":"797-809","publisher":"Elsevier","title":"A lifecycle-based sustainability indicator framework for waste-to-energy systems and a proposed metric of sustainability","type":"article-journal","volume":"56"},"uris":["http://www.mendeley.com/documents/?uuid=ad936d33-3d49-46e6-9445-eced6da832c8"]}],"mendeley":{"formattedCitation":"(Chong et al., 2016)","manualFormatting":"Chong et al. (2016)","plainTextFormattedCitation":"(Chong et al., 2016)","previouslyFormattedCitation":"(Chong et al., 2016)"},"properties":{"noteIndex":0},"schema":"https://github.com/citation-style-language/schema/raw/master/csl-citation.json"}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s-ES" w:eastAsia="en-US"/>
              </w:rPr>
              <w:t>Chong et al. (2016)</w:t>
            </w:r>
            <w:r w:rsidRPr="00C81B1E">
              <w:rPr>
                <w:rFonts w:eastAsia="Calibri"/>
                <w:lang w:val="en-GB" w:eastAsia="en-US"/>
              </w:rPr>
              <w:fldChar w:fldCharType="end"/>
            </w:r>
            <w:r w:rsidRPr="00C81B1E">
              <w:rPr>
                <w:rFonts w:eastAsia="Calibri"/>
                <w:lang w:val="es-ES" w:eastAsia="en-US"/>
              </w:rPr>
              <w:t xml:space="preserve">, C: </w:t>
            </w:r>
            <w:r w:rsidRPr="00C81B1E">
              <w:rPr>
                <w:rFonts w:eastAsia="Calibri"/>
                <w:lang w:val="en-GB" w:eastAsia="en-US"/>
              </w:rPr>
              <w:fldChar w:fldCharType="begin" w:fldLock="1"/>
            </w:r>
            <w:r w:rsidRPr="00C81B1E">
              <w:rPr>
                <w:rFonts w:eastAsia="Calibri"/>
                <w:lang w:val="es-ES" w:eastAsia="en-US"/>
              </w:rPr>
              <w:instrText>ADDIN CSL_CITATION {"citationItems":[{"id":"ITEM-1","itemData":{"DOI":"10.1016/j.rser.2015.11.036","ISSN":"18790690","abstract":"Studies of waste-to-energy systems have applied a varying range of indicators to assess their sustainability. The sets of indicators prescribed were often based on the respective context and are therefore of varying emphasis. Through a literature review, this research aims to develop a framework of sustainability indicators that can serve as a reference for future research in waste-to-energy systems. Sustainability indicators and their underlying factors from the three pillars of sustainability were consolidated and structured under a proposed framework. As factors interlinking between the three pillars such as carbon schemes are critical for sustainability, they were identified and described within the framework. The proposed framework is extended with a lifecycle dimension to facilitate lifecycle sustainability assessments. This article presents a novel metric of sustainability (MOS). The proposed indicator framework and the MOS are applied in a case study to demonstrate their functions in sustainability assessments. The case highlighted the advantages of the MOS and the importance of considering systems from a more holistic perspective, especially in practice where sustainability issues tend to fall within and across boundaries of the economic, environmental and social lifecycles.","author":[{"dropping-particle":"","family":"Chong","given":"Yih Tng","non-dropping-particle":"","parse-names":false,"suffix":""},{"dropping-particle":"","family":"Teo","given":"Kwong Meng","non-dropping-particle":"","parse-names":false,"suffix":""},{"dropping-particle":"","family":"Tang","given":"Loon Ching","non-dropping-particle":"","parse-names":false,"suffix":""}],"container-title":"Renewable and Sustainable Energy Reviews","id":"ITEM-1","issued":{"date-parts":[["2016"]]},"page":"797-809","publisher":"Elsevier","title":"A lifecycle-based sustainability indicator framework for waste-to-energy systems and a proposed metric of sustainability","type":"article-journal","volume":"56"},"uris":["http://www.mendeley.com/documents/?uuid=ad936d33-3d49-46e6-9445-eced6da832c8"]}],"mendeley":{"formattedCitation":"(Chong et al., 2016)","manualFormatting":"Chong et al. (2016)","plainTextFormattedCitation":"(Chong et al., 2016)","previouslyFormattedCitation":"(Chong et al., 2016)"},"properties":{"noteIndex":0},"schema":"https://github.com/citation-style-language/schema/raw/master/csl-citation.json"}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s-ES" w:eastAsia="en-US"/>
              </w:rPr>
              <w:t xml:space="preserve">Chong et al. </w:t>
            </w:r>
            <w:r w:rsidRPr="00C81B1E">
              <w:rPr>
                <w:rFonts w:eastAsia="Calibri"/>
                <w:noProof/>
                <w:lang w:val="en-GB" w:eastAsia="en-US"/>
              </w:rPr>
              <w:t>(2016)</w:t>
            </w:r>
            <w:r w:rsidRPr="00C81B1E">
              <w:rPr>
                <w:rFonts w:eastAsia="Calibri"/>
                <w:lang w:val="en-GB" w:eastAsia="en-US"/>
              </w:rPr>
              <w:fldChar w:fldCharType="end"/>
            </w:r>
            <w:r w:rsidRPr="00C81B1E">
              <w:rPr>
                <w:rFonts w:eastAsia="Calibri"/>
                <w:lang w:val="en-GB" w:eastAsia="en-US"/>
              </w:rPr>
              <w:t xml:space="preserve">, TT: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{"citationItems":[{"id":"ITEM-1","itemData":{"DOI":"10.1016/j.rser.2015.11.036","ISSN":"18790690","abstract":"Studies of waste-to-energy systems have applied a varying range of indicators to assess their sustainability. The sets of indicators prescribed were often based on the respective context and are therefore of varying emphasis. Through a literature review, this research aims to develop a framework of sustainability indicators that can serve as a reference for future research in waste-to-energy systems. Sustainability indicators and their underlying factors from the three pillars of sustainability were consolidated and structured under a proposed framework. As factors interlinking between the three pillars such as carbon schemes are critical for sustainability, they were identified and described within the framework. The proposed framework is extended with a lifecycle dimension to facilitate lifecycle sustainability assessments. This article presents a novel metric of sustainability (MOS). The proposed indicator framework and the MOS are applied in a case study to demonstrate their functions in sustainability assessments. The case highlighted the advantages of the MOS and the importance of considering systems from a more holistic perspective, especially in practice where sustainability issues tend to fall within and across boundaries of the economic, environmental and social lifecycles.","author":[{"dropping-particle":"","family":"Chong","given":"Yih Tng","non-dropping-particle":"","parse-names":false,"suffix":""},{"dropping-particle":"","family":"Teo","given":"Kwong Meng","non-dropping-particle":"","parse-names":false,"suffix":""},{"dropping-particle":"","family":"Tang","given":"Loon Ching","non-dropping-particle":"","parse-names":false,"suffix":""}],"container-title":"Renewable and Sustainable Energy Reviews","id":"ITEM-1","issued":{"date-parts":[["2016"]]},"page":"797-809","publisher":"Elsevier","title":"A lifecycle-based sustainability indicator framework for waste-to-energy systems and a proposed metric of sustainability","type":"article-journal","volume":"56"},"uris":["http://www.mendeley.com/documents/?uuid=ad936d33-3d49-46e6-9445-eced6da832c8"]}],"mendeley":{"formattedCitation":"(Chong et al., 2016)","manualFormatting":"Chong et al. (2016)","plainTextFormattedCitation":"(Chong et al., 2016)","previouslyFormattedCitation":"(Chong et al., 2016)"},"properties":{"noteIndex":0},"schema":"https://github.com/citation-style-language/schema/raw/master/csl-citation.json"}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Chong et al. (2016)</w:t>
            </w:r>
            <w:r w:rsidRPr="00C81B1E">
              <w:rPr>
                <w:rFonts w:eastAsia="Calibri"/>
                <w:lang w:val="en-GB" w:eastAsia="en-US"/>
              </w:rPr>
              <w:fldChar w:fldCharType="end"/>
            </w:r>
          </w:p>
        </w:tc>
      </w:tr>
      <w:tr w:rsidR="00C81B1E" w:rsidRPr="00C81B1E" w14:paraId="2C03D852" w14:textId="77777777" w:rsidTr="00C81B1E">
        <w:trPr>
          <w:trHeight w:val="255"/>
        </w:trPr>
        <w:tc>
          <w:tcPr>
            <w:tcW w:w="1266" w:type="dxa"/>
            <w:shd w:val="clear" w:color="auto" w:fill="auto"/>
            <w:noWrap/>
            <w:vAlign w:val="center"/>
            <w:hideMark/>
          </w:tcPr>
          <w:p w14:paraId="282F3BB5"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Job creation</w:t>
            </w:r>
          </w:p>
        </w:tc>
        <w:tc>
          <w:tcPr>
            <w:tcW w:w="1812" w:type="dxa"/>
            <w:shd w:val="clear" w:color="auto" w:fill="auto"/>
            <w:noWrap/>
            <w:vAlign w:val="center"/>
            <w:hideMark/>
          </w:tcPr>
          <w:p w14:paraId="37125197" w14:textId="77777777" w:rsidR="00C7764C" w:rsidRPr="00C81B1E" w:rsidRDefault="00C7764C" w:rsidP="00C81B1E">
            <w:pPr>
              <w:pStyle w:val="MDPI42tablebody"/>
              <w:rPr>
                <w:rFonts w:eastAsia="Calibri"/>
                <w:lang w:val="en-GB" w:eastAsia="en-US"/>
              </w:rPr>
            </w:pPr>
            <w:r w:rsidRPr="00C81B1E">
              <w:rPr>
                <w:rFonts w:eastAsia="Calibri"/>
                <w:lang w:val="en-GB" w:eastAsia="en-US"/>
              </w:rPr>
              <w:t>Yes (number of people benefitted / tonne) / No</w:t>
            </w:r>
          </w:p>
        </w:tc>
        <w:tc>
          <w:tcPr>
            <w:tcW w:w="881" w:type="dxa"/>
            <w:shd w:val="clear" w:color="auto" w:fill="auto"/>
            <w:noWrap/>
            <w:vAlign w:val="center"/>
            <w:hideMark/>
          </w:tcPr>
          <w:p w14:paraId="54D0E898" w14:textId="77777777" w:rsidR="00C7764C" w:rsidRPr="00C81B1E" w:rsidRDefault="00C7764C" w:rsidP="00C81B1E">
            <w:pPr>
              <w:pStyle w:val="MDPI42tablebody"/>
              <w:rPr>
                <w:rFonts w:eastAsia="Calibri"/>
                <w:lang w:val="en-GB" w:eastAsia="en-US"/>
              </w:rPr>
            </w:pPr>
            <w:r w:rsidRPr="00C81B1E">
              <w:rPr>
                <w:rFonts w:eastAsia="Calibri"/>
                <w:lang w:val="en-GB" w:eastAsia="en-US"/>
              </w:rPr>
              <w:t>R, AF, AD, C, TT</w:t>
            </w:r>
          </w:p>
        </w:tc>
        <w:tc>
          <w:tcPr>
            <w:tcW w:w="5113" w:type="dxa"/>
            <w:shd w:val="clear" w:color="auto" w:fill="auto"/>
            <w:noWrap/>
            <w:vAlign w:val="center"/>
            <w:hideMark/>
          </w:tcPr>
          <w:p w14:paraId="6D77E7C8" w14:textId="77777777" w:rsidR="00C7764C" w:rsidRPr="00C81B1E" w:rsidRDefault="00C7764C" w:rsidP="00C81B1E">
            <w:pPr>
              <w:pStyle w:val="MDPI42tablebody"/>
              <w:rPr>
                <w:rFonts w:eastAsia="Calibri"/>
                <w:lang w:val="en-GB" w:eastAsia="en-US"/>
              </w:rPr>
            </w:pPr>
            <w:r w:rsidRPr="00C81B1E">
              <w:rPr>
                <w:rFonts w:eastAsia="Calibri"/>
                <w:lang w:val="es-ES" w:eastAsia="en-US"/>
              </w:rPr>
              <w:t xml:space="preserve">R: </w:t>
            </w:r>
            <w:r w:rsidRPr="00C81B1E">
              <w:rPr>
                <w:rFonts w:eastAsia="Calibri"/>
                <w:lang w:val="en-GB" w:eastAsia="en-US"/>
              </w:rPr>
              <w:fldChar w:fldCharType="begin" w:fldLock="1"/>
            </w:r>
            <w:r w:rsidRPr="00C81B1E">
              <w:rPr>
                <w:rFonts w:eastAsia="Calibri"/>
                <w:lang w:val="es-ES" w:eastAsia="en-US"/>
              </w:rPr>
              <w:instrText>ADDIN CSL_CITATION {"citationItems":[{"id":"ITEM-1","itemData":{"author":[{"dropping-particle":"","family":"Buksti","given":"Michael","non-dropping-particle":"","parse-names":false,"suffix":""},{"dropping-particle":"","family":"Fremming","given":"Thomas","non-dropping-particle":"","parse-names":false,"suffix":""},{"dropping-particle":"","family":"Juul","given":"Selina","non-dropping-particle":"","parse-names":false,"suffix":""},{"dropping-particle":"","family":"Grandjean","given":"Frans","non-dropping-particle":"","parse-names":false,"suffix":""},{"dropping-particle":"","family":"Christensen","given":"Sidsel","non-dropping-particle":"","parse-names":false,"suffix":""}],"id":"ITEM-1","issue":"September","issued":{"date-parts":[["2015"]]},"publisher-place":"Wageningen (The Netherlands)","title":"Surplus Food Redistribution System. Feasibility Final Report","type":"report"},"uris":["http://www.mendeley.com/documents/?uuid=6de6977d-c718-40fd-8a88-07e0ef57fd70"]}],"mendeley":{"formattedCitation":"(Buksti et al., 2015)","manualFormatting":"Buksti et al. (2015)","plainTextFormattedCitation":"(Buksti et al., 2015)","previouslyFormattedCitation":"(Buksti et al., 2015)"},"properties":{"noteIndex":0},"schema":"https://github.com/citation-style-language/schema/raw/master/csl-citation.json"}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s-ES" w:eastAsia="en-US"/>
              </w:rPr>
              <w:t>Buksti et al. (2015)</w:t>
            </w:r>
            <w:r w:rsidRPr="00C81B1E">
              <w:rPr>
                <w:rFonts w:eastAsia="Calibri"/>
                <w:lang w:val="en-GB" w:eastAsia="en-US"/>
              </w:rPr>
              <w:fldChar w:fldCharType="end"/>
            </w:r>
            <w:r w:rsidRPr="00C81B1E">
              <w:rPr>
                <w:rFonts w:eastAsia="Calibri"/>
                <w:lang w:val="es-ES" w:eastAsia="en-US"/>
              </w:rPr>
              <w:t xml:space="preserve">, AF: </w:t>
            </w:r>
            <w:r w:rsidRPr="00C81B1E">
              <w:rPr>
                <w:rFonts w:eastAsia="Calibri"/>
                <w:lang w:val="en-GB" w:eastAsia="en-US"/>
              </w:rPr>
              <w:fldChar w:fldCharType="begin" w:fldLock="1"/>
            </w:r>
            <w:r w:rsidRPr="00C81B1E">
              <w:rPr>
                <w:rFonts w:eastAsia="Calibri"/>
                <w:lang w:val="es-ES" w:eastAsia="en-US"/>
              </w:rPr>
              <w:instrText>ADDIN CSL_CITATION {"citationItems":[{"id":"ITEM-1","itemData":{"abstract":"This annual publication provides an overview of agriculture in the UK. It contains an extensive range of data including farm incomes, land use, livestock numbers, prices, production of key commodities (eg wheat, milk, vegetables), overseas trade, organic farming and the environment. The information is used widely by government, industry, researchers and other stakeholders to support policy monitoring and development.","author":[{"dropping-particle":"","family":"Defra","given":"","non-dropping-particle":"","parse-names":false,"suffix":""},{"dropping-particle":"","family":"Department of Agriculture Environment and Rural Affairs (Northern Ireland)","given":"","non-dropping-particle":"","parse-names":false,"suffix":""},{"dropping-particle":"","family":"Welsh Assembly Government","given":"","non-dropping-particle":"","parse-names":false,"suffix":""},{"dropping-particle":"","family":"The Scottish Government","given":"","non-dropping-particle":"","parse-names":false,"suffix":""}],"id":"ITEM-1","issued":{"date-parts":[["2016"]]},"title":"Agriculture in the United Kingdom 2015","type":"article-journal"},"uris":["http://www.mendeley.com/documents/?uuid=a475f5a0-fa4a-4eac-8ab4-368c31fa1bba"]}],"mendeley":{"formattedCitation":"(Defra et al., 2016)","manualFormatting":"Defra et al. (2016)","plainTextFormattedCitation":"(Defra et al., 2016)","previouslyFormattedCitation":"(Defra et al., 2016)"},"properties":{"noteIndex":0},"schema":"https://github.com/citation-style-language/schema/raw/master/csl-citation.json"}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s-ES" w:eastAsia="en-US"/>
              </w:rPr>
              <w:t xml:space="preserve">Defra et al. </w:t>
            </w:r>
            <w:r w:rsidRPr="00C81B1E">
              <w:rPr>
                <w:rFonts w:eastAsia="Calibri"/>
                <w:noProof/>
                <w:lang w:val="en-GB" w:eastAsia="en-US"/>
              </w:rPr>
              <w:t>(2016)</w:t>
            </w:r>
            <w:r w:rsidRPr="00C81B1E">
              <w:rPr>
                <w:rFonts w:eastAsia="Calibri"/>
                <w:lang w:val="en-GB" w:eastAsia="en-US"/>
              </w:rPr>
              <w:fldChar w:fldCharType="end"/>
            </w:r>
            <w:r w:rsidRPr="00C81B1E">
              <w:rPr>
                <w:rFonts w:eastAsia="Calibri"/>
                <w:lang w:val="en-GB" w:eastAsia="en-US"/>
              </w:rPr>
              <w:t xml:space="preserve">, AD: </w:t>
            </w:r>
            <w:r w:rsidRPr="00C81B1E">
              <w:rPr>
                <w:rFonts w:eastAsia="Calibri"/>
                <w:lang w:val="en-GB" w:eastAsia="en-US"/>
              </w:rPr>
              <w:fldChar w:fldCharType="begin" w:fldLock="1"/>
            </w:r>
            <w:r w:rsidRPr="00C81B1E">
              <w:rPr>
                <w:rFonts w:eastAsia="Calibri"/>
                <w:lang w:val="en-GB" w:eastAsia="en-US"/>
              </w:rPr>
              <w:instrText>ADDIN CSL_CITATION {"citationItems":[{"id":"ITEM-1","itemData":{"ISBN":"9783906484587","abstract":"SW&amp;C-04\\nThe publication presents anaerobic digestion with biogas production as a solution to organic waste treatment. basic information about suitable feedstock, anaerobic digestion technologies, processes and plant operation as well as the utilization of biogas and effluent are described. On top of that, the publication analyses costs-and benefits, environmental as well as socio-cultural aspects of this approach and presents a number of Case Studies from Asia, Africa, and Latin America.","author":[{"dropping-particle":"","family":"Vögeli","given":"Yvonne","non-dropping-particle":"","parse-names":false,"suffix":""},{"dropping-particle":"","family":"Riu","given":"Christian","non-dropping-particle":"","parse-names":false,"suffix":""},{"dropping-particle":"","family":"Gallardo","given":"Amalia","non-dropping-particle":"","parse-names":false,"suffix":""},{"dropping-particle":"","family":"Diener","given":"Stefan","non-dropping-particle":"","parse-names":false,"suffix":""},{"dropping-particle":"","family":"Zurbrügg","given":"Christian","non-dropping-particle":"","parse-names":false,"suffix":""}],"id":"ITEM-1","issued":{"date-parts":[["2014"]]},"publisher":"Swiss Federal Institute of Aquatic Science and Technology (Eawag)","publisher-place":"Dübendorf (Switzerland)","title":"Anaerobic digestion of biowaste in developing countries. Practical information and case studies","type":"book"},"uris":["http://www.mendeley.com/documents/?uuid=34e3c271-c743-45ba-b136-467fc88d9b90"]}],"mendeley":{"formattedCitation":"(Vögeli et al., 2014)","manualFormatting":"Vögeli et al. (2014)","plainTextFormattedCitation":"(Vögeli et al., 2014)","previouslyFormattedCitation":"(Vögeli et al., 2014)"},"properties":{"noteIndex":0},"schema":"https://github.com/citation-style-language/schema/raw/master/csl-citation.json"}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Vögeli et al. (2014)</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{"citationItems":[{"id":"ITEM-1","itemData":{"ISBN":"9783906484365","abstract":"Urban solid waste management is considered to be one of the most immediate and serious environmental problems confronting urban governments in developing countries. The severity of this challenge will increase in the future given the trends of rapid urbanisation and growth in urban population. Inadequate collection and disposal of waste poses a serious health risk to the population and is an obvious cause of environmental degradation in most cities of the developing world. With growing public pressure and environmental legislation, the waste experts are being called upon to develop more sustainable methods of dealing with municipal waste. One step in improving the current solid waste situation is enhancing resource recovering activities. Recycling inorganic materials from municipal solid waste is often well developed by the activities of the informal sector. Reuse of organic waste material however, often contributing to more than 50% of the total waste amount, is still fairly limited but has interesting recovery potential. Coupled with approaches to reduce reliance on landfill as a disposal route, biological treatment is increasingly becoming adopted as a standard requirement for the vast majority of biodegradable wastes. This book deals with such urban organic municipal wastes from households, commercial activities, institutions, as well as gardens and parks. It describes approaches and methods of composting on neighbourhood level in small -and middle- scale plants. It considers issues of primary waste collection, composting methods, management systems, occupational health, product quality, marketing and end - user demands.","author":[{"dropping-particle":"","family":"Rothenberger","given":"Silke","non-dropping-particle":"","parse-names":false,"suffix":""},{"dropping-particle":"","family":"Zurbrügg","given":"Christian","non-dropping-particle":"","parse-names":false,"suffix":""},{"dropping-particle":"","family":"Enayetullah","given":"Iftekhar","non-dropping-particle":"","parse-names":false,"suffix":""},{"dropping-particle":"","family":"Sinha","given":"a H Md Maqsood","non-dropping-particle":"","parse-names":false,"suffix":""}],"id":"ITEM-1","issued":{"date-parts":[["2006"]]},"publisher":"Waste Concern","title":"Decentralised Composting for Cities of Low- and Middle- Income Countries","type":"report"},"uris":["http://www.mendeley.com/documents/?uuid=b68f49db-b881-457a-828c-c06442c121a9"]}],"mendeley":{"formattedCitation":"(Rothenberger et al., 2006)","manualFormatting":"Rothenberger et al. (2006)","plainTextFormattedCitation":"(Rothenberger et al., 2006)","previouslyFormattedCitation":"(Rothenberger et al., 2006)"},"properties":{"noteIndex":0},"schema":"https://github.com/citation-style-language/schema/raw/master/csl-citation.json"}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Rothenberger et al. (2006)</w:t>
            </w:r>
            <w:r w:rsidRPr="00C81B1E">
              <w:rPr>
                <w:rFonts w:eastAsia="Calibri"/>
                <w:lang w:val="en-GB" w:eastAsia="en-US"/>
              </w:rPr>
              <w:fldChar w:fldCharType="end"/>
            </w:r>
            <w:r w:rsidRPr="00C81B1E">
              <w:rPr>
                <w:rFonts w:eastAsia="Calibri"/>
                <w:lang w:val="en-GB" w:eastAsia="en-US"/>
              </w:rPr>
              <w:t xml:space="preserve">, TT: </w:t>
            </w:r>
            <w:r w:rsidRPr="00C81B1E">
              <w:rPr>
                <w:rFonts w:eastAsia="Calibri"/>
                <w:lang w:val="en-GB" w:eastAsia="en-US"/>
              </w:rPr>
              <w:fldChar w:fldCharType="begin" w:fldLock="1"/>
            </w:r>
            <w:r w:rsidRPr="00C81B1E">
              <w:rPr>
                <w:rFonts w:eastAsia="Calibri"/>
                <w:lang w:val="en-GB" w:eastAsia="en-US"/>
              </w:rPr>
              <w:instrText>ADDIN CSL_CITATION {"citationItems":[{"id":"ITEM-1","itemData":{"abstract":"As the UK and the rest of Europe attempt to recover from the global financial crisis and the consequent recession, we are entering a period in which Governments are urgently seeking solutions to curtail the size of the public sector, whilst encouraging innovation and enterprise by a hesitant private sector. At the same time, despite the failure of Copenhagen, the imperative of climate change and the need to advance to a low carbon economy remains undimmed and urgent. Our view is that these challenges can be met together. We have an opportunity to create valuable and sustainable ‘green jobs’ and this is even more important in the present economic situation. At a time when overall government spending on the environment is set to fall, the recycling and reuse sector can make a major contribution to the green economy. In this report, we have identified the contribution of the recycling sector and its supply chain over the last decade and tracked the growth of employment in this sector as recycling rates and tonnages have increased. We have examined previous studies from the UK, EU and United States to establish trends and identify inconsistencies. There are limitations both on the quality and quantity of data on employment and waste generation both in the UK and EU. However, we have used the best available data and a transparent and defensible methodology to estimate the potential employment creation contribution the resource management industry could deliver if much higher targets for recycling and reuse were implemented. This has taken account of potential incremental direct employment, indirect, and induced employment but has not quantified displaced jobs in sectors less in demand in the new low carbon economy, such as landfill. On a European level, if a target of 70% for recycling of key materials was met, conservative estimates suggest that across the EU27 up to 322,000 direct jobs could be created in recycling an additional 115 million tonnes of glass, paper, plastic, ferrous and non ferrous metals, wood, textiles and biowaste. These jobs would have knock on effects in down and upstream sectors and the wider economy and could create 160,900 new indirect jobs and 80,400 induced jobs. The total potential is therefore for more than 563,000 net new jobs. For the United Kingdom, if an ambitious but achievable recycling target of 70% for municipal waste was set and achieved by 2025, then conservative estimates suggest that across the UK this could create 29…","author":[{"dropping-particle":"","family":"Friends of the Earth","given":"","non-dropping-particle":"","parse-names":false,"suffix":""}],"id":"ITEM-1","issue":"September","issued":{"date-parts":[["2010"]]},"title":"More jobs, less waste: Potential for job creation through higher rates of recycling in the UK and EU","type":"article-journal"},"uris":["http://www.mendeley.com/documents/?uuid=d2fb6c37-7644-4ffa-941b-4a809ff88ff0"]}],"mendeley":{"formattedCitation":"(Friends of the Earth, 2010)","manualFormatting":"Friends of the Earth (2010)","plainTextFormattedCitation":"(Friends of the Earth, 2010)","previouslyFormattedCitation":"(Friends of the Earth, 2010)"},"properties":{"noteIndex":0},"schema":"https://github.com/citation-style-language/schema/raw/master/csl-citation.json"}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Friends of the Earth (2010)</w:t>
            </w:r>
            <w:r w:rsidRPr="00C81B1E">
              <w:rPr>
                <w:rFonts w:eastAsia="Calibri"/>
                <w:lang w:val="en-GB" w:eastAsia="en-US"/>
              </w:rPr>
              <w:fldChar w:fldCharType="end"/>
            </w:r>
          </w:p>
        </w:tc>
      </w:tr>
      <w:tr w:rsidR="00C81B1E" w:rsidRPr="00C81B1E" w14:paraId="2CF00F75" w14:textId="77777777" w:rsidTr="00C81B1E">
        <w:trPr>
          <w:trHeight w:val="255"/>
        </w:trPr>
        <w:tc>
          <w:tcPr>
            <w:tcW w:w="1266" w:type="dxa"/>
            <w:tcBorders>
              <w:top w:val="single" w:sz="4" w:space="0" w:color="7F7F7F"/>
              <w:bottom w:val="single" w:sz="4" w:space="0" w:color="7F7F7F"/>
            </w:tcBorders>
            <w:shd w:val="clear" w:color="auto" w:fill="auto"/>
            <w:noWrap/>
            <w:vAlign w:val="center"/>
            <w:hideMark/>
          </w:tcPr>
          <w:p w14:paraId="2A8E9496"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Noise</w:t>
            </w:r>
          </w:p>
        </w:tc>
        <w:tc>
          <w:tcPr>
            <w:tcW w:w="1812" w:type="dxa"/>
            <w:tcBorders>
              <w:top w:val="single" w:sz="4" w:space="0" w:color="7F7F7F"/>
              <w:bottom w:val="single" w:sz="4" w:space="0" w:color="7F7F7F"/>
            </w:tcBorders>
            <w:shd w:val="clear" w:color="auto" w:fill="auto"/>
            <w:noWrap/>
            <w:vAlign w:val="center"/>
            <w:hideMark/>
          </w:tcPr>
          <w:p w14:paraId="3AE70D51" w14:textId="77777777" w:rsidR="00C7764C" w:rsidRPr="00C81B1E" w:rsidRDefault="00C7764C" w:rsidP="00C81B1E">
            <w:pPr>
              <w:pStyle w:val="MDPI42tablebody"/>
              <w:rPr>
                <w:rFonts w:eastAsia="Calibri"/>
                <w:lang w:val="en-GB" w:eastAsia="en-US"/>
              </w:rPr>
            </w:pPr>
            <w:r w:rsidRPr="00C81B1E">
              <w:rPr>
                <w:rFonts w:eastAsia="Calibri"/>
                <w:lang w:val="en-GB" w:eastAsia="en-US"/>
              </w:rPr>
              <w:t>dB</w:t>
            </w:r>
          </w:p>
        </w:tc>
        <w:tc>
          <w:tcPr>
            <w:tcW w:w="881" w:type="dxa"/>
            <w:tcBorders>
              <w:top w:val="single" w:sz="4" w:space="0" w:color="7F7F7F"/>
              <w:bottom w:val="single" w:sz="4" w:space="0" w:color="7F7F7F"/>
            </w:tcBorders>
            <w:shd w:val="clear" w:color="auto" w:fill="auto"/>
            <w:noWrap/>
            <w:vAlign w:val="center"/>
            <w:hideMark/>
          </w:tcPr>
          <w:p w14:paraId="4CF6B990" w14:textId="77777777" w:rsidR="00C7764C" w:rsidRPr="00C81B1E" w:rsidRDefault="00C7764C" w:rsidP="00C81B1E">
            <w:pPr>
              <w:pStyle w:val="MDPI42tablebody"/>
              <w:rPr>
                <w:rFonts w:eastAsia="Calibri"/>
                <w:lang w:val="en-GB" w:eastAsia="en-US"/>
              </w:rPr>
            </w:pPr>
            <w:r w:rsidRPr="00C81B1E">
              <w:rPr>
                <w:rFonts w:eastAsia="Calibri"/>
                <w:lang w:val="en-GB" w:eastAsia="en-US"/>
              </w:rPr>
              <w:t>T, AD, C, TT</w:t>
            </w:r>
          </w:p>
        </w:tc>
        <w:tc>
          <w:tcPr>
            <w:tcW w:w="5113" w:type="dxa"/>
            <w:tcBorders>
              <w:top w:val="single" w:sz="4" w:space="0" w:color="7F7F7F"/>
              <w:bottom w:val="single" w:sz="4" w:space="0" w:color="7F7F7F"/>
            </w:tcBorders>
            <w:shd w:val="clear" w:color="auto" w:fill="auto"/>
            <w:noWrap/>
            <w:vAlign w:val="center"/>
            <w:hideMark/>
          </w:tcPr>
          <w:p w14:paraId="30399AB0"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T: </w:t>
            </w:r>
            <w:r w:rsidRPr="00C81B1E">
              <w:rPr>
                <w:rFonts w:eastAsia="Calibri"/>
                <w:lang w:val="en-GB" w:eastAsia="en-US"/>
              </w:rPr>
              <w:fldChar w:fldCharType="begin" w:fldLock="1"/>
            </w:r>
            <w:r w:rsidRPr="00C81B1E">
              <w:rPr>
                <w:rFonts w:eastAsia="Calibri"/>
                <w:lang w:val="en-GB" w:eastAsia="en-US"/>
              </w:rPr>
              <w:instrText>ADDIN CSL_CITATION {"citationItems":[{"id":"ITEM-1","itemData":{"author":[{"dropping-particle":"","family":"Boer","given":"Eelco","non-dropping-particle":"den","parse-names":false,"suffix":""},{"dropping-particle":"","family":"Brouwer","given":"Femke","non-dropping-particle":"","parse-names":false,"suffix":""},{"dropping-particle":"","family":"Schroten","given":"Arno","non-dropping-particle":"","parse-names":false,"suffix":""},{"dropping-particle":"","family":"Essen","given":"Huib","non-dropping-particle":"van","parse-names":false,"suffix":""}],"container-title":"CE Delft","id":"ITEM-1","issue":"January","issued":{"date-parts":[["2009"]]},"publisher-place":"Delft (The Netherlands)","title":"Are trucks taking their toll? The environmental, safety and congestion impacts of lorries in the EU","type":"report"},"uris":["http://www.mendeley.com/documents/?uuid=0a2a7979-9117-494f-a663-f531463bad76"]}],"mendeley":{"formattedCitation":"(den Boer et al., 2009)","manualFormatting":"den Boer et al. (2009)","plainTextFormattedCitation":"(den Boer et al., 2009)","previouslyFormattedCitation":"(den Boer et al., 2009)"},"properties":{"noteIndex":0},"schema":"https://github.com/citation-style-language/schema/raw/master/csl-citation.json"}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den Boer et al. (2009)</w:t>
            </w:r>
            <w:r w:rsidRPr="00C81B1E">
              <w:rPr>
                <w:rFonts w:eastAsia="Calibri"/>
                <w:lang w:val="en-GB" w:eastAsia="en-US"/>
              </w:rPr>
              <w:fldChar w:fldCharType="end"/>
            </w:r>
            <w:r w:rsidRPr="00C81B1E">
              <w:rPr>
                <w:rFonts w:eastAsia="Calibri"/>
                <w:lang w:val="en-GB" w:eastAsia="en-US"/>
              </w:rPr>
              <w:t xml:space="preserve">, AD: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{"citationItems":[{"id":"ITEM-1","itemData":{"DOI":"10.1016/j.renene.2014.05.055","ISBN":"0960-1481","ISSN":"09601481","abstract":"To fully model the anaerobic digestion process, biological and physico-chemical background, the kinetics of bacterial growth, substrate degradation and product formation have to be taken into account. The presented approaches differ depending on the requirements and the developer of the model. Important parameters affecting the process such as temperature, which can cause great inaccuracy, are rarely included in the models. Simple calculators are also available that estimate the applicability of the process to a specific farm and provide information to a farmer or a decision maker. Six simple calculators are presented in this study: AD decision support software, Anaerobic Digestion Economic Assessment Tool, BEAT2, BioGC, FarmWare and GasTheo. The simpler calculators mainly use the relation that exists between volatile solids and biogas production. A tested case of 100 dairy cows and 50 sows was applied to the simple calculators to compare the results. © 2014 Elsevier Ltd.","author":[{"dropping-particle":"","family":"Kythreotou","given":"Nicoletta","non-dropping-particle":"","parse-names":false,"suffix":""},{"dropping-particle":"","family":"Florides","given":"Georgios","non-dropping-particle":"","parse-names":false,"suffix":""},{"dropping-particle":"","family":"Tassou","given":"Savvas a.","non-dropping-particle":"","parse-names":false,"suffix":""}],"container-title":"Renewable Energy","id":"ITEM-1","issued":{"date-parts":[["2014"]]},"page":"701-714","publisher":"Elsevier Ltd","title":"A review of simple to scientific models for anaerobic digestion","type":"article-journal","volume":"71"},"uris":["http://www.mendeley.com/documents/?uuid=548325b4-f36c-4060-a8a4-b5fbbfa26b72"]}],"mendeley":{"formattedCitation":"(Kythreotou et al., 2014)","manualFormatting":"Kythreotou et al. (2014)","plainTextFormattedCitation":"(Kythreotou et al., 2014)","previouslyFormattedCitation":"(Kythreotou et al., 2014)"},"properties":{"noteIndex":0},"schema":"https://github.com/citation-style-language/schema/raw/master/csl-citation.json"}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Kythreotou et al. (2014)</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{"citationItems":[{"id":"ITEM-1","itemData":{"abstract":"Composting is controlled decomposition, the natural breakdown process of organic residues. Composting transforms raw organic waste materials into biologically stable, humic substances that make excellent soil amendments. Compost is easier to handle than manure and other raw organic materials, stores well and is odor-free.","author":[{"dropping-particle":"","family":"Cooperband","given":"Leslie","non-dropping-particle":"","parse-names":false,"suffix":""}],"id":"ITEM-1","issued":{"date-parts":[["2002"]]},"title":"The art and science of composting. A resource for farmers and compost producers","type":"report"},"uris":["http://www.mendeley.com/documents/?uuid=36644cb7-2d3a-4846-831f-18a99a16be63"]}],"mendeley":{"formattedCitation":"(Cooperband, 2002)","manualFormatting":"Cooperband (2002)","plainTextFormattedCitation":"(Cooperband, 2002)","previouslyFormattedCitation":"(Cooperband, 2002)"},"properties":{"noteIndex":0},"schema":"https://github.com/citation-style-language/schema/raw/master/csl-citation.json"}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Cooperband (2002)</w:t>
            </w:r>
            <w:r w:rsidRPr="00C81B1E">
              <w:rPr>
                <w:rFonts w:eastAsia="Calibri"/>
                <w:lang w:val="en-GB" w:eastAsia="en-US"/>
              </w:rPr>
              <w:fldChar w:fldCharType="end"/>
            </w:r>
            <w:r w:rsidRPr="00C81B1E">
              <w:rPr>
                <w:rFonts w:eastAsia="Calibri"/>
                <w:lang w:val="en-GB" w:eastAsia="en-US"/>
              </w:rPr>
              <w:t xml:space="preserve">, TT: </w:t>
            </w:r>
            <w:r w:rsidRPr="00C81B1E">
              <w:rPr>
                <w:rFonts w:eastAsia="Calibri"/>
                <w:lang w:val="en-GB" w:eastAsia="en-US"/>
              </w:rPr>
              <w:fldChar w:fldCharType="begin" w:fldLock="1"/>
            </w:r>
            <w:r w:rsidRPr="00C81B1E">
              <w:rPr>
                <w:rFonts w:eastAsia="Calibri"/>
                <w:lang w:val="en-GB" w:eastAsia="en-US"/>
              </w:rPr>
              <w:instrText>ADDIN CSL_CITATION {"citationItems":[{"id":"ITEM-1","itemData":{"abstract":"This project deals with combustion installations with a rated thermal\\ninput exceeding 50 MW. Plants with a thermal input lower than 50\\nMW are, however, discussed where technically relevant because smaller\\nunits can potentially be added to a plant to build one larger installation\\nexceeding 50 MW. All kinds of conventional power plants (e.g. utility\\nboiler plants, combined heat and power plants, district heating plants)\\nused for mechanical power and heat generation are covered in this\\nwork. Industrial combustion installations are covered if they use\\nconventional fuel. The commercial availability of the fuel on the\\nmarket has been used as an indicator to identify conventional fuels.\\nThe criterion for classifying a fuel as a 'conventional fuel' is\\na known composition which remains relatively constant, and indeed\\nis usually standardised. Coal, lignite, biomass, peat, liquid and\\ngaseous fuels (including hydrogen and biogas) are regarded as conventional\\nfuels. The use of waste as a secondary fuel is also covered in this\\nwork.","author":[{"dropping-particle":"","family":"European Commission","given":"","non-dropping-particle":"","parse-names":false,"suffix":""}],"container-title":"Integrated Pollution Prevention Control","id":"ITEM-1","issue":"August","issued":{"date-parts":[["2006"]]},"title":"Reference Document on the Best Available Techniques for Waste Incineration","type":"article-journal"},"uris":["http://www.mendeley.com/documents/?uuid=cafb8d98-221f-4574-9995-e04c7a48fca0"]}],"mendeley":{"formattedCitation":"(European Commission, 2006a)","manualFormatting":"European Commission (2006c)","plainTextFormattedCitation":"(European Commission, 2006a)","previouslyFormattedCitation":"(European Commission, 2006a)"},"properties":{"noteIndex":0},"schema":"https://github.com/citation-style-language/schema/raw/master/csl-citation.json"}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European Commission (2006c)</w:t>
            </w:r>
            <w:r w:rsidRPr="00C81B1E">
              <w:rPr>
                <w:rFonts w:eastAsia="Calibri"/>
                <w:lang w:val="en-GB" w:eastAsia="en-US"/>
              </w:rPr>
              <w:fldChar w:fldCharType="end"/>
            </w:r>
          </w:p>
        </w:tc>
      </w:tr>
      <w:tr w:rsidR="00C81B1E" w:rsidRPr="00C81B1E" w14:paraId="391DD59A" w14:textId="77777777" w:rsidTr="00C81B1E">
        <w:trPr>
          <w:trHeight w:val="255"/>
        </w:trPr>
        <w:tc>
          <w:tcPr>
            <w:tcW w:w="1266" w:type="dxa"/>
            <w:shd w:val="clear" w:color="auto" w:fill="auto"/>
            <w:noWrap/>
            <w:vAlign w:val="center"/>
            <w:hideMark/>
          </w:tcPr>
          <w:p w14:paraId="108DB3DA"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NIMBY syndrome</w:t>
            </w:r>
          </w:p>
        </w:tc>
        <w:tc>
          <w:tcPr>
            <w:tcW w:w="1812" w:type="dxa"/>
            <w:shd w:val="clear" w:color="auto" w:fill="auto"/>
            <w:noWrap/>
            <w:vAlign w:val="center"/>
            <w:hideMark/>
          </w:tcPr>
          <w:p w14:paraId="27397C73" w14:textId="77777777" w:rsidR="00C7764C" w:rsidRPr="00C81B1E" w:rsidRDefault="00C7764C" w:rsidP="00C81B1E">
            <w:pPr>
              <w:pStyle w:val="MDPI42tablebody"/>
              <w:rPr>
                <w:rFonts w:eastAsia="Calibri"/>
                <w:lang w:val="en-GB" w:eastAsia="en-US"/>
              </w:rPr>
            </w:pPr>
            <w:r w:rsidRPr="00C81B1E">
              <w:rPr>
                <w:rFonts w:eastAsia="Calibri"/>
                <w:lang w:val="en-GB" w:eastAsia="en-US"/>
              </w:rPr>
              <w:t>Yes (number of people affected/tonne) / No</w:t>
            </w:r>
          </w:p>
        </w:tc>
        <w:tc>
          <w:tcPr>
            <w:tcW w:w="881" w:type="dxa"/>
            <w:shd w:val="clear" w:color="auto" w:fill="auto"/>
            <w:noWrap/>
            <w:vAlign w:val="center"/>
            <w:hideMark/>
          </w:tcPr>
          <w:p w14:paraId="636821D7" w14:textId="77777777" w:rsidR="00C7764C" w:rsidRPr="00C81B1E" w:rsidRDefault="00C7764C" w:rsidP="00C81B1E">
            <w:pPr>
              <w:pStyle w:val="MDPI42tablebody"/>
              <w:rPr>
                <w:rFonts w:eastAsia="Calibri"/>
                <w:lang w:val="en-GB" w:eastAsia="en-US"/>
              </w:rPr>
            </w:pPr>
            <w:r w:rsidRPr="00C81B1E">
              <w:rPr>
                <w:rFonts w:eastAsia="Calibri"/>
                <w:lang w:val="en-GB" w:eastAsia="en-US"/>
              </w:rPr>
              <w:t>AD, C, TT</w:t>
            </w:r>
          </w:p>
        </w:tc>
        <w:tc>
          <w:tcPr>
            <w:tcW w:w="5113" w:type="dxa"/>
            <w:shd w:val="clear" w:color="auto" w:fill="auto"/>
            <w:noWrap/>
            <w:vAlign w:val="center"/>
            <w:hideMark/>
          </w:tcPr>
          <w:p w14:paraId="2CE71BAF"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AD: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{"citationItems":[{"id":"ITEM-1","itemData":{"DOI":"10.1016/j.rser.2015.11.036","ISSN":"18790690","abstract":"Studies of waste-to-energy systems have applied a varying range of indicators to assess their sustainability. The sets of indicators prescribed were often based on the respective context and are therefore of varying emphasis. Through a literature review, this research aims to develop a framework of sustainability indicators that can serve as a reference for future research in waste-to-energy systems. Sustainability indicators and their underlying factors from the three pillars of sustainability were consolidated and structured under a proposed framework. As factors interlinking between the three pillars such as carbon schemes are critical for sustainability, they were identified and described within the framework. The proposed framework is extended with a lifecycle dimension to facilitate lifecycle sustainability assessments. This article presents a novel metric of sustainability (MOS). The proposed indicator framework and the MOS are applied in a case study to demonstrate their functions in sustainability assessments. The case highlighted the advantages of the MOS and the importance of considering systems from a more holistic perspective, especially in practice where sustainability issues tend to fall within and across boundaries of the economic, environmental and social lifecycles.","author":[{"dropping-particle":"","family":"Chong","given":"Yih Tng","non-dropping-particle":"","parse-names":false,"suffix":""},{"dropping-particle":"","family":"Teo","given":"Kwong Meng","non-dropping-particle":"","parse-names":false,"suffix":""},{"dropping-particle":"","family":"Tang","given":"Loon Ching","non-dropping-particle":"","parse-names":false,"suffix":""}],"container-title":"Renewable and Sustainable Energy Reviews","id":"ITEM-1","issued":{"date-parts":[["2016"]]},"page":"797-809","publisher":"Elsevier","title":"A lifecycle-based sustainability indicator framework for waste-to-energy systems and a proposed metric of sustainability","type":"article-journal","volume":"56"},"uris":["http://www.mendeley.com/documents/?uuid=ad936d33-3d49-46e6-9445-eced6da832c8"]}],"mendeley":{"formattedCitation":"(Chong et al., 2016)","manualFormatting":"Chong et al. (2016)","plainTextFormattedCitation":"(Chong et al., 2016)","previouslyFormattedCitation":"(Chong et al., 2016)"},"properties":{"noteIndex":0},"schema":"https://github.com/citation-style-language/schema/raw/master/csl-citation.json"}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Chong et al. (2016)</w:t>
            </w:r>
            <w:r w:rsidRPr="00C81B1E">
              <w:rPr>
                <w:rFonts w:eastAsia="Calibri"/>
                <w:lang w:val="en-GB" w:eastAsia="en-US"/>
              </w:rPr>
              <w:fldChar w:fldCharType="end"/>
            </w:r>
            <w:r w:rsidRPr="00C81B1E">
              <w:rPr>
                <w:rFonts w:eastAsia="Calibri"/>
                <w:lang w:val="en-GB" w:eastAsia="en-US"/>
              </w:rPr>
              <w:t xml:space="preserve">, C: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{"citationItems":[{"id":"ITEM-1","itemData":{"DOI":"10.1016/j.rser.2015.11.036","ISSN":"18790690","abstract":"Studies of waste-to-energy systems have applied a varying range of indicators to assess their sustainability. The sets of indicators prescribed were often based on the respective context and are therefore of varying emphasis. Through a literature review, this research aims to develop a framework of sustainability indicators that can serve as a reference for future research in waste-to-energy systems. Sustainability indicators and their underlying factors from the three pillars of sustainability were consolidated and structured under a proposed framework. As factors interlinking between the three pillars such as carbon schemes are critical for sustainability, they were identified and described within the framework. The proposed framework is extended with a lifecycle dimension to facilitate lifecycle sustainability assessments. This article presents a novel metric of sustainability (MOS). The proposed indicator framework and the MOS are applied in a case study to demonstrate their functions in sustainability assessments. The case highlighted the advantages of the MOS and the importance of considering systems from a more holistic perspective, especially in practice where sustainability issues tend to fall within and across boundaries of the economic, environmental and social lifecycles.","author":[{"dropping-particle":"","family":"Chong","given":"Yih Tng","non-dropping-particle":"","parse-names":false,"suffix":""},{"dropping-particle":"","family":"Teo","given":"Kwong Meng","non-dropping-particle":"","parse-names":false,"suffix":""},{"dropping-particle":"","family":"Tang","given":"Loon Ching","non-dropping-particle":"","parse-names":false,"suffix":""}],"container-title":"Renewable and Sustainable Energy Reviews","id":"ITEM-1","issued":{"date-parts":[["2016"]]},"page":"797-809","publisher":"Elsevier","title":"A lifecycle-based sustainability indicator framework for waste-to-energy systems and a proposed metric of sustainability","type":"article-journal","volume":"56"},"uris":["http://www.mendeley.com/documents/?uuid=ad936d33-3d49-46e6-9445-eced6da832c8"]}],"mendeley":{"formattedCitation":"(Chong et al., 2016)","manualFormatting":"Chong et al. (2016)","plainTextFormattedCitation":"(Chong et al., 2016)","previouslyFormattedCitation":"(Chong et al., 2016)"},"properties":{"noteIndex":0},"schema":"https://github.com/citation-style-language/schema/raw/master/csl-citation.json"}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Chong et al. (2016)</w:t>
            </w:r>
            <w:r w:rsidRPr="00C81B1E">
              <w:rPr>
                <w:rFonts w:eastAsia="Calibri"/>
                <w:lang w:val="en-GB" w:eastAsia="en-US"/>
              </w:rPr>
              <w:fldChar w:fldCharType="end"/>
            </w:r>
            <w:r w:rsidRPr="00C81B1E">
              <w:rPr>
                <w:rFonts w:eastAsia="Calibri"/>
                <w:lang w:val="en-GB" w:eastAsia="en-US"/>
              </w:rPr>
              <w:t xml:space="preserve">, TT: </w:t>
            </w:r>
            <w:r w:rsidRPr="00C81B1E">
              <w:rPr>
                <w:rFonts w:eastAsia="Calibri"/>
                <w:lang w:val="en-GB" w:eastAsia="en-US"/>
              </w:rPr>
              <w:fldChar w:fldCharType="begin" w:fldLock="1"/>
            </w:r>
            <w:r w:rsidRPr="00C81B1E">
              <w:rPr>
                <w:rFonts w:eastAsia="Calibri"/>
                <w:lang w:val="en-GB" w:eastAsia="en-US"/>
              </w:rPr>
              <w:instrText>ADDIN CSL_CITATION {"citationItems":[{"id":"ITEM-1","itemData":{"DOI":"10.1016/j.rser.2015.11.036","ISSN":"18790690","abstract":"Studies of waste-to-energy systems have applied a varying range of indicators to assess their sustainability. The sets of indicators prescribed were often based on the respective context and are therefore of varying emphasis. Through a literature review, this research aims to develop a framework of sustainability indicators that can serve as a reference for future research in waste-to-energy systems. Sustainability indicators and their underlying factors from the three pillars of sustainability were consolidated and structured under a proposed framework. As factors interlinking between the three pillars such as carbon schemes are critical for sustainability, they were identified and described within the framework. The proposed framework is extended with a lifecycle dimension to facilitate lifecycle sustainability assessments. This article presents a novel metric of sustainability (MOS). The proposed indicator framework and the MOS are applied in a case study to demonstrate their functions in sustainability assessments. The case highlighted the advantages of the MOS and the importance of considering systems from a more holistic perspective, especially in practice where sustainability issues tend to fall within and across boundaries of the economic, environmental and social lifecycles.","author":[{"dropping-particle":"","family":"Chong","given":"Yih Tng","non-dropping-particle":"","parse-names":false,"suffix":""},{"dropping-particle":"","family":"Teo","given":"Kwong Meng","non-dropping-particle":"","parse-names":false,"suffix":""},{"dropping-particle":"","family":"Tang","given":"Loon Ching","non-dropping-particle":"","parse-names":false,"suffix":""}],"container-title":"Renewable and Sustainable Energy Reviews","id":"ITEM-1","issued":{"date-parts":[["2016"]]},"page":"797-809","publisher":"Elsevier","title":"A lifecycle-based sustainability indicator framework for waste-to-energy systems and a proposed metric of sustainability","type":"article-journal","volume":"56"},"uris":["http://www.mendeley.com/documents/?uuid=ad936d33-3d49-46e6-9445-eced6da832c8"]}],"mendeley":{"formattedCitation":"(Chong et al., 2016)","manualFormatting":"Chong et al. (2016)","plainTextFormattedCitation":"(Chong et al., 2016)","previouslyFormattedCitation":"(Chong et al., 2016)"},"properties":{"noteIndex":0},"schema":"https://github.com/citation-style-language/schema/raw/master/csl-citation.json"}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Chong et al. (2016)</w:t>
            </w:r>
            <w:r w:rsidRPr="00C81B1E">
              <w:rPr>
                <w:rFonts w:eastAsia="Calibri"/>
                <w:lang w:val="en-GB" w:eastAsia="en-US"/>
              </w:rPr>
              <w:fldChar w:fldCharType="end"/>
            </w:r>
          </w:p>
        </w:tc>
      </w:tr>
      <w:tr w:rsidR="00C81B1E" w:rsidRPr="00C81B1E" w14:paraId="2209B823" w14:textId="77777777" w:rsidTr="00C81B1E">
        <w:trPr>
          <w:trHeight w:val="255"/>
        </w:trPr>
        <w:tc>
          <w:tcPr>
            <w:tcW w:w="1266" w:type="dxa"/>
            <w:tcBorders>
              <w:top w:val="single" w:sz="4" w:space="0" w:color="7F7F7F"/>
              <w:bottom w:val="single" w:sz="4" w:space="0" w:color="7F7F7F"/>
            </w:tcBorders>
            <w:shd w:val="clear" w:color="auto" w:fill="auto"/>
            <w:noWrap/>
            <w:vAlign w:val="center"/>
            <w:hideMark/>
          </w:tcPr>
          <w:p w14:paraId="4898444B"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Feeding people</w:t>
            </w:r>
          </w:p>
        </w:tc>
        <w:tc>
          <w:tcPr>
            <w:tcW w:w="1812" w:type="dxa"/>
            <w:tcBorders>
              <w:top w:val="single" w:sz="4" w:space="0" w:color="7F7F7F"/>
              <w:bottom w:val="single" w:sz="4" w:space="0" w:color="7F7F7F"/>
            </w:tcBorders>
            <w:shd w:val="clear" w:color="auto" w:fill="auto"/>
            <w:noWrap/>
            <w:vAlign w:val="center"/>
            <w:hideMark/>
          </w:tcPr>
          <w:p w14:paraId="1480D8CD" w14:textId="77777777" w:rsidR="00C7764C" w:rsidRPr="00C81B1E" w:rsidRDefault="00C7764C" w:rsidP="00C81B1E">
            <w:pPr>
              <w:pStyle w:val="MDPI42tablebody"/>
              <w:rPr>
                <w:rFonts w:eastAsia="Calibri"/>
                <w:lang w:val="en-GB" w:eastAsia="en-US"/>
              </w:rPr>
            </w:pPr>
            <w:r w:rsidRPr="00C81B1E">
              <w:rPr>
                <w:rFonts w:eastAsia="Calibri"/>
                <w:lang w:val="en-GB" w:eastAsia="en-US"/>
              </w:rPr>
              <w:t>Yes (number of people benefitted/tonne) / No</w:t>
            </w:r>
          </w:p>
        </w:tc>
        <w:tc>
          <w:tcPr>
            <w:tcW w:w="881" w:type="dxa"/>
            <w:tcBorders>
              <w:top w:val="single" w:sz="4" w:space="0" w:color="7F7F7F"/>
              <w:bottom w:val="single" w:sz="4" w:space="0" w:color="7F7F7F"/>
            </w:tcBorders>
            <w:shd w:val="clear" w:color="auto" w:fill="auto"/>
            <w:noWrap/>
            <w:vAlign w:val="center"/>
            <w:hideMark/>
          </w:tcPr>
          <w:p w14:paraId="2E09E500" w14:textId="77777777" w:rsidR="00C7764C" w:rsidRPr="00C81B1E" w:rsidRDefault="00C7764C" w:rsidP="00C81B1E">
            <w:pPr>
              <w:pStyle w:val="MDPI42tablebody"/>
              <w:rPr>
                <w:rFonts w:eastAsia="Calibri"/>
                <w:lang w:val="en-GB" w:eastAsia="en-US"/>
              </w:rPr>
            </w:pPr>
            <w:r w:rsidRPr="00C81B1E">
              <w:rPr>
                <w:rFonts w:eastAsia="Calibri"/>
                <w:lang w:val="en-GB" w:eastAsia="en-US"/>
              </w:rPr>
              <w:t>R</w:t>
            </w:r>
          </w:p>
        </w:tc>
        <w:tc>
          <w:tcPr>
            <w:tcW w:w="5113" w:type="dxa"/>
            <w:tcBorders>
              <w:top w:val="single" w:sz="4" w:space="0" w:color="7F7F7F"/>
              <w:bottom w:val="single" w:sz="4" w:space="0" w:color="7F7F7F"/>
            </w:tcBorders>
            <w:shd w:val="clear" w:color="auto" w:fill="auto"/>
            <w:noWrap/>
            <w:vAlign w:val="center"/>
            <w:hideMark/>
          </w:tcPr>
          <w:p w14:paraId="4CA2F123" w14:textId="77777777" w:rsidR="00C7764C" w:rsidRPr="00C81B1E" w:rsidRDefault="00C7764C" w:rsidP="00C81B1E">
            <w:pPr>
              <w:pStyle w:val="MDPI42tablebody"/>
              <w:rPr>
                <w:rFonts w:eastAsia="Calibri"/>
                <w:lang w:val="en-GB" w:eastAsia="en-US"/>
              </w:rPr>
            </w:pPr>
            <w:r w:rsidRPr="00C81B1E">
              <w:rPr>
                <w:rFonts w:eastAsia="Calibri"/>
                <w:lang w:val="en-GB" w:eastAsia="en-US"/>
              </w:rPr>
              <w:fldChar w:fldCharType="begin" w:fldLock="1"/>
            </w:r>
            <w:r w:rsidRPr="00C81B1E">
              <w:rPr>
                <w:rFonts w:eastAsia="Calibri"/>
                <w:lang w:val="en-GB" w:eastAsia="en-US"/>
              </w:rPr>
              <w:instrText>ADDIN CSL_CITATION {"citationItems":[{"id":"ITEM-1","itemData":{"author":[{"dropping-particle":"","family":"Buksti","given":"Michael","non-dropping-particle":"","parse-names":false,"suffix":""},{"dropping-particle":"","family":"Fremming","given":"Thomas","non-dropping-particle":"","parse-names":false,"suffix":""},{"dropping-particle":"","family":"Juul","given":"Selina","non-dropping-particle":"","parse-names":false,"suffix":""},{"dropping-particle":"","family":"Grandjean","given":"Frans","non-dropping-particle":"","parse-names":false,"suffix":""},{"dropping-particle":"","family":"Christensen","given":"Sidsel","non-dropping-particle":"","parse-names":false,"suffix":""}],"id":"ITEM-1","issue":"September","issued":{"date-parts":[["2015"]]},"publisher-place":"Wageningen (The Netherlands)","title":"Surplus Food Redistribution System. Feasibility Final Report","type":"report"},"uris":["http://www.mendeley.com/documents/?uuid=6de6977d-c718-40fd-8a88-07e0ef57fd70"]}],"mendeley":{"formattedCitation":"(Buksti et al., 2015)","manualFormatting":"Buksti et al. (2015)","plainTextFormattedCitation":"(Buksti et al., 2015)","previouslyFormattedCitation":"(Buksti et al., 2015)"},"properties":{"noteIndex":0},"schema":"https://github.com/citation-style-language/schema/raw/master/csl-citation.json"}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Buksti et al. (2015)</w:t>
            </w:r>
            <w:r w:rsidRPr="00C81B1E">
              <w:rPr>
                <w:rFonts w:eastAsia="Calibri"/>
                <w:lang w:val="en-GB" w:eastAsia="en-US"/>
              </w:rPr>
              <w:fldChar w:fldCharType="end"/>
            </w:r>
          </w:p>
        </w:tc>
      </w:tr>
      <w:tr w:rsidR="00C81B1E" w:rsidRPr="00C81B1E" w14:paraId="2D735244" w14:textId="77777777" w:rsidTr="00C81B1E">
        <w:trPr>
          <w:trHeight w:val="270"/>
        </w:trPr>
        <w:tc>
          <w:tcPr>
            <w:tcW w:w="1266" w:type="dxa"/>
            <w:shd w:val="clear" w:color="auto" w:fill="auto"/>
            <w:noWrap/>
            <w:vAlign w:val="center"/>
            <w:hideMark/>
          </w:tcPr>
          <w:p w14:paraId="69E9EA2F" w14:textId="77777777" w:rsidR="00C7764C" w:rsidRPr="00C81B1E" w:rsidRDefault="00C7764C" w:rsidP="00C81B1E">
            <w:pPr>
              <w:pStyle w:val="MDPI42tablebody"/>
              <w:rPr>
                <w:rFonts w:eastAsia="Calibri"/>
                <w:b/>
                <w:bCs/>
                <w:lang w:val="en-GB" w:eastAsia="en-US"/>
              </w:rPr>
            </w:pPr>
            <w:r w:rsidRPr="00C81B1E">
              <w:rPr>
                <w:rFonts w:eastAsia="Calibri"/>
                <w:b/>
                <w:bCs/>
                <w:lang w:val="en-GB" w:eastAsia="en-US"/>
              </w:rPr>
              <w:t>Traffic</w:t>
            </w:r>
          </w:p>
        </w:tc>
        <w:tc>
          <w:tcPr>
            <w:tcW w:w="1812" w:type="dxa"/>
            <w:shd w:val="clear" w:color="auto" w:fill="auto"/>
            <w:noWrap/>
            <w:vAlign w:val="center"/>
            <w:hideMark/>
          </w:tcPr>
          <w:p w14:paraId="4DC9F440" w14:textId="77777777" w:rsidR="00C7764C" w:rsidRPr="00C81B1E" w:rsidRDefault="00C7764C" w:rsidP="00C81B1E">
            <w:pPr>
              <w:pStyle w:val="MDPI42tablebody"/>
              <w:rPr>
                <w:rFonts w:eastAsia="Calibri"/>
                <w:lang w:val="en-GB" w:eastAsia="en-US"/>
              </w:rPr>
            </w:pPr>
            <w:r w:rsidRPr="00C81B1E">
              <w:rPr>
                <w:rFonts w:eastAsia="Calibri"/>
                <w:lang w:val="en-GB" w:eastAsia="en-US"/>
              </w:rPr>
              <w:t xml:space="preserve">Number of </w:t>
            </w:r>
            <w:proofErr w:type="gramStart"/>
            <w:r w:rsidRPr="00C81B1E">
              <w:rPr>
                <w:rFonts w:eastAsia="Calibri"/>
                <w:lang w:val="en-GB" w:eastAsia="en-US"/>
              </w:rPr>
              <w:t>vehicles / tonne</w:t>
            </w:r>
            <w:proofErr w:type="gramEnd"/>
            <w:r w:rsidRPr="00C81B1E">
              <w:rPr>
                <w:rFonts w:eastAsia="Calibri"/>
                <w:lang w:val="en-GB" w:eastAsia="en-US"/>
              </w:rPr>
              <w:t xml:space="preserve"> of FW</w:t>
            </w:r>
          </w:p>
        </w:tc>
        <w:tc>
          <w:tcPr>
            <w:tcW w:w="881" w:type="dxa"/>
            <w:shd w:val="clear" w:color="auto" w:fill="auto"/>
            <w:noWrap/>
            <w:vAlign w:val="center"/>
            <w:hideMark/>
          </w:tcPr>
          <w:p w14:paraId="57AC19A9" w14:textId="77777777" w:rsidR="00C7764C" w:rsidRPr="00C81B1E" w:rsidRDefault="00C7764C" w:rsidP="00C81B1E">
            <w:pPr>
              <w:pStyle w:val="MDPI42tablebody"/>
              <w:rPr>
                <w:rFonts w:eastAsia="Calibri"/>
                <w:lang w:val="en-GB" w:eastAsia="en-US"/>
              </w:rPr>
            </w:pPr>
            <w:r w:rsidRPr="00C81B1E">
              <w:rPr>
                <w:rFonts w:eastAsia="Calibri"/>
                <w:lang w:val="en-GB" w:eastAsia="en-US"/>
              </w:rPr>
              <w:t>T</w:t>
            </w:r>
          </w:p>
        </w:tc>
        <w:tc>
          <w:tcPr>
            <w:tcW w:w="5113" w:type="dxa"/>
            <w:shd w:val="clear" w:color="auto" w:fill="auto"/>
            <w:noWrap/>
            <w:vAlign w:val="center"/>
            <w:hideMark/>
          </w:tcPr>
          <w:p w14:paraId="00613D25" w14:textId="77777777" w:rsidR="00C7764C" w:rsidRPr="00C81B1E" w:rsidRDefault="00C7764C" w:rsidP="00C81B1E">
            <w:pPr>
              <w:pStyle w:val="MDPI42tablebody"/>
              <w:rPr>
                <w:rFonts w:eastAsia="Calibri"/>
                <w:lang w:val="en-GB" w:eastAsia="en-US"/>
              </w:rPr>
            </w:pPr>
            <w:r w:rsidRPr="00C81B1E">
              <w:rPr>
                <w:rFonts w:eastAsia="Calibri"/>
                <w:lang w:val="en-GB" w:eastAsia="en-US"/>
              </w:rPr>
              <w:fldChar w:fldCharType="begin" w:fldLock="1"/>
            </w:r>
            <w:r w:rsidRPr="00C81B1E">
              <w:rPr>
                <w:rFonts w:eastAsia="Calibri"/>
                <w:lang w:val="en-GB" w:eastAsia="en-US"/>
              </w:rPr>
              <w:instrText>ADDIN CSL_CITATION {"citationItems":[{"id":"ITEM-1","itemData":{"DOI":"10.1162/1088198042442306","ISBN":"10881980","ISSN":"1088-1980","abstract":"This article describes a decision support framework for the evaluation of scenarios for the integrated management of municipal solid waste within a local government area (LGA). The work is initially focused on local government (i.e., municipal councils) in the state of Queensland, Australia; however, it is broadly applicable to LGAs anywhere. The goal is to achieve sustainable waste management practices by balancing global and regional environmental impacts, social impacts at the local community level, and economic impacts. The framework integrates life-cycle assessment (LCA) with other environmental, social, and economic tools. For this study, social and economic impacts are assumed to be similar across developed countries of the world. LCA was streamlined at both the life-cycle inventory and life-cycle impact assessment stages. For this process, spatial resolution is introduced into the LCA process to account for impacts occurring at the local and regional levels. This has been done by considering social impacts on the local community and by use of a regional scaling procedure for LCA data for emissions to the environment that may have impacts at the regional level. The integration follows the structured approach of the pressure-state-response (PSR) model suggested by the Organisation for Economic Cooperation and Development (OECD). This PSR model has been extended to encompass nonenvironmental issues and to guide the process of applying multiple tools. The framework primarily focuses on decision analysis and interpretation processes. Multiattribute utility theory (MAUT) is used to assist with the integration of qualitative and quantitative information. MAUT provides a well-structured approach to information assessment and facilitates objective, transparent decisions. A commercially available decision analysis software package based on MAUT has been used as the platform for the framework developed in this study.","author":[{"dropping-particle":"","family":"Kijak","given":"Robert","non-dropping-particle":"","parse-names":false,"suffix":""},{"dropping-particle":"","family":"Moy","given":"David","non-dropping-particle":"","parse-names":false,"suffix":""}],"container-title":"Journal of Industrial Ecology","id":"ITEM-1","issue":"3","issued":{"date-parts":[["2004"]]},"page":"33-50","title":"A decision support framework for sustainable waste management","type":"article-journal","volume":"8"},"uris":["http://www.mendeley.com/documents/?uuid=bbe7be0e-f727-4ef0-b762-8f83968bb753"]}],"mendeley":{"formattedCitation":"(Kijak and Moy, 2004)","manualFormatting":"Kijak &amp; Moy (2004)","plainTextFormattedCitation":"(Kijak and Moy, 2004)","previouslyFormattedCitation":"(Kijak and Moy, 2004)"},"properties":{"noteIndex":0},"schema":"https://github.com/citation-style-language/schema/raw/master/csl-citation.json"}</w:instrText>
            </w:r>
            <w:r w:rsidRPr="00C81B1E">
              <w:rPr>
                <w:rFonts w:eastAsia="Calibri"/>
                <w:lang w:val="en-GB" w:eastAsia="en-US"/>
              </w:rPr>
              <w:fldChar w:fldCharType="separate"/>
            </w:r>
            <w:r w:rsidRPr="00C81B1E">
              <w:rPr>
                <w:rFonts w:eastAsia="Calibri"/>
                <w:noProof/>
                <w:lang w:val="en-GB" w:eastAsia="en-US"/>
              </w:rPr>
              <w:t>Kijak &amp; Moy (2004)</w:t>
            </w:r>
            <w:r w:rsidRPr="00C81B1E">
              <w:rPr>
                <w:rFonts w:eastAsia="Calibri"/>
                <w:lang w:val="en-GB" w:eastAsia="en-US"/>
              </w:rPr>
              <w:fldChar w:fldCharType="end"/>
            </w:r>
          </w:p>
        </w:tc>
      </w:tr>
    </w:tbl>
    <w:p w14:paraId="3C27B96C" w14:textId="77777777" w:rsidR="00C7764C" w:rsidRPr="00C7764C" w:rsidRDefault="00C7764C" w:rsidP="00C7764C">
      <w:pPr>
        <w:spacing w:after="160" w:line="259" w:lineRule="auto"/>
        <w:rPr>
          <w:rFonts w:eastAsia="Calibri"/>
          <w:color w:val="auto"/>
          <w:sz w:val="16"/>
          <w:szCs w:val="16"/>
          <w:lang w:val="en-GB" w:eastAsia="en-US"/>
        </w:rPr>
      </w:pPr>
    </w:p>
    <w:p w14:paraId="565037C2" w14:textId="77777777" w:rsidR="00C7764C" w:rsidRPr="00C7764C" w:rsidRDefault="00C7764C" w:rsidP="00BA2E09">
      <w:pPr>
        <w:pStyle w:val="MDPI21heading1"/>
        <w:rPr>
          <w:rFonts w:eastAsia="Calibri"/>
          <w:lang w:val="en-GB" w:eastAsia="en-US"/>
        </w:rPr>
      </w:pPr>
      <w:r w:rsidRPr="00C7764C">
        <w:rPr>
          <w:rFonts w:eastAsia="Calibri"/>
          <w:lang w:val="en-GB" w:eastAsia="en-US"/>
        </w:rPr>
        <w:t>References</w:t>
      </w:r>
    </w:p>
    <w:p w14:paraId="5E77FBEB"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color w:val="auto"/>
          <w:sz w:val="20"/>
          <w:szCs w:val="16"/>
          <w:lang w:val="en-GB" w:eastAsia="en-US"/>
        </w:rPr>
        <w:fldChar w:fldCharType="begin" w:fldLock="1"/>
      </w:r>
      <w:r w:rsidRPr="00C7764C">
        <w:rPr>
          <w:rFonts w:eastAsia="Calibri"/>
          <w:color w:val="auto"/>
          <w:sz w:val="20"/>
          <w:szCs w:val="16"/>
          <w:lang w:val="en-GB" w:eastAsia="en-US"/>
        </w:rPr>
        <w:instrText xml:space="preserve">ADDIN Mendeley Bibliography CSL_BIBLIOGRAPHY </w:instrText>
      </w:r>
      <w:r w:rsidRPr="00C7764C">
        <w:rPr>
          <w:rFonts w:eastAsia="Calibri"/>
          <w:color w:val="auto"/>
          <w:sz w:val="20"/>
          <w:szCs w:val="16"/>
          <w:lang w:val="en-GB" w:eastAsia="en-US"/>
        </w:rPr>
        <w:fldChar w:fldCharType="separate"/>
      </w:r>
      <w:r w:rsidRPr="00C7764C">
        <w:rPr>
          <w:rFonts w:eastAsia="Calibri"/>
          <w:noProof/>
          <w:color w:val="auto"/>
          <w:sz w:val="20"/>
          <w:szCs w:val="24"/>
          <w:lang w:val="en-GB" w:eastAsia="en-US"/>
        </w:rPr>
        <w:t>Abbasi, T., Abbasi, S.A., 2010. Biomass energy and the environmental impacts associated with its production and utilization. Renew. Sustain. Energy Rev. 14, 919–937. https://doi.org/10.1016/j.rser.2009.11.006.</w:t>
      </w:r>
    </w:p>
    <w:p w14:paraId="3C085C89"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Adhikari, B.K., Barrington, S., Martinez, J., King, S., 2008. Characterization of food waste and bulking agents for composting. Waste Manag. 28, 795–804. https://doi.org/10.1016/j.wasman.2007.08.018.</w:t>
      </w:r>
    </w:p>
    <w:p w14:paraId="27D2B868"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lastRenderedPageBreak/>
        <w:t>Ahmed, I.I., Gupta, A.K., 2010. Pyrolysis and gasification of food waste: Syngas characteristics and char gasification kinetics. Appl. Energy 87, 101–108. https://doi.org/10.1016/j.apenergy.2009.08.032.</w:t>
      </w:r>
    </w:p>
    <w:p w14:paraId="59F92FF1"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Amlinger, F., Peyr, S., Cuhls, C., 2008. Green house gas emissions from composting and mechanical biological treatment. Waste Manag. Res. 26, 47–60. https://doi.org/10.1177/0734242X07088432.</w:t>
      </w:r>
    </w:p>
    <w:p w14:paraId="47B1194D"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Batstone, D.J., Keller, J., Angelidaki, I., Kalyuzhnyi, S. V., Pavlostathis, S.G., Rozzi, A., Sanders, W.T., Siegrist, H., Vavilin, V. a., 2002. The IWA Anaerobic Digestion Model No 1 (ADM1). Water Sci. Technol. 45, 65–73. https://doi.org/10.2166/wst.2008.678.</w:t>
      </w:r>
    </w:p>
    <w:p w14:paraId="70247643"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Beylot, A., Vaxelaire, S., Zdanevitch, I., Auvinet, N., Villeneuve, J., 2015. Life Cycle Assessment of mechanical biological pre-treatment of Municipal Solid Waste: A case study. Waste Manag. 39, 287–294. https://doi.org/10.1016/j.wasman.2015.01.033.</w:t>
      </w:r>
    </w:p>
    <w:p w14:paraId="41D9D9A2"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Bilska, B., Wrzosek, M., Kołożyn-Krajewska, D., Krajewski, K., 2016. Risk of food losses and potential of food recovery for social purposes. Waste Manag. 52, 269–277. https://doi.org/10.1016/j.wasman.2016.03.035.</w:t>
      </w:r>
    </w:p>
    <w:p w14:paraId="5D7EE7E7"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Börjesson, P., Berglund, M., 2007. Environmental systems analysis of biogas systems-Part II: The environmental impact of replacing various reference systems. Biomass and Bioenergy 31, 326–344. https://doi.org/10.1016/j.biombioe.2007.01.004.</w:t>
      </w:r>
    </w:p>
    <w:p w14:paraId="689370C4"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Brändli, R.C., Bucheli, T.D., Kupper, T., Furrer, R., Stahel, W.A., Stadelmann, F.X., Tarradellas, J., 2007. Organic pollutants in compost and digestate. Part 1. Polychlorinated biphenyls, polycyclic aromatic hydrocarbons and molecular markers. J. Environ. Monit. 9, 456–464. https://doi.org/10.1039/b617101j.</w:t>
      </w:r>
    </w:p>
    <w:p w14:paraId="7B5A05F6"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British Standards Institution, 2014. PAS 110:2014. Specification for whole digestate, separated liquor and separated fibre derived from the anaerobic digestion of source-segregated biodegradable materials.</w:t>
      </w:r>
      <w:r w:rsidRPr="00C7764C">
        <w:rPr>
          <w:rFonts w:ascii="Calibri" w:eastAsia="Calibri" w:hAnsi="Calibri"/>
          <w:color w:val="auto"/>
          <w:sz w:val="22"/>
          <w:szCs w:val="22"/>
          <w:lang w:val="en-GB" w:eastAsia="en-US"/>
        </w:rPr>
        <w:t xml:space="preserve"> </w:t>
      </w:r>
      <w:r w:rsidRPr="00C7764C">
        <w:rPr>
          <w:rFonts w:eastAsia="Calibri"/>
          <w:noProof/>
          <w:color w:val="auto"/>
          <w:sz w:val="20"/>
          <w:szCs w:val="24"/>
          <w:lang w:val="en-GB" w:eastAsia="en-US"/>
        </w:rPr>
        <w:t>ISBN: 978 0 580 82661 0.</w:t>
      </w:r>
    </w:p>
    <w:p w14:paraId="47A3AABF"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British Standards Institution, 2011. PAS 100:2011 Specification for Composted Materials. https://doi.org/10.1128/AEM.71.9.4951.</w:t>
      </w:r>
      <w:r w:rsidRPr="00C7764C">
        <w:rPr>
          <w:rFonts w:ascii="Calibri" w:eastAsia="Calibri" w:hAnsi="Calibri"/>
          <w:color w:val="auto"/>
          <w:sz w:val="22"/>
          <w:szCs w:val="22"/>
          <w:lang w:val="en-GB" w:eastAsia="en-US"/>
        </w:rPr>
        <w:t xml:space="preserve"> </w:t>
      </w:r>
      <w:r w:rsidRPr="00C7764C">
        <w:rPr>
          <w:rFonts w:eastAsia="Calibri"/>
          <w:noProof/>
          <w:color w:val="auto"/>
          <w:sz w:val="20"/>
          <w:szCs w:val="24"/>
          <w:lang w:val="en-GB" w:eastAsia="en-US"/>
        </w:rPr>
        <w:t>ISBN: 978 0 580 65307 0.</w:t>
      </w:r>
    </w:p>
    <w:p w14:paraId="6CDA4F4E"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Brunner, P.H., Rechberger, H., 2015. Waste to energy - key element for sustainable waste management. Waste Manag. 37, 3–12. https://doi.org/10.1016/j.wasman.2014.02.003.</w:t>
      </w:r>
    </w:p>
    <w:p w14:paraId="0E214F16"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Bujak, J., Sitarz, P., 2016. Incineration of animal by-products - The impact of selected parameters on the flux of flue gas enthalpy. Waste Manag. 50, 309–323. https://doi.org/10.1016/j.wasman.2016.02.024.</w:t>
      </w:r>
    </w:p>
    <w:p w14:paraId="2EE3BA43"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Bujak, J.W., 2015. New insights into waste management – Meat industry. Renew. Energy 83, 1174–1186. https://doi.org/10.1016/j.renene.2015.06.007.</w:t>
      </w:r>
    </w:p>
    <w:p w14:paraId="716D69D0"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Buksti, M., Fremming, T., Juul, S., Grandjean, F., Christensen, S., 2015. Surplus Food Redistribution System. Feasibility Final Report. Wageningen (The Netherlands).</w:t>
      </w:r>
      <w:r w:rsidRPr="00C7764C">
        <w:rPr>
          <w:rFonts w:ascii="Calibri" w:eastAsia="Calibri" w:hAnsi="Calibri"/>
          <w:color w:val="auto"/>
          <w:sz w:val="22"/>
          <w:szCs w:val="22"/>
          <w:lang w:val="en-GB" w:eastAsia="en-US"/>
        </w:rPr>
        <w:t xml:space="preserve"> </w:t>
      </w:r>
      <w:r w:rsidRPr="00C7764C">
        <w:rPr>
          <w:rFonts w:eastAsia="Calibri"/>
          <w:noProof/>
          <w:color w:val="auto"/>
          <w:sz w:val="20"/>
          <w:szCs w:val="24"/>
          <w:lang w:val="en-GB" w:eastAsia="en-US"/>
        </w:rPr>
        <w:t>ISBN: 123-45-6789-101-1.</w:t>
      </w:r>
    </w:p>
    <w:p w14:paraId="0D8149BA"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Buragohain, B., Mahanta, P., Moholkar, V.S., 2012. Thermodynamic Approach to Design and Optimization of Biomass Gasifier Utilizing Agro-Residues, in: Karagiannidis, A. (Ed.), Waste to Energy. Opportunities and Challenges for Developing and Transition Economies. Springer, pp. 182–183.</w:t>
      </w:r>
    </w:p>
    <w:p w14:paraId="33F60D1C"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 xml:space="preserve">Caton, P. a., Carr, M. a., Kim, S.S., Beautyman, M.J., 2010. Energy recovery from waste food by combustion or </w:t>
      </w:r>
      <w:r w:rsidRPr="00C7764C">
        <w:rPr>
          <w:rFonts w:eastAsia="Calibri"/>
          <w:noProof/>
          <w:color w:val="auto"/>
          <w:sz w:val="20"/>
          <w:szCs w:val="24"/>
          <w:lang w:val="en-GB" w:eastAsia="en-US"/>
        </w:rPr>
        <w:lastRenderedPageBreak/>
        <w:t>gasification with the potential for regenerative dehydration: A case study. Energy Convers. Manag. 51, 1157–1169. https://doi.org/10.1016/j.enconman.2009.12.025.</w:t>
      </w:r>
    </w:p>
    <w:p w14:paraId="0161A8EB"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Chang, J.I., Chen, Y.J., 2010. Effects of bulking agents on food waste composting. Bioresour. Technol. 101, 5917–5924. https://doi.org/10.1016/j.biortech.2010.02.042.</w:t>
      </w:r>
    </w:p>
    <w:p w14:paraId="1A99E643"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Chang, J.I., Hsu, T.E., 2008. Effects of compositions on food waste composting. Bioresour. Technol. 99, 8068–8074. https://doi.org/10.1016/j.biortech.2008.03.043.</w:t>
      </w:r>
    </w:p>
    <w:p w14:paraId="1D23563C"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Chang, J.I., Tsai, J.J., Wu, K.H., 2006. Thermophilic composting of food waste. Bioresour. Technol. 97, 116–122. https://doi.org/10.1016/j.biortech.2005.02.013.</w:t>
      </w:r>
    </w:p>
    <w:p w14:paraId="6FAFFC1F"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Chen, X., Romano, R.T., Zhang, R., 2010. Anaerobic digestion of food wastes for biogas production. Int. J. Agric. Biol. Eng. 3, 61–72. https://doi.org/10.3965/j.issn.1934-6344.2010.04.061-072.</w:t>
      </w:r>
    </w:p>
    <w:p w14:paraId="4D681BEC"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Cherubini, F., Bargigli, S., Ulgiati, S., 2009. Life cycle assessment (LCA) of waste management strategies: Landfilling, sorting plant and incineration. Energy 34, 2116–2123. https://doi.org/10.1016/j.energy.2008.08.023.</w:t>
      </w:r>
    </w:p>
    <w:p w14:paraId="2E04091F"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Chong, Y.T., Teo, K.M., Tang, L.C., 2016. A lifecycle-based sustainability indicator framework for waste-to-energy systems and a proposed metric of sustainability. Renew. Sustain. Energy Rev. 56, 797–809. https://doi.org/10.1016/j.rser.2015.11.036.</w:t>
      </w:r>
    </w:p>
    <w:p w14:paraId="6BDEC2AD"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Climenhaga, M.A., 2008. Anaerobic digestion of catering wastes. Faculty of Engineering, Science &amp; Mathematics, University of Southampton. PhD thesis.</w:t>
      </w:r>
    </w:p>
    <w:p w14:paraId="5BDF4D93"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Cooperband, L., 2002. The art and science of composting. A resource for farmers and compost producers.</w:t>
      </w:r>
    </w:p>
    <w:p w14:paraId="20AFDB71"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s-ES" w:eastAsia="en-US"/>
        </w:rPr>
        <w:t xml:space="preserve">Deepanraj, B., Sivasubramanian, V., Jayaraj, S., 2015. </w:t>
      </w:r>
      <w:r w:rsidRPr="00C7764C">
        <w:rPr>
          <w:rFonts w:eastAsia="Calibri"/>
          <w:noProof/>
          <w:color w:val="auto"/>
          <w:sz w:val="20"/>
          <w:szCs w:val="24"/>
          <w:lang w:val="en-GB" w:eastAsia="en-US"/>
        </w:rPr>
        <w:t>Experimental and kinetic study on anaerobic digestion of food waste: The effect of total solids and pH. J. Renew. Sustain. Energy 7, 063104. https://doi.org/10.1063/1.4935559.</w:t>
      </w:r>
    </w:p>
    <w:p w14:paraId="15824C21"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Defra, 2013. Incineration of Municipal Solid Waste.</w:t>
      </w:r>
      <w:r w:rsidRPr="00C7764C">
        <w:rPr>
          <w:rFonts w:ascii="Calibri" w:eastAsia="Calibri" w:hAnsi="Calibri"/>
          <w:color w:val="auto"/>
          <w:sz w:val="22"/>
          <w:szCs w:val="22"/>
          <w:lang w:val="en-GB" w:eastAsia="en-US"/>
        </w:rPr>
        <w:t xml:space="preserve"> </w:t>
      </w:r>
      <w:r w:rsidRPr="00C7764C">
        <w:rPr>
          <w:rFonts w:eastAsia="Calibri"/>
          <w:noProof/>
          <w:color w:val="auto"/>
          <w:sz w:val="20"/>
          <w:szCs w:val="24"/>
          <w:lang w:val="en-GB" w:eastAsia="en-US"/>
        </w:rPr>
        <w:t>[WWW Document]. URL https://www.gov.uk/government/uploads/system/uploads/attachment_data/file/221036/pb13889-incineration-municipal-waste.pdf (accessed 26.2.19)</w:t>
      </w:r>
    </w:p>
    <w:p w14:paraId="42AF4BCE"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Defra, Department of Agriculture Environment and Rural Affairs (Northern Ireland), Welsh Assembly Government, The Scottish Government, 2016. Agriculture in the United Kingdom 2015.</w:t>
      </w:r>
    </w:p>
    <w:p w14:paraId="59FBF20E"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den Boer, E., Brouwer, F., Schroten, A., van Essen, H., 2009. Are trucks taking their toll? The environmental, safety and congestion impacts of lorries in the EU, CE Delft. Delft (The Netherlands).</w:t>
      </w:r>
    </w:p>
    <w:p w14:paraId="3181E338"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 xml:space="preserve">Environmental Protection UK, n.d. Air pollution sources </w:t>
      </w:r>
      <w:bookmarkStart w:id="1" w:name="_Hlk2091106"/>
      <w:r w:rsidRPr="00C7764C">
        <w:rPr>
          <w:rFonts w:eastAsia="Calibri"/>
          <w:noProof/>
          <w:color w:val="auto"/>
          <w:sz w:val="20"/>
          <w:szCs w:val="24"/>
          <w:lang w:val="en-GB" w:eastAsia="en-US"/>
        </w:rPr>
        <w:t xml:space="preserve">[WWW Document]. URL </w:t>
      </w:r>
      <w:bookmarkEnd w:id="1"/>
      <w:r w:rsidRPr="00C7764C">
        <w:rPr>
          <w:rFonts w:eastAsia="Calibri"/>
          <w:noProof/>
          <w:color w:val="auto"/>
          <w:sz w:val="20"/>
          <w:szCs w:val="24"/>
          <w:lang w:val="en-GB" w:eastAsia="en-US"/>
        </w:rPr>
        <w:t>http://www.environmental-protection.org.uk/policy-areas/air-quality/about-air-pollution/air-pollution-sources/ (accessed 26.2.19).</w:t>
      </w:r>
    </w:p>
    <w:p w14:paraId="5EF6B6E8"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European Commission, 2006a. Reference Document on the Best Available Techniques for Waste Incineration. Integr. Pollut. Prev. Control.</w:t>
      </w:r>
    </w:p>
    <w:p w14:paraId="39D3BAC6"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European Commission, 2006b. Reference Document on Best Available Techniques for the Waste Treatments. Industries</w:t>
      </w:r>
      <w:r w:rsidRPr="00C7764C">
        <w:rPr>
          <w:rFonts w:ascii="Calibri" w:eastAsia="Calibri" w:hAnsi="Calibri"/>
          <w:color w:val="auto"/>
          <w:sz w:val="22"/>
          <w:szCs w:val="22"/>
          <w:lang w:val="en-GB" w:eastAsia="en-US"/>
        </w:rPr>
        <w:t xml:space="preserve"> </w:t>
      </w:r>
      <w:r w:rsidRPr="00C7764C">
        <w:rPr>
          <w:rFonts w:eastAsia="Calibri"/>
          <w:noProof/>
          <w:color w:val="auto"/>
          <w:sz w:val="20"/>
          <w:szCs w:val="24"/>
          <w:lang w:val="en-GB" w:eastAsia="en-US"/>
        </w:rPr>
        <w:t>Integr. Pollut. Prev. Control.</w:t>
      </w:r>
    </w:p>
    <w:p w14:paraId="0AB10544"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lastRenderedPageBreak/>
        <w:t>European Commission, 2005. Regulation (EC) No 183/2005 of the European Parliament and of the Council of 12 January 2005 laying down requirements for feed hygiene. (Text with EEA relevance). Off. J. Eur. Union L 35/1-22.</w:t>
      </w:r>
    </w:p>
    <w:p w14:paraId="4423B22F"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European Commission (EC), 2002. Directive 2002/32/EC of the European Parliament and of the Council of 7 May 2002 on undesirable substances in animal feed. Off. J. Eur. Union L140, 10–21.</w:t>
      </w:r>
    </w:p>
    <w:p w14:paraId="28777C8F"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Fisgativa, H., Tremier, A., Dabert, P., 2016. Characterizing the variability of food waste quality: A need for efficient valorisation through anaerobic digestion. Waste Manag. 50, 264–274. https://doi.org/10.1016/j.wasman.2016.01.041.</w:t>
      </w:r>
    </w:p>
    <w:p w14:paraId="0AF2385E"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Friends of the Earth, 2010. More jobs, less waste: Potential for job creation through higher rates of recycling in the UK and EU.</w:t>
      </w:r>
    </w:p>
    <w:p w14:paraId="09692D64"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Garcia-Garcia, G., Woolley, E., Rahimifard, S., Colwill, J., White, R., Needham, L., 2017. A methodology for sustainable management of food waste. Waste and Biomass Valorization 8, 2209–2227. https://doi.org/10.1007/s12649-016-9720-0.</w:t>
      </w:r>
    </w:p>
    <w:p w14:paraId="22FF147F"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Gebrezgabher, S.A., Meuwissen, M.P.M., Prins, B.A.M., Lansink, A.G.J.M.O., 2010. Economic analysis of anaerobic digestion-A case of Green power biogas plant in the Netherlands. NJAS - Wageningen J. Life Sci. 57, 109–115. https://doi.org/10.1016/j.njas.2009.07.006.</w:t>
      </w:r>
    </w:p>
    <w:p w14:paraId="2EC20456"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Gerardi, M.H., 2003. The Microbiology of Anaerobic Digesters, Vasa. John Wiley &amp; Sons, Inc., Hoboken, New Jersey, USA.</w:t>
      </w:r>
    </w:p>
    <w:p w14:paraId="642D138F"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Giuseppe, A., Mario, E., Cinzia, M., 2014. Economic benefits from food recovery at the retail stage: An application to Italian food chains. Waste Manag. 34, 1306–1316. https://doi.org/10.1016/j.wasman.2014.02.018.</w:t>
      </w:r>
    </w:p>
    <w:p w14:paraId="30543742"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Haight, M., 2005. Assessing the environmental burdens of anaerobic digestion in comparison to alternative options for managing the biodegradable fraction of municipal solid wastes. Water Sci. Technol. 52, 553–559.</w:t>
      </w:r>
    </w:p>
    <w:p w14:paraId="29D89E71"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s-ES" w:eastAsia="en-US"/>
        </w:rPr>
      </w:pPr>
      <w:r w:rsidRPr="00C7764C">
        <w:rPr>
          <w:rFonts w:eastAsia="Calibri"/>
          <w:noProof/>
          <w:color w:val="auto"/>
          <w:sz w:val="20"/>
          <w:szCs w:val="24"/>
          <w:lang w:val="en-GB" w:eastAsia="en-US"/>
        </w:rPr>
        <w:t xml:space="preserve">Herva, M., Roca, E., 2013. Ranking municipal solid waste treatment alternatives based on ecological footprint and multi-criteria analysis. </w:t>
      </w:r>
      <w:r w:rsidRPr="00C7764C">
        <w:rPr>
          <w:rFonts w:eastAsia="Calibri"/>
          <w:noProof/>
          <w:color w:val="auto"/>
          <w:sz w:val="20"/>
          <w:szCs w:val="24"/>
          <w:lang w:val="es-ES" w:eastAsia="en-US"/>
        </w:rPr>
        <w:t>Ecol. Indic. 25, 77–84. https://doi.org/10.1016/j.ecolind.2012.09.005.</w:t>
      </w:r>
    </w:p>
    <w:p w14:paraId="7643291E"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s-ES" w:eastAsia="en-US"/>
        </w:rPr>
        <w:t xml:space="preserve">Hidalgo, D., Martín-Marroquín, J.M., Nieto, P., 2016. </w:t>
      </w:r>
      <w:r w:rsidRPr="00C7764C">
        <w:rPr>
          <w:rFonts w:eastAsia="Calibri"/>
          <w:noProof/>
          <w:color w:val="auto"/>
          <w:sz w:val="20"/>
          <w:szCs w:val="24"/>
          <w:lang w:val="en-GB" w:eastAsia="en-US"/>
        </w:rPr>
        <w:t>Anaerobic co-digestion of agro-food waste mixtures in a fed-batch basis. Environ. Technol. 1–9. https://doi.org/10.1080/09593330.2016.1155654.</w:t>
      </w:r>
    </w:p>
    <w:p w14:paraId="098D5C76"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Himanen, M., Hänninen, K., 2009. Effect of commercial mineral-based additives on composting and compost quality. Waste Manag. 29, 2265–2273. https://doi.org/10.1016/j.wasman.2009.03.016.</w:t>
      </w:r>
    </w:p>
    <w:p w14:paraId="0F20D863"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s-ES" w:eastAsia="en-US"/>
        </w:rPr>
      </w:pPr>
      <w:r w:rsidRPr="00C7764C">
        <w:rPr>
          <w:rFonts w:eastAsia="Calibri"/>
          <w:noProof/>
          <w:color w:val="auto"/>
          <w:sz w:val="20"/>
          <w:szCs w:val="24"/>
          <w:lang w:val="en-GB" w:eastAsia="en-US"/>
        </w:rPr>
        <w:t xml:space="preserve">Ipek, U., Arslan, E.I., Öbek, E., Karataş, F., Erulaş, F.A., 2005. Determination of vitamin losses and degradation kinetics during composting. Process Biochem. </w:t>
      </w:r>
      <w:r w:rsidRPr="00C7764C">
        <w:rPr>
          <w:rFonts w:eastAsia="Calibri"/>
          <w:noProof/>
          <w:color w:val="auto"/>
          <w:sz w:val="20"/>
          <w:szCs w:val="24"/>
          <w:lang w:val="es-ES" w:eastAsia="en-US"/>
        </w:rPr>
        <w:t>40, 621–624. https://doi.org/10.1016/j.procbio.2004.01.050.</w:t>
      </w:r>
    </w:p>
    <w:p w14:paraId="7A1A064F"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s-ES" w:eastAsia="en-US"/>
        </w:rPr>
      </w:pPr>
      <w:r w:rsidRPr="00C7764C">
        <w:rPr>
          <w:rFonts w:eastAsia="Calibri"/>
          <w:noProof/>
          <w:color w:val="auto"/>
          <w:sz w:val="20"/>
          <w:szCs w:val="24"/>
          <w:lang w:val="es-ES" w:eastAsia="en-US"/>
        </w:rPr>
        <w:t xml:space="preserve">Khoo, H.H., Lim, T.Z., Tan, R.B.H., 2010. </w:t>
      </w:r>
      <w:r w:rsidRPr="00C7764C">
        <w:rPr>
          <w:rFonts w:eastAsia="Calibri"/>
          <w:noProof/>
          <w:color w:val="auto"/>
          <w:sz w:val="20"/>
          <w:szCs w:val="24"/>
          <w:lang w:val="en-GB" w:eastAsia="en-US"/>
        </w:rPr>
        <w:t xml:space="preserve">Food waste conversion options in Singapore: Environmental impacts based on an LCA perspective. </w:t>
      </w:r>
      <w:r w:rsidRPr="00C7764C">
        <w:rPr>
          <w:rFonts w:eastAsia="Calibri"/>
          <w:noProof/>
          <w:color w:val="auto"/>
          <w:sz w:val="20"/>
          <w:szCs w:val="24"/>
          <w:lang w:val="es-ES" w:eastAsia="en-US"/>
        </w:rPr>
        <w:t>Sci. Total Environ. 408, 1367–1373. https://doi.org/10.1016/j.scitotenv.2009.10.072.</w:t>
      </w:r>
    </w:p>
    <w:p w14:paraId="5370F551"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s-ES" w:eastAsia="en-US"/>
        </w:rPr>
        <w:lastRenderedPageBreak/>
        <w:t xml:space="preserve">Kijak, R., Moy, D., 2004. </w:t>
      </w:r>
      <w:r w:rsidRPr="00C7764C">
        <w:rPr>
          <w:rFonts w:eastAsia="Calibri"/>
          <w:noProof/>
          <w:color w:val="auto"/>
          <w:sz w:val="20"/>
          <w:szCs w:val="24"/>
          <w:lang w:val="en-GB" w:eastAsia="en-US"/>
        </w:rPr>
        <w:t>A decision support framework for sustainable waste management. J. Ind. Ecol. 8, 33–50. https://doi.org/10.1162/1088198042442306.</w:t>
      </w:r>
    </w:p>
    <w:p w14:paraId="2F7FFE91"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Kim, J., Goldsmith, P., Thomas, M.H., 2010. Economic impact and public costs of confined animal feeding operations at the parcel level of Craven County, North Carolina. Agric. Human Values 27, 29–42. https://doi.org/10.1007/s10460-009-9193-x.</w:t>
      </w:r>
    </w:p>
    <w:p w14:paraId="5C55C7DB"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Kondusamy, D., Kalamdhad, A.S., 2014. Pre-treatment and anaerobic digestion of food waste for high rate methane production – A review. J. Environ. Chem. Eng. 2, 1821–1830. https://doi.org/10.1016/j.jece.2014.07.024.</w:t>
      </w:r>
    </w:p>
    <w:p w14:paraId="61E10BD3"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Kumar, P., Hussain, A., Dubey, S.K., 2015. Methane formation from food waste by anaerobic digestion. Biomass Convers. Biorefinery 1–10. https://doi.org/10.1007/s13399-015-0186-2.</w:t>
      </w:r>
    </w:p>
    <w:p w14:paraId="118F93BE"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Kwon, S.H., Lee, D.H., 2004. Evaluation of Korean food waste composting with fed-batch operations I: Using water extractable total organic carbon contents (TOCw). Process Biochem. 39, 1183–1194. https://doi.org/10.1016/S0032-9592(03)00233-4.</w:t>
      </w:r>
    </w:p>
    <w:p w14:paraId="4C239DB0"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Kythreotou, N., Florides, G., Tassou, S. a., 2014. A review of simple to scientific models for anaerobic digestion. Renew. Energy 71, 701–714. https://doi.org/10.1016/j.renene.2014.05.055.</w:t>
      </w:r>
    </w:p>
    <w:p w14:paraId="0D655596"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Lasaridi, K.E., Stentiford, E.I., 1998. A simple respirometric technique for assessing compost stability. Water Res. 32, 3717–3723. https://doi.org/10.1016/S0043-1354(98)00143-2.</w:t>
      </w:r>
    </w:p>
    <w:p w14:paraId="03911D82"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Lee, S.-H., Choi, K.-I., Osako, M., Dong, J.-I., 2007. Evaluation of environmental burdens caused by changes of food waste management systems in Seoul, Korea. Sci. Total Environ. 387, 42–53. https://doi.org/10.1016/j.scitotenv.2007.06.037.</w:t>
      </w:r>
    </w:p>
    <w:p w14:paraId="7125B8AC"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Leung, D.Y.C., Wang, J., 2016. An overview on biogas generation from anaerobic digestion of food waste. Int. J. Green Energy 13, 119–131. https://doi.org/10.1080/15435075.2014.909355.</w:t>
      </w:r>
    </w:p>
    <w:p w14:paraId="4F2AA461"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Levén, L., Nyberg, K., Schnürer, A., 2012. Conversion of phenols during anaerobic digestion of organic solid waste - A review of important microorganisms and impact of temperature. J. Environ. Manage. 95, S99–S103. https://doi.org/10.1016/j.jenvman.2010.10.021.</w:t>
      </w:r>
    </w:p>
    <w:p w14:paraId="31F10DDB"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Lohri, C.R., Sweeney, D., Rajabu, H.M., 2015. Carbonizing urban biowaste for low-cost char production in developing countries - A review of knowledge, practices and technologies.</w:t>
      </w:r>
    </w:p>
    <w:p w14:paraId="07AD64A0"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Manfredi, S., Cristobal, J., 2016. Towards more sustainable management of European food waste: Methodological approach and numerical application. Waste Manag. Res. 34, 1–12. https://doi.org/10.1177/0734242X16652965.</w:t>
      </w:r>
    </w:p>
    <w:p w14:paraId="21FA0E57"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Mao, C., Feng, Y., Wang, X., Ren, G., 2015. Review on research achievements of biogas from anaerobic digestion. Renew. Sustain. Energy Rev. 45, 540–555. https://doi.org/10.1016/j.rser.2015.02.032.</w:t>
      </w:r>
    </w:p>
    <w:p w14:paraId="1104ECA3"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Møller, J., Boldrin, A., Christensen, T.H., 2009. Anaerobic digestion and digestate use: accounting of greenhouse gases and global warming contribution. Waste Manag. Res. 27, 813–824. https://doi.org/10.1177/0734242X09344876.</w:t>
      </w:r>
    </w:p>
    <w:p w14:paraId="04F6D234"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 xml:space="preserve">Nakasaki, K., Mimoto, H., Tran, Q.N.M., Oinuma, A., 2015. Composting of food waste subjected to </w:t>
      </w:r>
      <w:r w:rsidRPr="00C7764C">
        <w:rPr>
          <w:rFonts w:eastAsia="Calibri"/>
          <w:noProof/>
          <w:color w:val="auto"/>
          <w:sz w:val="20"/>
          <w:szCs w:val="24"/>
          <w:lang w:val="en-GB" w:eastAsia="en-US"/>
        </w:rPr>
        <w:lastRenderedPageBreak/>
        <w:t>hydrothermal pretreatment and inoculated with Paecilomyces sp. FA13. Bioresour. Technol. 180, 40–46. https://doi.org/10.1016/j.biortech.2014.12.094.</w:t>
      </w:r>
    </w:p>
    <w:p w14:paraId="0BEAD615"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s-ES" w:eastAsia="en-US"/>
        </w:rPr>
      </w:pPr>
      <w:r w:rsidRPr="00C7764C">
        <w:rPr>
          <w:rFonts w:eastAsia="Calibri"/>
          <w:noProof/>
          <w:color w:val="auto"/>
          <w:sz w:val="20"/>
          <w:szCs w:val="24"/>
          <w:lang w:val="en-GB" w:eastAsia="en-US"/>
        </w:rPr>
        <w:t xml:space="preserve">Opatokun, S.A., Strezov, V., Kan, T., 2015. Product based evaluation of pyrolysis of food waste and its digestate. </w:t>
      </w:r>
      <w:r w:rsidRPr="00C7764C">
        <w:rPr>
          <w:rFonts w:eastAsia="Calibri"/>
          <w:noProof/>
          <w:color w:val="auto"/>
          <w:sz w:val="20"/>
          <w:szCs w:val="24"/>
          <w:lang w:val="es-ES" w:eastAsia="en-US"/>
        </w:rPr>
        <w:t>Energy 92, 2–7. https://doi.org/10.1016/j.energy.2015.02.098.</w:t>
      </w:r>
    </w:p>
    <w:p w14:paraId="4B239827"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s-ES" w:eastAsia="en-US"/>
        </w:rPr>
        <w:t xml:space="preserve">Ortner, M., Drosg, B., Stoyanova, E., Bochman, G., 2013. </w:t>
      </w:r>
      <w:r w:rsidRPr="00C7764C">
        <w:rPr>
          <w:rFonts w:eastAsia="Calibri"/>
          <w:noProof/>
          <w:color w:val="auto"/>
          <w:sz w:val="20"/>
          <w:szCs w:val="24"/>
          <w:lang w:val="en-GB" w:eastAsia="en-US"/>
        </w:rPr>
        <w:t>Industrial residues for biomethane production, in: Korres, N.E., O’Kiley, P., Benzie, J.A.H., West, J.S. (Eds.), Bioenergy Production by Anaerobic Digestion. Using Agricultural Biomass and Organic Wastes. Earthscan, pp. 111–135.</w:t>
      </w:r>
    </w:p>
    <w:p w14:paraId="2F90F6AC"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Parfitt, J., Stanley, C., Thompson, L., 2016. Guidance for food and drink manufacturers and retailers on the use of food surplus as animal feed. Version 1.0.</w:t>
      </w:r>
      <w:r w:rsidRPr="00C7764C">
        <w:rPr>
          <w:rFonts w:ascii="Calibri" w:eastAsia="Calibri" w:hAnsi="Calibri"/>
          <w:color w:val="auto"/>
          <w:sz w:val="22"/>
          <w:szCs w:val="22"/>
          <w:lang w:val="en-GB" w:eastAsia="en-US"/>
        </w:rPr>
        <w:t xml:space="preserve"> </w:t>
      </w:r>
      <w:r w:rsidRPr="00C7764C">
        <w:rPr>
          <w:rFonts w:eastAsia="Calibri"/>
          <w:noProof/>
          <w:color w:val="auto"/>
          <w:sz w:val="20"/>
          <w:szCs w:val="24"/>
          <w:lang w:val="en-GB" w:eastAsia="en-US"/>
        </w:rPr>
        <w:t>Project code: CSC101-003.</w:t>
      </w:r>
    </w:p>
    <w:p w14:paraId="6753EA8A"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Peigne, J., Girardin, P., 2004. Environmental impacts of farm-scale composting practices. Water. Air. Soil Pollut. 153, 45–68. https://doi.org/10.1023/B:WATE.0000019932.04020.b6.</w:t>
      </w:r>
    </w:p>
    <w:p w14:paraId="1959A9F8"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Ramzan, N., Ashraf, A., Naveed, S., Malik, A., 2011. Simulation of hybrid biomass gasification using Aspen plus: A comparative performance analysis for food, municipal solid and poultry waste. Biomass and Bioenergy 35, 3962–3969. https://doi.org/10.1016/j.biombioe.2011.06.005.</w:t>
      </w:r>
    </w:p>
    <w:p w14:paraId="1FDA4FE9"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s-ES" w:eastAsia="en-US"/>
        </w:rPr>
      </w:pPr>
      <w:r w:rsidRPr="00C7764C">
        <w:rPr>
          <w:rFonts w:eastAsia="Calibri"/>
          <w:noProof/>
          <w:color w:val="auto"/>
          <w:sz w:val="20"/>
          <w:szCs w:val="24"/>
          <w:lang w:val="en-GB" w:eastAsia="en-US"/>
        </w:rPr>
        <w:t xml:space="preserve">Rothenberger, S., Zurbrügg, C., Enayetullah, I., Sinha,  a H.M.M., 2006. Decentralised Composting for Cities of Low- and Middle- Income Countries. </w:t>
      </w:r>
      <w:r w:rsidRPr="00C7764C">
        <w:rPr>
          <w:rFonts w:eastAsia="Calibri"/>
          <w:noProof/>
          <w:color w:val="auto"/>
          <w:sz w:val="20"/>
          <w:szCs w:val="24"/>
          <w:lang w:val="es-ES" w:eastAsia="en-US"/>
        </w:rPr>
        <w:t>Waste Concern.</w:t>
      </w:r>
      <w:r w:rsidRPr="00C7764C">
        <w:rPr>
          <w:rFonts w:ascii="Calibri" w:eastAsia="Calibri" w:hAnsi="Calibri"/>
          <w:color w:val="auto"/>
          <w:sz w:val="22"/>
          <w:szCs w:val="22"/>
          <w:lang w:val="es-ES" w:eastAsia="en-US"/>
        </w:rPr>
        <w:t xml:space="preserve"> </w:t>
      </w:r>
      <w:r w:rsidRPr="00C7764C">
        <w:rPr>
          <w:rFonts w:eastAsia="Calibri"/>
          <w:noProof/>
          <w:color w:val="auto"/>
          <w:sz w:val="20"/>
          <w:szCs w:val="24"/>
          <w:lang w:val="es-ES" w:eastAsia="en-US"/>
        </w:rPr>
        <w:t>ISBN: 978 3 906484 36 5.</w:t>
      </w:r>
    </w:p>
    <w:p w14:paraId="153855B2"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s-ES" w:eastAsia="en-US"/>
        </w:rPr>
        <w:t xml:space="preserve">Ruggieri, L., Cadena, E., Martínez-Blanco, J., Gasol, C.M., Rieradevall, J., Gabarrell, X., Gea, T., Sort, X., Sánchez, A., 2009. </w:t>
      </w:r>
      <w:r w:rsidRPr="00C7764C">
        <w:rPr>
          <w:rFonts w:eastAsia="Calibri"/>
          <w:noProof/>
          <w:color w:val="auto"/>
          <w:sz w:val="20"/>
          <w:szCs w:val="24"/>
          <w:lang w:val="en-GB" w:eastAsia="en-US"/>
        </w:rPr>
        <w:t>Recovery of organic wastes in the Spanish wine industry. Technical, economic and environmental analyses of the composting process. J. Clean. Prod. 17, 830–838. https://doi.org/10.1016/j.jclepro.2008.12.005.</w:t>
      </w:r>
    </w:p>
    <w:p w14:paraId="2D3C3C0C"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San Martin, D., Ramos, S., Zufía, J., 2015. Valorisation of food waste to produce new raw materials for animal feed. Food Chem. 198, 68–74. https://doi.org/10.1016/j.foodchem.2015.11.035.</w:t>
      </w:r>
    </w:p>
    <w:p w14:paraId="7AD85C8A"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s-ES" w:eastAsia="en-US"/>
        </w:rPr>
      </w:pPr>
      <w:r w:rsidRPr="00C7764C">
        <w:rPr>
          <w:rFonts w:eastAsia="Calibri"/>
          <w:noProof/>
          <w:color w:val="auto"/>
          <w:sz w:val="20"/>
          <w:szCs w:val="24"/>
          <w:lang w:val="en-GB" w:eastAsia="en-US"/>
        </w:rPr>
        <w:t xml:space="preserve">Styles, D., Dominguez, E.M., Chadwick, D., 2016. Environmental balance of the of the UK biogas sector: An evaluation by consequential life cycle assessment. </w:t>
      </w:r>
      <w:r w:rsidRPr="00C7764C">
        <w:rPr>
          <w:rFonts w:eastAsia="Calibri"/>
          <w:noProof/>
          <w:color w:val="auto"/>
          <w:sz w:val="20"/>
          <w:szCs w:val="24"/>
          <w:lang w:val="es-ES" w:eastAsia="en-US"/>
        </w:rPr>
        <w:t>Sci. Total Environ. 560–561, 241–253. https://doi.org/10.1016/j.scitotenv.2016.03.236.</w:t>
      </w:r>
    </w:p>
    <w:p w14:paraId="59632593"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s-ES" w:eastAsia="en-US"/>
        </w:rPr>
        <w:t xml:space="preserve">Sugiura, K., Yamatani, S., Watahara, M., Onodera, T., 2009. </w:t>
      </w:r>
      <w:r w:rsidRPr="00C7764C">
        <w:rPr>
          <w:rFonts w:eastAsia="Calibri"/>
          <w:noProof/>
          <w:color w:val="auto"/>
          <w:sz w:val="20"/>
          <w:szCs w:val="24"/>
          <w:lang w:val="en-GB" w:eastAsia="en-US"/>
        </w:rPr>
        <w:t>Ecofeed, animal feed produced from recycled food waste. Vet. Ital. 45, 397–404.</w:t>
      </w:r>
    </w:p>
    <w:p w14:paraId="4BA55397"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Suler, D.J., Finstein, M.S., 1977. Effect of temperature, aeration, and moisture on CO2 formation in bench scale, continuously thermophilic composting of solid waste. Appl. Environ. Microbiol. 33, 345–350.</w:t>
      </w:r>
    </w:p>
    <w:p w14:paraId="2084A3DF"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Suwannarat, J., Ritchie, R.J., 2015. Anaerobic digestion of food waste using yeast. Waste Manag. 42, 61–66. https://doi.org/10.1016/j.wasman.2015.04.028.</w:t>
      </w:r>
    </w:p>
    <w:p w14:paraId="1B8F5797"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The Commission of the European Communities, 2006. Commission Regulation (EC) No 1881/2006 of 19 December 2006 setting maximum levels for certain contaminants in foodstuffs. Off. J. Eur. Communities L 364, 5–24.</w:t>
      </w:r>
    </w:p>
    <w:p w14:paraId="651FEA75"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The Commission of the European Communities, 2005. Commission Regulation (EC) No. 2073/2005 of 15 November 2005 on microbiological criteria for foodstuffs. Off. J. Eur. Communities L 338, 1–26.</w:t>
      </w:r>
    </w:p>
    <w:p w14:paraId="147289F6"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lastRenderedPageBreak/>
        <w:t>Vögeli, Y., Riu, C., Gallardo, A., Diener, S., Zurbrügg, C., 2014. Anaerobic digestion of biowaste in developing countries. Practical information and case studies. Swiss Federal Institute of Aquatic Science and Technology (Eawag), Dübendorf (Switzerland).</w:t>
      </w:r>
      <w:r w:rsidRPr="00C7764C">
        <w:rPr>
          <w:rFonts w:ascii="Calibri" w:eastAsia="Calibri" w:hAnsi="Calibri"/>
          <w:color w:val="auto"/>
          <w:sz w:val="22"/>
          <w:szCs w:val="22"/>
          <w:lang w:val="en-GB" w:eastAsia="en-US"/>
        </w:rPr>
        <w:t xml:space="preserve"> </w:t>
      </w:r>
      <w:r w:rsidRPr="00C7764C">
        <w:rPr>
          <w:rFonts w:eastAsia="Calibri"/>
          <w:noProof/>
          <w:color w:val="auto"/>
          <w:sz w:val="20"/>
          <w:szCs w:val="24"/>
          <w:lang w:val="en-GB" w:eastAsia="en-US"/>
        </w:rPr>
        <w:t>ISBN: 978 3 906484 58 7.</w:t>
      </w:r>
    </w:p>
    <w:p w14:paraId="092354B9"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Wada, K., Takei, N., Sato, T., Tsuno, H., 2015. Sources of organic matter in first flush runoff from urban roadways. Water Sci. Technol. 72, 1234–1242. https://doi.org/10.2166/wst.2015.307.</w:t>
      </w:r>
    </w:p>
    <w:p w14:paraId="2B75F315"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Wang, Y., Ai, P., 2016. Integrating particle physical geometry into composting degradation kinetics. Bioresour. Technol. 200, 514–520. https://doi.org/10.1016/j.biortech.2015.10.073.</w:t>
      </w:r>
    </w:p>
    <w:p w14:paraId="66FB371B"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Westendorf, M.L., 2000. Food waste to animal feed, First edition. ed. Iowa State University Press, Ames, Iowa.</w:t>
      </w:r>
    </w:p>
    <w:p w14:paraId="4E7DF5C7"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Whiting, A., Azapagic, A., 2014. Life cycle environmental impacts of generating electricity and heat from biogas produced by anaerobic digestion. Energy 70, 181–193. https://doi.org/10.1016/j.energy.2014.03.103.</w:t>
      </w:r>
    </w:p>
    <w:p w14:paraId="514AAD82"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WHO, FAO, 1995. Codex general standard for contaminants and toxins in food and feed, Codex Standard. https://doi.org/10.1007/s13398-014-0173-7.2.</w:t>
      </w:r>
    </w:p>
    <w:p w14:paraId="38EF2261"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WRAP, 2016. Digestate and compost use in agriculture. Good practice guidance for agricultural contractors. Banbury (UK).</w:t>
      </w:r>
    </w:p>
    <w:p w14:paraId="4906A806"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WRAP, n.d. Quality Protocol. Compost. End of waste criteria for the production and use of quality compost from source-segregated biodegradable waste.</w:t>
      </w:r>
    </w:p>
    <w:p w14:paraId="1F68BE48"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Wu, Y., Wang, C., Liu, X., Ma, H., Wu, J., Zuo, J., Wang, K., 2016. A new method of two-phase anaerobic digestion for fruit and vegetable waste treatment. Bioresour. Technol. 211, 16–23. https://doi.org/http://dx.doi.org/10.1016/j.biortech.2016.03.050.</w:t>
      </w:r>
    </w:p>
    <w:p w14:paraId="10588A4E"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s-ES" w:eastAsia="en-US"/>
        </w:rPr>
      </w:pPr>
      <w:r w:rsidRPr="00C7764C">
        <w:rPr>
          <w:rFonts w:eastAsia="Calibri"/>
          <w:noProof/>
          <w:color w:val="auto"/>
          <w:sz w:val="20"/>
          <w:szCs w:val="24"/>
          <w:lang w:val="en-GB" w:eastAsia="en-US"/>
        </w:rPr>
        <w:t xml:space="preserve">Xu, C., Shi, W., Hong, J., Zhang, F., Chen, W., 2015. Life cycle assessment of food waste-based biogas generation. </w:t>
      </w:r>
      <w:r w:rsidRPr="00C7764C">
        <w:rPr>
          <w:rFonts w:eastAsia="Calibri"/>
          <w:noProof/>
          <w:color w:val="auto"/>
          <w:sz w:val="20"/>
          <w:szCs w:val="24"/>
          <w:lang w:val="es-ES" w:eastAsia="en-US"/>
        </w:rPr>
        <w:t>Renew. Sustain. Energy Rev. 49, 169–177. https://doi.org/10.1016/j.rser.2015.04.164.</w:t>
      </w:r>
    </w:p>
    <w:p w14:paraId="2FBE8404"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s-ES" w:eastAsia="en-US"/>
        </w:rPr>
        <w:t xml:space="preserve">Zhang, C., Su, H., Baeyens, J., Tan, T., 2014. </w:t>
      </w:r>
      <w:r w:rsidRPr="00C7764C">
        <w:rPr>
          <w:rFonts w:eastAsia="Calibri"/>
          <w:noProof/>
          <w:color w:val="auto"/>
          <w:sz w:val="20"/>
          <w:szCs w:val="24"/>
          <w:lang w:val="en-GB" w:eastAsia="en-US"/>
        </w:rPr>
        <w:t>Reviewing the anaerobic digestion of food waste for biogas production. Renew. Sustain. Energy Rev. 38, 383–392. https://doi.org/10.1016/j.rser.2014.05.038.</w:t>
      </w:r>
    </w:p>
    <w:p w14:paraId="3ADB5157"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Zhang, C., Su, H., Wang, Z., Tan, T., Qin, P., 2015. Biogas by Semi-Continuous Anaerobic Digestion of Food Waste. Appl. Biochem. Biotechnol. 175, 3901–3914. https://doi.org/10.1007/s12010-015-1559-5.</w:t>
      </w:r>
    </w:p>
    <w:p w14:paraId="0ACC3FD0"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4"/>
          <w:lang w:val="en-GB" w:eastAsia="en-US"/>
        </w:rPr>
      </w:pPr>
      <w:r w:rsidRPr="00C7764C">
        <w:rPr>
          <w:rFonts w:eastAsia="Calibri"/>
          <w:noProof/>
          <w:color w:val="auto"/>
          <w:sz w:val="20"/>
          <w:szCs w:val="24"/>
          <w:lang w:val="en-GB" w:eastAsia="en-US"/>
        </w:rPr>
        <w:t>Zhang, R., El-Mashad, H.M., Hartman, K., Wang, F., Liu, G., Choate, C., Gamble, P., 2007. Characterization of food waste as feedstock for anaerobic digestion. Bioresour. Technol. 98, 929–935. https://doi.org/10.1016/j.biortech.2006.02.039.</w:t>
      </w:r>
    </w:p>
    <w:p w14:paraId="58B8D3CC" w14:textId="77777777" w:rsidR="00C7764C" w:rsidRPr="00C7764C" w:rsidRDefault="00C7764C" w:rsidP="00C7764C">
      <w:pPr>
        <w:widowControl w:val="0"/>
        <w:autoSpaceDE w:val="0"/>
        <w:autoSpaceDN w:val="0"/>
        <w:adjustRightInd w:val="0"/>
        <w:spacing w:after="160" w:line="240" w:lineRule="auto"/>
        <w:ind w:left="480" w:hanging="480"/>
        <w:rPr>
          <w:rFonts w:eastAsia="Calibri"/>
          <w:noProof/>
          <w:color w:val="auto"/>
          <w:sz w:val="20"/>
          <w:szCs w:val="22"/>
          <w:lang w:val="en-GB" w:eastAsia="en-US"/>
        </w:rPr>
      </w:pPr>
      <w:r w:rsidRPr="00C7764C">
        <w:rPr>
          <w:rFonts w:eastAsia="Calibri"/>
          <w:noProof/>
          <w:color w:val="auto"/>
          <w:sz w:val="20"/>
          <w:szCs w:val="24"/>
          <w:lang w:val="en-GB" w:eastAsia="en-US"/>
        </w:rPr>
        <w:t>Zhao, Y., Deng, W., 2014. Environmental impacts of different food waste resource technologies and the effects of energy mix. Resour. Conserv. Recycl. 92, 214–221. https://doi.org/10.1016/j.resconrec.2014.07.005.</w:t>
      </w:r>
    </w:p>
    <w:p w14:paraId="7250F986" w14:textId="28650596" w:rsidR="00C7764C" w:rsidRDefault="00C7764C" w:rsidP="00F4061C">
      <w:pPr>
        <w:pStyle w:val="MDPI71References"/>
        <w:numPr>
          <w:ilvl w:val="0"/>
          <w:numId w:val="0"/>
        </w:numPr>
        <w:spacing w:after="240"/>
        <w:ind w:left="425"/>
      </w:pPr>
      <w:r w:rsidRPr="00C7764C">
        <w:rPr>
          <w:rFonts w:ascii="Times New Roman" w:eastAsia="Calibri" w:hAnsi="Times New Roman"/>
          <w:snapToGrid/>
          <w:color w:val="auto"/>
          <w:sz w:val="20"/>
          <w:szCs w:val="16"/>
          <w:lang w:val="en-GB" w:eastAsia="en-US" w:bidi="ar-SA"/>
        </w:rPr>
        <w:fldChar w:fldCharType="end"/>
      </w:r>
    </w:p>
    <w:tbl>
      <w:tblPr>
        <w:tblW w:w="0" w:type="auto"/>
        <w:jc w:val="center"/>
        <w:tblLook w:val="04A0" w:firstRow="1" w:lastRow="0" w:firstColumn="1" w:lastColumn="0" w:noHBand="0" w:noVBand="1"/>
      </w:tblPr>
      <w:tblGrid>
        <w:gridCol w:w="1707"/>
        <w:gridCol w:w="7149"/>
      </w:tblGrid>
      <w:tr w:rsidR="00632077" w:rsidRPr="003E7640" w14:paraId="46E722EA" w14:textId="77777777" w:rsidTr="00C90F92">
        <w:trPr>
          <w:jc w:val="center"/>
        </w:trPr>
        <w:tc>
          <w:tcPr>
            <w:tcW w:w="0" w:type="auto"/>
            <w:shd w:val="clear" w:color="auto" w:fill="auto"/>
            <w:vAlign w:val="center"/>
          </w:tcPr>
          <w:p w14:paraId="0064A042" w14:textId="77777777" w:rsidR="00632077" w:rsidRPr="003E7640" w:rsidRDefault="000C1128" w:rsidP="00DC5535">
            <w:pPr>
              <w:pStyle w:val="MDPI71References"/>
              <w:numPr>
                <w:ilvl w:val="0"/>
                <w:numId w:val="0"/>
              </w:numPr>
              <w:ind w:left="-85"/>
              <w:rPr>
                <w:rFonts w:eastAsia="SimSun"/>
                <w:bCs/>
              </w:rPr>
            </w:pPr>
            <w:r>
              <w:rPr>
                <w:rFonts w:eastAsia="SimSun"/>
                <w:bCs/>
              </w:rPr>
              <w:pict w14:anchorId="48A82A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75pt;height:28.5pt">
                  <v:imagedata r:id="rId8" o:title="copyRight"/>
                </v:shape>
              </w:pict>
            </w:r>
          </w:p>
        </w:tc>
        <w:tc>
          <w:tcPr>
            <w:tcW w:w="7149" w:type="dxa"/>
            <w:shd w:val="clear" w:color="auto" w:fill="auto"/>
            <w:vAlign w:val="center"/>
          </w:tcPr>
          <w:p w14:paraId="2F64BE59" w14:textId="77777777" w:rsidR="00632077" w:rsidRPr="003E7640" w:rsidRDefault="00BD5735" w:rsidP="00DC5535">
            <w:pPr>
              <w:pStyle w:val="MDPI71References"/>
              <w:numPr>
                <w:ilvl w:val="0"/>
                <w:numId w:val="0"/>
              </w:numPr>
              <w:ind w:left="-85"/>
              <w:rPr>
                <w:rFonts w:eastAsia="SimSun"/>
                <w:bCs/>
              </w:rPr>
            </w:pPr>
            <w:r>
              <w:rPr>
                <w:rFonts w:eastAsia="SimSun"/>
                <w:bCs/>
              </w:rPr>
              <w:t>© 2019</w:t>
            </w:r>
            <w:r w:rsidR="00632077" w:rsidRPr="003E7640">
              <w:rPr>
                <w:rFonts w:eastAsia="SimSun"/>
                <w:bCs/>
              </w:rPr>
              <w:t xml:space="preserve"> by the authors. Submitted for possible open access publication under the terms and conditions of the Creative Commons Attribution (CC BY) license (http://creativecommons.org/licenses/by/4.0/).</w:t>
            </w:r>
          </w:p>
        </w:tc>
      </w:tr>
    </w:tbl>
    <w:p w14:paraId="2C335748" w14:textId="77777777" w:rsidR="00CD3203" w:rsidRPr="004C634A" w:rsidRDefault="00CD3203" w:rsidP="00632077">
      <w:pPr>
        <w:pStyle w:val="MDPI71References"/>
        <w:numPr>
          <w:ilvl w:val="0"/>
          <w:numId w:val="0"/>
        </w:numPr>
        <w:spacing w:after="240"/>
        <w:rPr>
          <w:rFonts w:eastAsia="SimSun"/>
        </w:rPr>
      </w:pPr>
    </w:p>
    <w:sectPr w:rsidR="00CD3203" w:rsidRPr="004C634A" w:rsidSect="00CD3203">
      <w:headerReference w:type="even" r:id="rId9"/>
      <w:headerReference w:type="default" r:id="rId10"/>
      <w:footerReference w:type="even" r:id="rId11"/>
      <w:footerReference w:type="default" r:id="rId12"/>
      <w:headerReference w:type="first" r:id="rId13"/>
      <w:footerReference w:type="first" r:id="rId14"/>
      <w:pgSz w:w="11906" w:h="16838" w:code="9"/>
      <w:pgMar w:top="1417" w:right="1531" w:bottom="1077" w:left="1531" w:header="1020" w:footer="850" w:gutter="0"/>
      <w:lnNumType w:countBy="1" w:restart="continuous"/>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707011" w14:textId="77777777" w:rsidR="00F22FDF" w:rsidRDefault="00F22FDF">
      <w:pPr>
        <w:spacing w:line="240" w:lineRule="auto"/>
      </w:pPr>
      <w:r>
        <w:separator/>
      </w:r>
    </w:p>
  </w:endnote>
  <w:endnote w:type="continuationSeparator" w:id="0">
    <w:p w14:paraId="5E95F431" w14:textId="77777777" w:rsidR="00F22FDF" w:rsidRDefault="00F22F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D19C14" w14:textId="77777777" w:rsidR="008301D9" w:rsidRDefault="008301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01ABE4" w14:textId="77777777" w:rsidR="008301D9" w:rsidRDefault="008301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9FDD89" w14:textId="77777777" w:rsidR="008301D9" w:rsidRPr="008B308E" w:rsidRDefault="008301D9" w:rsidP="00C45F1E">
    <w:pPr>
      <w:pStyle w:val="MDPIfooterfirstpage"/>
      <w:spacing w:line="240" w:lineRule="auto"/>
      <w:jc w:val="both"/>
      <w:rPr>
        <w:lang w:val="fr-CH"/>
      </w:rPr>
    </w:pPr>
    <w:r w:rsidRPr="00C30F79">
      <w:rPr>
        <w:i/>
        <w:iCs/>
        <w:szCs w:val="16"/>
      </w:rPr>
      <w:t>Sustainability</w:t>
    </w:r>
    <w:r w:rsidRPr="00C30F79">
      <w:rPr>
        <w:szCs w:val="16"/>
      </w:rPr>
      <w:t xml:space="preserve"> </w:t>
    </w:r>
    <w:r w:rsidRPr="00632077">
      <w:rPr>
        <w:b/>
        <w:bCs/>
        <w:iCs/>
        <w:szCs w:val="16"/>
      </w:rPr>
      <w:t>2019</w:t>
    </w:r>
    <w:r w:rsidRPr="00632077">
      <w:rPr>
        <w:bCs/>
        <w:iCs/>
        <w:szCs w:val="16"/>
      </w:rPr>
      <w:t xml:space="preserve">, </w:t>
    </w:r>
    <w:r w:rsidRPr="00632077">
      <w:rPr>
        <w:bCs/>
        <w:i/>
        <w:iCs/>
        <w:szCs w:val="16"/>
      </w:rPr>
      <w:t>11</w:t>
    </w:r>
    <w:r w:rsidRPr="00632077">
      <w:rPr>
        <w:bCs/>
        <w:iCs/>
        <w:szCs w:val="16"/>
      </w:rPr>
      <w:t xml:space="preserve">, </w:t>
    </w:r>
    <w:r>
      <w:rPr>
        <w:bCs/>
        <w:iCs/>
        <w:szCs w:val="16"/>
      </w:rPr>
      <w:t xml:space="preserve">x; </w:t>
    </w:r>
    <w:proofErr w:type="spellStart"/>
    <w:r>
      <w:rPr>
        <w:bCs/>
        <w:iCs/>
        <w:szCs w:val="16"/>
      </w:rPr>
      <w:t>doi</w:t>
    </w:r>
    <w:proofErr w:type="spellEnd"/>
    <w:r>
      <w:rPr>
        <w:bCs/>
        <w:iCs/>
        <w:szCs w:val="16"/>
      </w:rPr>
      <w:t>: FOR PEER REVIEW</w:t>
    </w:r>
    <w:r w:rsidRPr="008B308E">
      <w:rPr>
        <w:lang w:val="fr-CH"/>
      </w:rPr>
      <w:tab/>
      <w:t>www.mdpi.com/journal/</w:t>
    </w:r>
    <w:r w:rsidRPr="003915ED">
      <w:t>sustainability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BB622D" w14:textId="77777777" w:rsidR="00F22FDF" w:rsidRDefault="00F22FDF">
      <w:pPr>
        <w:spacing w:line="240" w:lineRule="auto"/>
      </w:pPr>
      <w:r>
        <w:separator/>
      </w:r>
    </w:p>
  </w:footnote>
  <w:footnote w:type="continuationSeparator" w:id="0">
    <w:p w14:paraId="37C34708" w14:textId="77777777" w:rsidR="00F22FDF" w:rsidRDefault="00F22F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2C8EA" w14:textId="77777777" w:rsidR="008301D9" w:rsidRDefault="008301D9" w:rsidP="00C45F1E">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5D368" w14:textId="77777777" w:rsidR="008301D9" w:rsidRPr="0050778E" w:rsidRDefault="008301D9" w:rsidP="00C90F92">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Sustainability </w:t>
    </w:r>
    <w:r w:rsidRPr="00632077">
      <w:rPr>
        <w:rFonts w:ascii="Palatino Linotype" w:hAnsi="Palatino Linotype"/>
        <w:b/>
        <w:sz w:val="16"/>
      </w:rPr>
      <w:t>2019</w:t>
    </w:r>
    <w:r w:rsidRPr="00632077">
      <w:rPr>
        <w:rFonts w:ascii="Palatino Linotype" w:hAnsi="Palatino Linotype"/>
        <w:sz w:val="16"/>
      </w:rPr>
      <w:t xml:space="preserve">, </w:t>
    </w:r>
    <w:r w:rsidRPr="00632077">
      <w:rPr>
        <w:rFonts w:ascii="Palatino Linotype" w:hAnsi="Palatino Linotype"/>
        <w:i/>
        <w:sz w:val="16"/>
      </w:rPr>
      <w:t>11</w:t>
    </w:r>
    <w:r>
      <w:rPr>
        <w:rFonts w:ascii="Palatino Linotype" w:hAnsi="Palatino Linotype"/>
        <w:sz w:val="16"/>
      </w:rPr>
      <w:t>, x FOR PEER REVIEW</w:t>
    </w: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Pr>
        <w:rFonts w:ascii="Palatino Linotype" w:hAnsi="Palatino Linotype"/>
        <w:noProof/>
        <w:sz w:val="16"/>
      </w:rPr>
      <w:t>2</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Pr>
        <w:rFonts w:ascii="Palatino Linotype" w:hAnsi="Palatino Linotype"/>
        <w:noProof/>
        <w:sz w:val="16"/>
      </w:rPr>
      <w:t>3</w:t>
    </w:r>
    <w:r>
      <w:rPr>
        <w:rFonts w:ascii="Palatino Linotype" w:hAnsi="Palatino Linotype"/>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AF0EC" w14:textId="77777777" w:rsidR="008301D9" w:rsidRDefault="00F22FDF" w:rsidP="00C45F1E">
    <w:pPr>
      <w:pStyle w:val="MDPIheaderjournallogo"/>
    </w:pPr>
    <w:r>
      <w:rPr>
        <w:i w:val="0"/>
        <w:noProof/>
        <w:szCs w:val="16"/>
        <w:lang w:eastAsia="zh-CN"/>
      </w:rPr>
      <w:pict w14:anchorId="4CF8B6AB">
        <v:shapetype id="_x0000_t202" coordsize="21600,21600" o:spt="202" path="m,l,21600r21600,l21600,xe">
          <v:stroke joinstyle="miter"/>
          <v:path gradientshapeok="t" o:connecttype="rect"/>
        </v:shapetype>
        <v:shape id="Text Box 2" o:spid="_x0000_s2049" type="#_x0000_t202" style="position:absolute;margin-left:474.8pt;margin-top:51pt;width:45.05pt;height:55.85pt;z-index:-1;visibility:visible;mso-wrap-style:none;mso-wrap-distance-top:3.6pt;mso-wrap-distance-bottom:3.6pt;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" stroked="f">
          <v:textbox inset="0,0,0,0">
            <w:txbxContent>
              <w:p w14:paraId="091F2381" w14:textId="77777777" w:rsidR="008301D9" w:rsidRDefault="00F22FDF" w:rsidP="00C45F1E">
                <w:pPr>
                  <w:pStyle w:val="MDPIheaderjournallogo"/>
                  <w:jc w:val="center"/>
                  <w:textboxTightWrap w:val="allLines"/>
                  <w:rPr>
                    <w:i w:val="0"/>
                    <w:szCs w:val="16"/>
                  </w:rPr>
                </w:pPr>
                <w:r>
                  <w:rPr>
                    <w:i w:val="0"/>
                    <w:noProof/>
                    <w:szCs w:val="16"/>
                    <w:lang w:eastAsia="zh-CN"/>
                  </w:rPr>
                  <w:pict w14:anchorId="62B30C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7" type="#_x0000_t75" style="width:42.75pt;height:27.75pt;visibility:visible">
                      <v:imagedata r:id="rId1" o:title="logo-mdpi"/>
                    </v:shape>
                  </w:pict>
                </w:r>
              </w:p>
            </w:txbxContent>
          </v:textbox>
          <w10:wrap anchorx="margin" anchory="page"/>
        </v:shape>
      </w:pict>
    </w:r>
    <w:r>
      <w:rPr>
        <w:noProof/>
        <w:lang w:eastAsia="zh-CN"/>
      </w:rPr>
      <w:pict w14:anchorId="7C84AE49">
        <v:shape id="Picture 5" o:spid="_x0000_i1028" type="#_x0000_t75" style="width:132.75pt;height:33.75pt;visibility:visible">
          <v:imagedata r:id="rId2" o:title="sustainability_logo"/>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15:restartNumberingAfterBreak="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doNotTrackMoves/>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4061C"/>
    <w:rsid w:val="000142CA"/>
    <w:rsid w:val="00051876"/>
    <w:rsid w:val="00064772"/>
    <w:rsid w:val="00071218"/>
    <w:rsid w:val="000925CA"/>
    <w:rsid w:val="00093E7F"/>
    <w:rsid w:val="000C1128"/>
    <w:rsid w:val="001A1BB3"/>
    <w:rsid w:val="001B38D4"/>
    <w:rsid w:val="001E2AEB"/>
    <w:rsid w:val="0022638C"/>
    <w:rsid w:val="002266AA"/>
    <w:rsid w:val="002E57DB"/>
    <w:rsid w:val="002E5B86"/>
    <w:rsid w:val="002F1BFE"/>
    <w:rsid w:val="00316C89"/>
    <w:rsid w:val="00326141"/>
    <w:rsid w:val="00354A5A"/>
    <w:rsid w:val="003B4242"/>
    <w:rsid w:val="003C4887"/>
    <w:rsid w:val="003E6EBD"/>
    <w:rsid w:val="003E7640"/>
    <w:rsid w:val="003F7572"/>
    <w:rsid w:val="00401D30"/>
    <w:rsid w:val="004C46B1"/>
    <w:rsid w:val="004E0F98"/>
    <w:rsid w:val="004E21A1"/>
    <w:rsid w:val="005327C9"/>
    <w:rsid w:val="00562CFC"/>
    <w:rsid w:val="00565509"/>
    <w:rsid w:val="005E14E8"/>
    <w:rsid w:val="00604EDE"/>
    <w:rsid w:val="00607F24"/>
    <w:rsid w:val="00632077"/>
    <w:rsid w:val="006429BB"/>
    <w:rsid w:val="00692393"/>
    <w:rsid w:val="007516DB"/>
    <w:rsid w:val="0075794E"/>
    <w:rsid w:val="007628E6"/>
    <w:rsid w:val="0076686D"/>
    <w:rsid w:val="00770948"/>
    <w:rsid w:val="0077402B"/>
    <w:rsid w:val="007A283C"/>
    <w:rsid w:val="007C6F27"/>
    <w:rsid w:val="007D2775"/>
    <w:rsid w:val="00822B3D"/>
    <w:rsid w:val="008301D9"/>
    <w:rsid w:val="00832857"/>
    <w:rsid w:val="00841933"/>
    <w:rsid w:val="00870C30"/>
    <w:rsid w:val="008838CF"/>
    <w:rsid w:val="008F446B"/>
    <w:rsid w:val="00933E2C"/>
    <w:rsid w:val="00956613"/>
    <w:rsid w:val="009D5560"/>
    <w:rsid w:val="009F70E6"/>
    <w:rsid w:val="00A0174A"/>
    <w:rsid w:val="00A04FD6"/>
    <w:rsid w:val="00A0751C"/>
    <w:rsid w:val="00A36565"/>
    <w:rsid w:val="00AB5AA1"/>
    <w:rsid w:val="00AF527D"/>
    <w:rsid w:val="00AF5A91"/>
    <w:rsid w:val="00B00AFB"/>
    <w:rsid w:val="00B71913"/>
    <w:rsid w:val="00B84F5A"/>
    <w:rsid w:val="00BA2E09"/>
    <w:rsid w:val="00BD2405"/>
    <w:rsid w:val="00BD5735"/>
    <w:rsid w:val="00BD6A39"/>
    <w:rsid w:val="00C02A07"/>
    <w:rsid w:val="00C036E8"/>
    <w:rsid w:val="00C45F1E"/>
    <w:rsid w:val="00C7764C"/>
    <w:rsid w:val="00C81B1E"/>
    <w:rsid w:val="00C90EAB"/>
    <w:rsid w:val="00C90F92"/>
    <w:rsid w:val="00CD3203"/>
    <w:rsid w:val="00D06318"/>
    <w:rsid w:val="00D07230"/>
    <w:rsid w:val="00D223A8"/>
    <w:rsid w:val="00D26A81"/>
    <w:rsid w:val="00D32E9B"/>
    <w:rsid w:val="00DB04E8"/>
    <w:rsid w:val="00DC5535"/>
    <w:rsid w:val="00E30E54"/>
    <w:rsid w:val="00E55AD6"/>
    <w:rsid w:val="00E70428"/>
    <w:rsid w:val="00EA77BB"/>
    <w:rsid w:val="00EF7C2A"/>
    <w:rsid w:val="00F22FDF"/>
    <w:rsid w:val="00F4061C"/>
    <w:rsid w:val="00F57906"/>
    <w:rsid w:val="00FE6213"/>
    <w:rsid w:val="00FF00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1364D2B"/>
  <w15:chartTrackingRefBased/>
  <w15:docId w15:val="{9F86A007-113D-4AEE-AEB0-F0E63B267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3203"/>
    <w:pPr>
      <w:spacing w:line="340" w:lineRule="atLeast"/>
      <w:jc w:val="both"/>
    </w:pPr>
    <w:rPr>
      <w:rFonts w:ascii="Times New Roman" w:eastAsia="Times New Roman" w:hAnsi="Times New Roman"/>
      <w:color w:val="000000"/>
      <w:sz w:val="24"/>
      <w:lang w:val="en-US"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basedOn w:val="MDPI31text"/>
    <w:next w:val="MDPI12title"/>
    <w:qFormat/>
    <w:rsid w:val="00CD3203"/>
    <w:pPr>
      <w:spacing w:before="240" w:line="240" w:lineRule="auto"/>
      <w:ind w:firstLine="0"/>
      <w:jc w:val="left"/>
    </w:pPr>
    <w:rPr>
      <w:i/>
    </w:rPr>
  </w:style>
  <w:style w:type="paragraph" w:customStyle="1" w:styleId="MDPI12title">
    <w:name w:val="MDPI_1.2_title"/>
    <w:next w:val="MDPI13authornames"/>
    <w:qFormat/>
    <w:rsid w:val="00CD3203"/>
    <w:pPr>
      <w:adjustRightInd w:val="0"/>
      <w:snapToGrid w:val="0"/>
      <w:spacing w:after="240" w:line="400" w:lineRule="exact"/>
    </w:pPr>
    <w:rPr>
      <w:rFonts w:ascii="Palatino Linotype" w:eastAsia="Times New Roman" w:hAnsi="Palatino Linotype"/>
      <w:b/>
      <w:snapToGrid w:val="0"/>
      <w:color w:val="000000"/>
      <w:sz w:val="36"/>
      <w:lang w:val="en-US" w:eastAsia="de-DE" w:bidi="en-US"/>
    </w:rPr>
  </w:style>
  <w:style w:type="paragraph" w:customStyle="1" w:styleId="MDPI13authornames">
    <w:name w:val="MDPI_1.3_authornames"/>
    <w:basedOn w:val="MDPI31text"/>
    <w:next w:val="MDPI14history"/>
    <w:qFormat/>
    <w:rsid w:val="00CD3203"/>
    <w:pPr>
      <w:spacing w:after="120"/>
      <w:ind w:firstLine="0"/>
      <w:jc w:val="left"/>
    </w:pPr>
    <w:rPr>
      <w:b/>
      <w:snapToGrid/>
    </w:rPr>
  </w:style>
  <w:style w:type="paragraph" w:customStyle="1" w:styleId="MDPI14history">
    <w:name w:val="MDPI_1.4_history"/>
    <w:basedOn w:val="MDPI62Acknowledgments"/>
    <w:next w:val="Normal"/>
    <w:qFormat/>
    <w:rsid w:val="00CD3203"/>
    <w:pPr>
      <w:ind w:left="113"/>
      <w:jc w:val="left"/>
    </w:pPr>
    <w:rPr>
      <w:snapToGrid/>
    </w:rPr>
  </w:style>
  <w:style w:type="paragraph" w:customStyle="1" w:styleId="MDPI16affiliation">
    <w:name w:val="MDPI_1.6_affiliation"/>
    <w:basedOn w:val="MDPI62Acknowledgments"/>
    <w:qFormat/>
    <w:rsid w:val="00CD3203"/>
    <w:pPr>
      <w:spacing w:before="0"/>
      <w:ind w:left="311" w:hanging="198"/>
      <w:jc w:val="left"/>
    </w:pPr>
    <w:rPr>
      <w:snapToGrid/>
      <w:szCs w:val="18"/>
    </w:rPr>
  </w:style>
  <w:style w:type="paragraph" w:customStyle="1" w:styleId="MDPI17abstract">
    <w:name w:val="MDPI_1.7_abstract"/>
    <w:basedOn w:val="MDPI31text"/>
    <w:next w:val="MDPI18keywords"/>
    <w:qFormat/>
    <w:rsid w:val="00CD3203"/>
    <w:pPr>
      <w:spacing w:before="240"/>
      <w:ind w:left="113" w:firstLine="0"/>
    </w:pPr>
    <w:rPr>
      <w:snapToGrid/>
    </w:rPr>
  </w:style>
  <w:style w:type="paragraph" w:customStyle="1" w:styleId="MDPI18keywords">
    <w:name w:val="MDPI_1.8_keywords"/>
    <w:basedOn w:val="MDPI31text"/>
    <w:next w:val="Normal"/>
    <w:qFormat/>
    <w:rsid w:val="00CD3203"/>
    <w:pPr>
      <w:spacing w:before="240"/>
      <w:ind w:left="113" w:firstLine="0"/>
    </w:pPr>
  </w:style>
  <w:style w:type="paragraph" w:customStyle="1" w:styleId="MDPI19line">
    <w:name w:val="MDPI_1.9_line"/>
    <w:basedOn w:val="MDPI31text"/>
    <w:qFormat/>
    <w:rsid w:val="00CD3203"/>
    <w:pPr>
      <w:pBdr>
        <w:bottom w:val="single" w:sz="6" w:space="1" w:color="auto"/>
      </w:pBdr>
      <w:ind w:firstLine="0"/>
    </w:pPr>
    <w:rPr>
      <w:snapToGrid/>
      <w:szCs w:val="24"/>
    </w:rPr>
  </w:style>
  <w:style w:type="table" w:customStyle="1" w:styleId="Mdeck5tablebodythreelines">
    <w:name w:val="M_deck_5_table_body_three_lines"/>
    <w:basedOn w:val="TableNormal"/>
    <w:uiPriority w:val="99"/>
    <w:rsid w:val="00CD3203"/>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CD320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CD3203"/>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CD3203"/>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CD3203"/>
    <w:pPr>
      <w:adjustRightInd w:val="0"/>
      <w:snapToGrid w:val="0"/>
    </w:pPr>
    <w:rPr>
      <w:rFonts w:ascii="Palatino Linotype" w:eastAsia="Times New Roman" w:hAnsi="Palatino Linotype"/>
      <w:i/>
      <w:color w:val="000000"/>
      <w:sz w:val="24"/>
      <w:szCs w:val="22"/>
      <w:lang w:val="en-US" w:eastAsia="de-CH"/>
    </w:rPr>
  </w:style>
  <w:style w:type="paragraph" w:customStyle="1" w:styleId="MDPI32textnoindent">
    <w:name w:val="MDPI_3.2_text_no_indent"/>
    <w:basedOn w:val="MDPI31text"/>
    <w:qFormat/>
    <w:rsid w:val="00CD3203"/>
    <w:pPr>
      <w:ind w:firstLine="0"/>
    </w:pPr>
  </w:style>
  <w:style w:type="paragraph" w:customStyle="1" w:styleId="MDPI33textspaceafter">
    <w:name w:val="MDPI_3.3_text_space_after"/>
    <w:basedOn w:val="MDPI31text"/>
    <w:qFormat/>
    <w:rsid w:val="00CD3203"/>
    <w:pPr>
      <w:spacing w:after="240"/>
    </w:pPr>
  </w:style>
  <w:style w:type="paragraph" w:customStyle="1" w:styleId="MDPI35textbeforelist">
    <w:name w:val="MDPI_3.5_text_before_list"/>
    <w:basedOn w:val="MDPI31text"/>
    <w:qFormat/>
    <w:rsid w:val="00CD3203"/>
    <w:pPr>
      <w:spacing w:after="120"/>
    </w:pPr>
  </w:style>
  <w:style w:type="paragraph" w:customStyle="1" w:styleId="MDPI36textafterlist">
    <w:name w:val="MDPI_3.6_text_after_list"/>
    <w:basedOn w:val="MDPI31text"/>
    <w:qFormat/>
    <w:rsid w:val="00CD3203"/>
    <w:pPr>
      <w:spacing w:before="120"/>
    </w:pPr>
  </w:style>
  <w:style w:type="paragraph" w:customStyle="1" w:styleId="MDPI37itemize">
    <w:name w:val="MDPI_3.7_itemize"/>
    <w:basedOn w:val="MDPI31text"/>
    <w:qFormat/>
    <w:rsid w:val="00CD3203"/>
    <w:pPr>
      <w:numPr>
        <w:numId w:val="1"/>
      </w:numPr>
      <w:ind w:left="425" w:hanging="425"/>
    </w:pPr>
  </w:style>
  <w:style w:type="paragraph" w:customStyle="1" w:styleId="MDPI38bullet">
    <w:name w:val="MDPI_3.8_bullet"/>
    <w:basedOn w:val="MDPI31text"/>
    <w:qFormat/>
    <w:rsid w:val="00CD3203"/>
    <w:pPr>
      <w:numPr>
        <w:numId w:val="2"/>
      </w:numPr>
      <w:ind w:left="425" w:hanging="425"/>
    </w:pPr>
  </w:style>
  <w:style w:type="paragraph" w:customStyle="1" w:styleId="MDPI39equation">
    <w:name w:val="MDPI_3.9_equation"/>
    <w:basedOn w:val="MDPI31text"/>
    <w:qFormat/>
    <w:rsid w:val="00CD3203"/>
    <w:pPr>
      <w:spacing w:before="120" w:after="120"/>
      <w:ind w:left="709" w:firstLine="0"/>
      <w:jc w:val="center"/>
    </w:pPr>
  </w:style>
  <w:style w:type="paragraph" w:customStyle="1" w:styleId="MDPI3aequationnumber">
    <w:name w:val="MDPI_3.a_equation_number"/>
    <w:basedOn w:val="MDPI31text"/>
    <w:qFormat/>
    <w:rsid w:val="00CD3203"/>
    <w:pPr>
      <w:spacing w:before="120" w:after="120" w:line="240" w:lineRule="auto"/>
      <w:ind w:firstLine="0"/>
      <w:jc w:val="right"/>
    </w:pPr>
  </w:style>
  <w:style w:type="paragraph" w:customStyle="1" w:styleId="MDPI62Acknowledgments">
    <w:name w:val="MDPI_6.2_Acknowledgments"/>
    <w:qFormat/>
    <w:rsid w:val="00CD3203"/>
    <w:pPr>
      <w:adjustRightInd w:val="0"/>
      <w:snapToGrid w:val="0"/>
      <w:spacing w:before="120" w:line="200" w:lineRule="atLeast"/>
      <w:jc w:val="both"/>
    </w:pPr>
    <w:rPr>
      <w:rFonts w:ascii="Palatino Linotype" w:eastAsia="Times New Roman" w:hAnsi="Palatino Linotype"/>
      <w:snapToGrid w:val="0"/>
      <w:color w:val="000000"/>
      <w:sz w:val="18"/>
      <w:lang w:val="en-US" w:eastAsia="de-DE" w:bidi="en-US"/>
    </w:rPr>
  </w:style>
  <w:style w:type="paragraph" w:customStyle="1" w:styleId="MDPI41tablecaption">
    <w:name w:val="MDPI_4.1_table_caption"/>
    <w:basedOn w:val="MDPI62Acknowledgments"/>
    <w:qFormat/>
    <w:rsid w:val="00CD3203"/>
    <w:pPr>
      <w:spacing w:before="240" w:after="120" w:line="260" w:lineRule="atLeast"/>
      <w:ind w:left="425" w:right="425"/>
    </w:pPr>
    <w:rPr>
      <w:snapToGrid/>
      <w:szCs w:val="22"/>
    </w:rPr>
  </w:style>
  <w:style w:type="paragraph" w:customStyle="1" w:styleId="MDPI42tablebody">
    <w:name w:val="MDPI_4.2_table_body"/>
    <w:qFormat/>
    <w:rsid w:val="005E14E8"/>
    <w:pPr>
      <w:adjustRightInd w:val="0"/>
      <w:snapToGrid w:val="0"/>
      <w:spacing w:line="260" w:lineRule="atLeast"/>
      <w:jc w:val="center"/>
    </w:pPr>
    <w:rPr>
      <w:rFonts w:ascii="Palatino Linotype" w:eastAsia="Times New Roman" w:hAnsi="Palatino Linotype"/>
      <w:snapToGrid w:val="0"/>
      <w:color w:val="000000"/>
      <w:lang w:val="en-US" w:eastAsia="de-DE" w:bidi="en-US"/>
    </w:rPr>
  </w:style>
  <w:style w:type="paragraph" w:customStyle="1" w:styleId="MDPI43tablefooter">
    <w:name w:val="MDPI_4.3_table_footer"/>
    <w:basedOn w:val="MDPI41tablecaption"/>
    <w:next w:val="MDPI31text"/>
    <w:qFormat/>
    <w:rsid w:val="00CD3203"/>
    <w:pPr>
      <w:spacing w:before="0"/>
      <w:ind w:left="0" w:right="0"/>
    </w:pPr>
  </w:style>
  <w:style w:type="paragraph" w:customStyle="1" w:styleId="MDPI51figurecaption">
    <w:name w:val="MDPI_5.1_figure_caption"/>
    <w:basedOn w:val="MDPI62Acknowledgments"/>
    <w:qFormat/>
    <w:rsid w:val="00CD3203"/>
    <w:pPr>
      <w:spacing w:after="240" w:line="260" w:lineRule="atLeast"/>
      <w:ind w:left="425" w:right="425"/>
    </w:pPr>
    <w:rPr>
      <w:snapToGrid/>
    </w:rPr>
  </w:style>
  <w:style w:type="paragraph" w:customStyle="1" w:styleId="MDPI52figure">
    <w:name w:val="MDPI_5.2_figure"/>
    <w:qFormat/>
    <w:rsid w:val="00CD3203"/>
    <w:pPr>
      <w:jc w:val="center"/>
    </w:pPr>
    <w:rPr>
      <w:rFonts w:ascii="Palatino Linotype" w:eastAsia="Times New Roman" w:hAnsi="Palatino Linotype"/>
      <w:snapToGrid w:val="0"/>
      <w:color w:val="000000"/>
      <w:sz w:val="24"/>
      <w:lang w:val="en-US" w:eastAsia="de-DE" w:bidi="en-US"/>
    </w:rPr>
  </w:style>
  <w:style w:type="paragraph" w:customStyle="1" w:styleId="MDPI61Supplementary">
    <w:name w:val="MDPI_6.1_Supplementary"/>
    <w:basedOn w:val="MDPI62Acknowledgments"/>
    <w:qFormat/>
    <w:rsid w:val="00CD3203"/>
    <w:pPr>
      <w:spacing w:before="240"/>
    </w:pPr>
    <w:rPr>
      <w:lang w:eastAsia="en-US"/>
    </w:rPr>
  </w:style>
  <w:style w:type="paragraph" w:customStyle="1" w:styleId="MDPI63AuthorContributions">
    <w:name w:val="MDPI_6.3_AuthorContributions"/>
    <w:basedOn w:val="MDPI62Acknowledgments"/>
    <w:qFormat/>
    <w:rsid w:val="00CD3203"/>
    <w:rPr>
      <w:rFonts w:eastAsia="SimSun"/>
      <w:color w:val="auto"/>
      <w:lang w:eastAsia="en-US"/>
    </w:rPr>
  </w:style>
  <w:style w:type="paragraph" w:customStyle="1" w:styleId="MDPI64CoI">
    <w:name w:val="MDPI_6.4_CoI"/>
    <w:basedOn w:val="MDPI62Acknowledgments"/>
    <w:qFormat/>
    <w:rsid w:val="00CD3203"/>
  </w:style>
  <w:style w:type="paragraph" w:customStyle="1" w:styleId="MDPIfooterfirstpage">
    <w:name w:val="MDPI_footer_firstpage"/>
    <w:basedOn w:val="Normal"/>
    <w:qFormat/>
    <w:rsid w:val="00CD3203"/>
    <w:pPr>
      <w:tabs>
        <w:tab w:val="right" w:pos="8845"/>
      </w:tabs>
      <w:adjustRightInd w:val="0"/>
      <w:snapToGrid w:val="0"/>
      <w:spacing w:before="120" w:line="160" w:lineRule="exact"/>
      <w:jc w:val="left"/>
    </w:pPr>
    <w:rPr>
      <w:rFonts w:ascii="Palatino Linotype" w:hAnsi="Palatino Linotype"/>
      <w:color w:val="auto"/>
      <w:sz w:val="16"/>
    </w:rPr>
  </w:style>
  <w:style w:type="paragraph" w:customStyle="1" w:styleId="MDPI31text">
    <w:name w:val="MDPI_3.1_text"/>
    <w:qFormat/>
    <w:rsid w:val="00CD3203"/>
    <w:pPr>
      <w:adjustRightInd w:val="0"/>
      <w:snapToGrid w:val="0"/>
      <w:spacing w:line="260" w:lineRule="atLeast"/>
      <w:ind w:firstLine="425"/>
      <w:jc w:val="both"/>
    </w:pPr>
    <w:rPr>
      <w:rFonts w:ascii="Palatino Linotype" w:eastAsia="Times New Roman" w:hAnsi="Palatino Linotype"/>
      <w:snapToGrid w:val="0"/>
      <w:color w:val="000000"/>
      <w:szCs w:val="22"/>
      <w:lang w:val="en-US" w:eastAsia="de-DE" w:bidi="en-US"/>
    </w:rPr>
  </w:style>
  <w:style w:type="paragraph" w:customStyle="1" w:styleId="MDPI23heading3">
    <w:name w:val="MDPI_2.3_heading3"/>
    <w:basedOn w:val="MDPI31text"/>
    <w:qFormat/>
    <w:rsid w:val="00CD3203"/>
    <w:pPr>
      <w:spacing w:before="240" w:after="120"/>
      <w:ind w:firstLine="0"/>
      <w:jc w:val="left"/>
      <w:outlineLvl w:val="2"/>
    </w:pPr>
  </w:style>
  <w:style w:type="paragraph" w:customStyle="1" w:styleId="MDPI21heading1">
    <w:name w:val="MDPI_2.1_heading1"/>
    <w:basedOn w:val="MDPI23heading3"/>
    <w:qFormat/>
    <w:rsid w:val="00CD3203"/>
    <w:pPr>
      <w:outlineLvl w:val="0"/>
    </w:pPr>
    <w:rPr>
      <w:b/>
    </w:rPr>
  </w:style>
  <w:style w:type="paragraph" w:customStyle="1" w:styleId="MDPI22heading2">
    <w:name w:val="MDPI_2.2_heading2"/>
    <w:basedOn w:val="Normal"/>
    <w:qFormat/>
    <w:rsid w:val="00CD3203"/>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CD3203"/>
    <w:pPr>
      <w:numPr>
        <w:numId w:val="3"/>
      </w:numPr>
      <w:spacing w:before="0" w:line="260" w:lineRule="atLeast"/>
      <w:ind w:left="425" w:hanging="425"/>
    </w:pPr>
  </w:style>
  <w:style w:type="paragraph" w:styleId="BalloonText">
    <w:name w:val="Balloon Text"/>
    <w:basedOn w:val="Normal"/>
    <w:link w:val="BalloonTextChar"/>
    <w:uiPriority w:val="99"/>
    <w:semiHidden/>
    <w:unhideWhenUsed/>
    <w:rsid w:val="00CD3203"/>
    <w:pPr>
      <w:spacing w:line="240" w:lineRule="auto"/>
    </w:pPr>
    <w:rPr>
      <w:sz w:val="18"/>
      <w:szCs w:val="18"/>
    </w:rPr>
  </w:style>
  <w:style w:type="character" w:customStyle="1" w:styleId="BalloonTextChar">
    <w:name w:val="Balloon Text Char"/>
    <w:link w:val="BalloonText"/>
    <w:uiPriority w:val="99"/>
    <w:semiHidden/>
    <w:rsid w:val="00CD3203"/>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CD3203"/>
  </w:style>
  <w:style w:type="table" w:customStyle="1" w:styleId="MDPI41threelinetable">
    <w:name w:val="MDPI_4.1_three_line_table"/>
    <w:basedOn w:val="TableNormal"/>
    <w:uiPriority w:val="99"/>
    <w:rsid w:val="005E14E8"/>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Calibri Light" w:hAnsi="Calibri Light"/>
        <w:b/>
        <w:i w:val="0"/>
        <w:sz w:val="20"/>
      </w:rPr>
      <w:tblPr/>
      <w:tcPr>
        <w:tcBorders>
          <w:bottom w:val="single" w:sz="4" w:space="0" w:color="auto"/>
        </w:tcBorders>
      </w:tcPr>
    </w:tblStylePr>
  </w:style>
  <w:style w:type="character" w:styleId="Hyperlink">
    <w:name w:val="Hyperlink"/>
    <w:uiPriority w:val="99"/>
    <w:unhideWhenUsed/>
    <w:rsid w:val="00C02A07"/>
    <w:rPr>
      <w:color w:val="0563C1"/>
      <w:u w:val="single"/>
    </w:rPr>
  </w:style>
  <w:style w:type="character" w:styleId="UnresolvedMention">
    <w:name w:val="Unresolved Mention"/>
    <w:uiPriority w:val="99"/>
    <w:semiHidden/>
    <w:unhideWhenUsed/>
    <w:rsid w:val="004C46B1"/>
    <w:rPr>
      <w:color w:val="605E5C"/>
      <w:shd w:val="clear" w:color="auto" w:fill="E1DFDD"/>
    </w:rPr>
  </w:style>
  <w:style w:type="paragraph" w:styleId="Footer">
    <w:name w:val="footer"/>
    <w:basedOn w:val="Normal"/>
    <w:link w:val="FooterChar"/>
    <w:uiPriority w:val="99"/>
    <w:unhideWhenUsed/>
    <w:rsid w:val="00632077"/>
    <w:pPr>
      <w:tabs>
        <w:tab w:val="center" w:pos="4153"/>
        <w:tab w:val="right" w:pos="8306"/>
      </w:tabs>
    </w:pPr>
  </w:style>
  <w:style w:type="character" w:customStyle="1" w:styleId="FooterChar">
    <w:name w:val="Footer Char"/>
    <w:link w:val="Footer"/>
    <w:uiPriority w:val="99"/>
    <w:rsid w:val="00632077"/>
    <w:rPr>
      <w:rFonts w:ascii="Times New Roman" w:eastAsia="Times New Roman" w:hAnsi="Times New Roman"/>
      <w:color w:val="000000"/>
      <w:sz w:val="24"/>
      <w:lang w:eastAsia="de-DE"/>
    </w:rPr>
  </w:style>
  <w:style w:type="table" w:styleId="PlainTable4">
    <w:name w:val="Plain Table 4"/>
    <w:basedOn w:val="TableNormal"/>
    <w:uiPriority w:val="44"/>
    <w:rsid w:val="00632077"/>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Grid1">
    <w:name w:val="Table Grid1"/>
    <w:basedOn w:val="TableNormal"/>
    <w:next w:val="TableGrid"/>
    <w:uiPriority w:val="39"/>
    <w:rsid w:val="00C7764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7764C"/>
  </w:style>
  <w:style w:type="table" w:customStyle="1" w:styleId="LightList-Accent31">
    <w:name w:val="Light List - Accent 31"/>
    <w:basedOn w:val="TableNormal"/>
    <w:next w:val="LightList-Accent3"/>
    <w:uiPriority w:val="61"/>
    <w:rsid w:val="00C7764C"/>
    <w:rPr>
      <w:rFonts w:cs="Arial"/>
      <w:sz w:val="22"/>
      <w:szCs w:val="22"/>
      <w:lang w:eastAsia="zh-CN"/>
    </w:rPr>
    <w:tblPr>
      <w:tblStyleRowBandSize w:val="1"/>
      <w:tblStyleColBandSize w:val="1"/>
      <w:tblInd w:w="0" w:type="nil"/>
      <w:tblBorders>
        <w:top w:val="single" w:sz="8" w:space="0" w:color="9BBB59"/>
        <w:left w:val="single" w:sz="8" w:space="0" w:color="9BBB59"/>
        <w:bottom w:val="single" w:sz="8" w:space="0" w:color="9BBB59"/>
        <w:right w:val="single" w:sz="8" w:space="0" w:color="9BBB59"/>
      </w:tblBorders>
    </w:tblPr>
    <w:trPr>
      <w:cantSplit/>
    </w:trPr>
    <w:tblStylePr w:type="firstRow">
      <w:pPr>
        <w:spacing w:beforeLines="0" w:before="0" w:beforeAutospacing="0" w:afterLines="0" w:after="0" w:afterAutospacing="0" w:line="240" w:lineRule="auto"/>
      </w:pPr>
      <w:rPr>
        <w:b/>
        <w:bCs/>
        <w:color w:val="FFFFFF"/>
      </w:rPr>
      <w:tblPr/>
      <w:tcPr>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3">
    <w:name w:val="Light List Accent 3"/>
    <w:basedOn w:val="TableNormal"/>
    <w:uiPriority w:val="61"/>
    <w:unhideWhenUsed/>
    <w:rsid w:val="00C7764C"/>
    <w:rPr>
      <w:rFonts w:eastAsia="Calibri"/>
      <w:sz w:val="22"/>
      <w:szCs w:val="22"/>
      <w:lang w:eastAsia="en-US"/>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pPr>
        <w:spacing w:before="0" w:after="0" w:line="240" w:lineRule="auto"/>
      </w:pPr>
      <w:rPr>
        <w:b/>
        <w:bCs/>
        <w:color w:val="FFFFFF"/>
      </w:rPr>
      <w:tblPr/>
      <w:tcPr>
        <w:shd w:val="clear" w:color="auto" w:fill="A5A5A5"/>
      </w:tcPr>
    </w:tblStylePr>
    <w:tblStylePr w:type="lastRow">
      <w:pPr>
        <w:spacing w:before="0" w:after="0" w:line="240" w:lineRule="auto"/>
      </w:pPr>
      <w:rPr>
        <w:b/>
        <w:bCs/>
      </w:rPr>
      <w:tblPr/>
      <w:tcPr>
        <w:tcBorders>
          <w:top w:val="double" w:sz="6" w:space="0" w:color="A5A5A5"/>
          <w:left w:val="single" w:sz="8" w:space="0" w:color="A5A5A5"/>
          <w:bottom w:val="single" w:sz="8" w:space="0" w:color="A5A5A5"/>
          <w:right w:val="single" w:sz="8" w:space="0" w:color="A5A5A5"/>
        </w:tcBorders>
      </w:tcPr>
    </w:tblStylePr>
    <w:tblStylePr w:type="firstCol">
      <w:rPr>
        <w:b/>
        <w:bCs/>
      </w:rPr>
    </w:tblStylePr>
    <w:tblStylePr w:type="lastCol">
      <w:rPr>
        <w:b/>
        <w:bCs/>
      </w:rPr>
    </w:tblStylePr>
    <w:tblStylePr w:type="band1Vert">
      <w:tblPr/>
      <w:tcPr>
        <w:tcBorders>
          <w:top w:val="single" w:sz="8" w:space="0" w:color="A5A5A5"/>
          <w:left w:val="single" w:sz="8" w:space="0" w:color="A5A5A5"/>
          <w:bottom w:val="single" w:sz="8" w:space="0" w:color="A5A5A5"/>
          <w:right w:val="single" w:sz="8" w:space="0" w:color="A5A5A5"/>
        </w:tcBorders>
      </w:tcPr>
    </w:tblStylePr>
    <w:tblStylePr w:type="band1Horz">
      <w:tblPr/>
      <w:tcPr>
        <w:tcBorders>
          <w:top w:val="single" w:sz="8" w:space="0" w:color="A5A5A5"/>
          <w:left w:val="single" w:sz="8" w:space="0" w:color="A5A5A5"/>
          <w:bottom w:val="single" w:sz="8" w:space="0" w:color="A5A5A5"/>
          <w:right w:val="single" w:sz="8" w:space="0" w:color="A5A5A5"/>
        </w:tcBorders>
      </w:tcPr>
    </w:tblStylePr>
  </w:style>
  <w:style w:type="paragraph" w:customStyle="1" w:styleId="Table">
    <w:name w:val="Table"/>
    <w:basedOn w:val="Normal"/>
    <w:link w:val="TableChar"/>
    <w:qFormat/>
    <w:rsid w:val="00C7764C"/>
    <w:pPr>
      <w:spacing w:line="240" w:lineRule="auto"/>
      <w:jc w:val="center"/>
    </w:pPr>
    <w:rPr>
      <w:rFonts w:ascii="Calibri" w:eastAsia="SimSun" w:hAnsi="Calibri" w:cs="Arial"/>
      <w:color w:val="auto"/>
      <w:sz w:val="22"/>
      <w:lang w:val="en-GB" w:eastAsia="zh-CN"/>
    </w:rPr>
  </w:style>
  <w:style w:type="character" w:customStyle="1" w:styleId="TableChar">
    <w:name w:val="Table Char"/>
    <w:link w:val="Table"/>
    <w:rsid w:val="00C7764C"/>
    <w:rPr>
      <w:rFonts w:cs="Arial"/>
      <w:sz w:val="22"/>
      <w:lang w:eastAsia="zh-CN"/>
    </w:rPr>
  </w:style>
  <w:style w:type="table" w:customStyle="1" w:styleId="LightList-Accent311">
    <w:name w:val="Light List - Accent 311"/>
    <w:basedOn w:val="TableNormal"/>
    <w:next w:val="LightList-Accent3"/>
    <w:uiPriority w:val="61"/>
    <w:rsid w:val="00C7764C"/>
    <w:rPr>
      <w:rFonts w:cs="Arial"/>
      <w:sz w:val="22"/>
      <w:szCs w:val="22"/>
      <w:lang w:eastAsia="zh-CN"/>
    </w:rPr>
    <w:tblPr>
      <w:tblStyleRowBandSize w:val="1"/>
      <w:tblStyleColBandSize w:val="1"/>
      <w:tblInd w:w="0" w:type="nil"/>
      <w:tblBorders>
        <w:top w:val="single" w:sz="8" w:space="0" w:color="9BBB59"/>
        <w:left w:val="single" w:sz="8" w:space="0" w:color="9BBB59"/>
        <w:bottom w:val="single" w:sz="8" w:space="0" w:color="9BBB59"/>
        <w:right w:val="single" w:sz="8" w:space="0" w:color="9BBB59"/>
      </w:tblBorders>
    </w:tblPr>
    <w:trPr>
      <w:cantSplit/>
    </w:trPr>
    <w:tblStylePr w:type="firstRow">
      <w:pPr>
        <w:spacing w:beforeLines="0" w:before="0" w:beforeAutospacing="0" w:afterLines="0" w:after="0" w:afterAutospacing="0" w:line="240" w:lineRule="auto"/>
      </w:pPr>
      <w:rPr>
        <w:b/>
        <w:bCs/>
        <w:color w:val="FFFFFF"/>
      </w:rPr>
      <w:tblPr/>
      <w:tcPr>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312">
    <w:name w:val="Light List - Accent 312"/>
    <w:basedOn w:val="TableNormal"/>
    <w:next w:val="LightList-Accent3"/>
    <w:uiPriority w:val="61"/>
    <w:rsid w:val="00C7764C"/>
    <w:rPr>
      <w:rFonts w:cs="Arial"/>
      <w:sz w:val="22"/>
      <w:szCs w:val="22"/>
      <w:lang w:eastAsia="zh-CN"/>
    </w:rPr>
    <w:tblPr>
      <w:tblStyleRowBandSize w:val="1"/>
      <w:tblStyleColBandSize w:val="1"/>
      <w:tblInd w:w="0" w:type="nil"/>
      <w:tblBorders>
        <w:top w:val="single" w:sz="8" w:space="0" w:color="9BBB59"/>
        <w:left w:val="single" w:sz="8" w:space="0" w:color="9BBB59"/>
        <w:bottom w:val="single" w:sz="8" w:space="0" w:color="9BBB59"/>
        <w:right w:val="single" w:sz="8" w:space="0" w:color="9BBB59"/>
      </w:tblBorders>
    </w:tblPr>
    <w:trPr>
      <w:cantSplit/>
    </w:trPr>
    <w:tblStylePr w:type="firstRow">
      <w:pPr>
        <w:spacing w:beforeLines="0" w:before="0" w:beforeAutospacing="0" w:afterLines="0" w:after="0" w:afterAutospacing="0" w:line="240" w:lineRule="auto"/>
      </w:pPr>
      <w:rPr>
        <w:b/>
        <w:bCs/>
        <w:color w:val="FFFFFF"/>
      </w:rPr>
      <w:tblPr/>
      <w:tcPr>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313">
    <w:name w:val="Light List - Accent 313"/>
    <w:basedOn w:val="TableNormal"/>
    <w:next w:val="LightList-Accent3"/>
    <w:uiPriority w:val="61"/>
    <w:rsid w:val="00C7764C"/>
    <w:rPr>
      <w:rFonts w:cs="Arial"/>
      <w:sz w:val="22"/>
      <w:szCs w:val="22"/>
      <w:lang w:eastAsia="zh-CN"/>
    </w:rPr>
    <w:tblPr>
      <w:tblStyleRowBandSize w:val="1"/>
      <w:tblStyleColBandSize w:val="1"/>
      <w:tblInd w:w="0" w:type="nil"/>
      <w:tblBorders>
        <w:top w:val="single" w:sz="8" w:space="0" w:color="9BBB59"/>
        <w:left w:val="single" w:sz="8" w:space="0" w:color="9BBB59"/>
        <w:bottom w:val="single" w:sz="8" w:space="0" w:color="9BBB59"/>
        <w:right w:val="single" w:sz="8" w:space="0" w:color="9BBB59"/>
      </w:tblBorders>
    </w:tblPr>
    <w:trPr>
      <w:cantSplit/>
    </w:trPr>
    <w:tblStylePr w:type="firstRow">
      <w:pPr>
        <w:spacing w:beforeLines="0" w:before="0" w:beforeAutospacing="0" w:afterLines="0" w:after="0" w:afterAutospacing="0" w:line="240" w:lineRule="auto"/>
      </w:pPr>
      <w:rPr>
        <w:b/>
        <w:bCs/>
        <w:color w:val="FFFFFF"/>
      </w:rPr>
      <w:tblPr/>
      <w:tcPr>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314">
    <w:name w:val="Light List - Accent 314"/>
    <w:basedOn w:val="TableNormal"/>
    <w:next w:val="LightList-Accent3"/>
    <w:uiPriority w:val="61"/>
    <w:rsid w:val="00C7764C"/>
    <w:rPr>
      <w:rFonts w:cs="Arial"/>
      <w:sz w:val="22"/>
      <w:szCs w:val="22"/>
      <w:lang w:eastAsia="zh-CN"/>
    </w:rPr>
    <w:tblPr>
      <w:tblStyleRowBandSize w:val="1"/>
      <w:tblStyleColBandSize w:val="1"/>
      <w:tblInd w:w="0" w:type="nil"/>
      <w:tblBorders>
        <w:top w:val="single" w:sz="8" w:space="0" w:color="9BBB59"/>
        <w:left w:val="single" w:sz="8" w:space="0" w:color="9BBB59"/>
        <w:bottom w:val="single" w:sz="8" w:space="0" w:color="9BBB59"/>
        <w:right w:val="single" w:sz="8" w:space="0" w:color="9BBB59"/>
      </w:tblBorders>
    </w:tblPr>
    <w:trPr>
      <w:cantSplit/>
    </w:trPr>
    <w:tblStylePr w:type="firstRow">
      <w:pPr>
        <w:spacing w:beforeLines="0" w:before="0" w:beforeAutospacing="0" w:afterLines="0" w:after="0" w:afterAutospacing="0" w:line="240" w:lineRule="auto"/>
      </w:pPr>
      <w:rPr>
        <w:b/>
        <w:bCs/>
        <w:color w:val="FFFFFF"/>
      </w:rPr>
      <w:tblPr/>
      <w:tcPr>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315">
    <w:name w:val="Light List - Accent 315"/>
    <w:basedOn w:val="TableNormal"/>
    <w:next w:val="LightList-Accent3"/>
    <w:uiPriority w:val="61"/>
    <w:rsid w:val="00C7764C"/>
    <w:rPr>
      <w:rFonts w:cs="Arial"/>
      <w:sz w:val="22"/>
      <w:szCs w:val="22"/>
      <w:lang w:eastAsia="zh-CN"/>
    </w:rPr>
    <w:tblPr>
      <w:tblStyleRowBandSize w:val="1"/>
      <w:tblStyleColBandSize w:val="1"/>
      <w:tblInd w:w="0" w:type="nil"/>
      <w:tblBorders>
        <w:top w:val="single" w:sz="8" w:space="0" w:color="9BBB59"/>
        <w:left w:val="single" w:sz="8" w:space="0" w:color="9BBB59"/>
        <w:bottom w:val="single" w:sz="8" w:space="0" w:color="9BBB59"/>
        <w:right w:val="single" w:sz="8" w:space="0" w:color="9BBB59"/>
      </w:tblBorders>
    </w:tblPr>
    <w:trPr>
      <w:cantSplit/>
    </w:trPr>
    <w:tblStylePr w:type="firstRow">
      <w:pPr>
        <w:spacing w:beforeLines="0" w:before="0" w:beforeAutospacing="0" w:afterLines="0" w:after="0" w:afterAutospacing="0" w:line="240" w:lineRule="auto"/>
      </w:pPr>
      <w:rPr>
        <w:b/>
        <w:bCs/>
        <w:color w:val="FFFFFF"/>
      </w:rPr>
      <w:tblPr/>
      <w:tcPr>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316">
    <w:name w:val="Light List - Accent 316"/>
    <w:basedOn w:val="TableNormal"/>
    <w:next w:val="LightList-Accent3"/>
    <w:uiPriority w:val="61"/>
    <w:rsid w:val="00C7764C"/>
    <w:rPr>
      <w:rFonts w:cs="Arial"/>
      <w:sz w:val="22"/>
      <w:szCs w:val="22"/>
      <w:lang w:eastAsia="zh-CN"/>
    </w:rPr>
    <w:tblPr>
      <w:tblStyleRowBandSize w:val="1"/>
      <w:tblStyleColBandSize w:val="1"/>
      <w:tblInd w:w="0" w:type="nil"/>
      <w:tblBorders>
        <w:top w:val="single" w:sz="8" w:space="0" w:color="9BBB59"/>
        <w:left w:val="single" w:sz="8" w:space="0" w:color="9BBB59"/>
        <w:bottom w:val="single" w:sz="8" w:space="0" w:color="9BBB59"/>
        <w:right w:val="single" w:sz="8" w:space="0" w:color="9BBB59"/>
      </w:tblBorders>
    </w:tblPr>
    <w:trPr>
      <w:cantSplit/>
    </w:trPr>
    <w:tblStylePr w:type="firstRow">
      <w:pPr>
        <w:spacing w:beforeLines="0" w:before="0" w:beforeAutospacing="0" w:afterLines="0" w:after="0" w:afterAutospacing="0" w:line="240" w:lineRule="auto"/>
      </w:pPr>
      <w:rPr>
        <w:b/>
        <w:bCs/>
        <w:color w:val="FFFFFF"/>
      </w:rPr>
      <w:tblPr/>
      <w:tcPr>
        <w:shd w:val="clear" w:color="auto" w:fill="9BBB59"/>
      </w:tcPr>
    </w:tblStylePr>
    <w:tblStylePr w:type="lastRow">
      <w:pPr>
        <w:spacing w:beforeLines="0" w:before="0" w:beforeAutospacing="0" w:afterLines="0" w:after="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PlainTable2">
    <w:name w:val="Plain Table 2"/>
    <w:basedOn w:val="TableNormal"/>
    <w:uiPriority w:val="42"/>
    <w:rsid w:val="00C7764C"/>
    <w:rPr>
      <w:rFonts w:eastAsia="Calibri"/>
      <w:sz w:val="22"/>
      <w:szCs w:val="22"/>
      <w:lang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styleId="Caption">
    <w:name w:val="caption"/>
    <w:basedOn w:val="Normal"/>
    <w:next w:val="Normal"/>
    <w:uiPriority w:val="35"/>
    <w:unhideWhenUsed/>
    <w:qFormat/>
    <w:rsid w:val="00C7764C"/>
    <w:pPr>
      <w:spacing w:after="200" w:line="240" w:lineRule="auto"/>
      <w:jc w:val="center"/>
    </w:pPr>
    <w:rPr>
      <w:rFonts w:ascii="Calibri" w:eastAsia="Calibri" w:hAnsi="Calibri"/>
      <w:iCs/>
      <w:color w:val="auto"/>
      <w:sz w:val="18"/>
      <w:szCs w:val="18"/>
      <w:lang w:val="en-GB" w:eastAsia="en-US"/>
    </w:rPr>
  </w:style>
  <w:style w:type="table" w:customStyle="1" w:styleId="TableGrid2">
    <w:name w:val="Table Grid2"/>
    <w:basedOn w:val="TableNormal"/>
    <w:next w:val="TableGrid"/>
    <w:uiPriority w:val="39"/>
    <w:rsid w:val="00C7764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C7764C"/>
    <w:rPr>
      <w:sz w:val="16"/>
      <w:szCs w:val="16"/>
    </w:rPr>
  </w:style>
  <w:style w:type="paragraph" w:styleId="CommentText">
    <w:name w:val="annotation text"/>
    <w:basedOn w:val="Normal"/>
    <w:link w:val="CommentTextChar"/>
    <w:uiPriority w:val="99"/>
    <w:semiHidden/>
    <w:unhideWhenUsed/>
    <w:rsid w:val="00C7764C"/>
    <w:pPr>
      <w:spacing w:after="160" w:line="240" w:lineRule="auto"/>
    </w:pPr>
    <w:rPr>
      <w:rFonts w:ascii="Calibri" w:eastAsia="Calibri" w:hAnsi="Calibri"/>
      <w:color w:val="auto"/>
      <w:sz w:val="20"/>
      <w:lang w:val="en-GB" w:eastAsia="en-US"/>
    </w:rPr>
  </w:style>
  <w:style w:type="character" w:customStyle="1" w:styleId="CommentTextChar">
    <w:name w:val="Comment Text Char"/>
    <w:link w:val="CommentText"/>
    <w:uiPriority w:val="99"/>
    <w:semiHidden/>
    <w:rsid w:val="00C7764C"/>
    <w:rPr>
      <w:rFonts w:eastAsia="Calibri"/>
      <w:lang w:eastAsia="en-US"/>
    </w:rPr>
  </w:style>
  <w:style w:type="paragraph" w:styleId="CommentSubject">
    <w:name w:val="annotation subject"/>
    <w:basedOn w:val="CommentText"/>
    <w:next w:val="CommentText"/>
    <w:link w:val="CommentSubjectChar"/>
    <w:uiPriority w:val="99"/>
    <w:semiHidden/>
    <w:unhideWhenUsed/>
    <w:rsid w:val="00C7764C"/>
    <w:rPr>
      <w:b/>
      <w:bCs/>
    </w:rPr>
  </w:style>
  <w:style w:type="character" w:customStyle="1" w:styleId="CommentSubjectChar">
    <w:name w:val="Comment Subject Char"/>
    <w:link w:val="CommentSubject"/>
    <w:uiPriority w:val="99"/>
    <w:semiHidden/>
    <w:rsid w:val="00C7764C"/>
    <w:rPr>
      <w:rFonts w:eastAsia="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6476296">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mgg4\Google%20Drive\Guillermo\My%20papers\2019%20Identification%20and%20Analysis%20of%20Attributes%20for%20Industrial%20Food%20Waste%20Management%20Modelling\sustainability-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C6FEAF-2431-4812-99A0-5F34C13FB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sustainability-template.dot</Template>
  <TotalTime>49</TotalTime>
  <Pages>1</Pages>
  <Words>78099</Words>
  <Characters>445169</Characters>
  <Application>Microsoft Office Word</Application>
  <DocSecurity>0</DocSecurity>
  <Lines>3709</Lines>
  <Paragraphs>1044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522224</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Guillermo Garcia-Garcia</dc:creator>
  <cp:keywords/>
  <dc:description/>
  <cp:lastModifiedBy>Gareth Cole</cp:lastModifiedBy>
  <cp:revision>18</cp:revision>
  <dcterms:created xsi:type="dcterms:W3CDTF">2019-03-15T17:45:00Z</dcterms:created>
  <dcterms:modified xsi:type="dcterms:W3CDTF">2019-05-01T15:11:00Z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17th edition (author-date)</vt:lpwstr>
  </property>
  <property fmtid="{D5CDD505-2E9C-101B-9397-08002B2CF9AE}" pid="6" name="Mendeley Recent Style Id 2_1">
    <vt:lpwstr>http://www.zotero.org/styles/harvard-cite-them-right</vt:lpwstr>
  </property>
  <property fmtid="{D5CDD505-2E9C-101B-9397-08002B2CF9AE}" pid="7" name="Mendeley Recent Style Name 2_1">
    <vt:lpwstr>Cite Them Right 10th edition - Harvard</vt:lpwstr>
  </property>
  <property fmtid="{D5CDD505-2E9C-101B-9397-08002B2CF9AE}" pid="8" name="Mendeley Recent Style Id 3_1">
    <vt:lpwstr>http://www.zotero.org/styles/ecological-indicators</vt:lpwstr>
  </property>
  <property fmtid="{D5CDD505-2E9C-101B-9397-08002B2CF9AE}" pid="9" name="Mendeley Recent Style Name 3_1">
    <vt:lpwstr>Ecological Indicators</vt:lpwstr>
  </property>
  <property fmtid="{D5CDD505-2E9C-101B-9397-08002B2CF9AE}" pid="10" name="Mendeley Recent Style Id 4_1">
    <vt:lpwstr>http://www.zotero.org/styles/journal-of-cleaner-production</vt:lpwstr>
  </property>
  <property fmtid="{D5CDD505-2E9C-101B-9397-08002B2CF9AE}" pid="11" name="Mendeley Recent Style Name 4_1">
    <vt:lpwstr>Journal of Cleaner Production</vt:lpwstr>
  </property>
  <property fmtid="{D5CDD505-2E9C-101B-9397-08002B2CF9AE}" pid="12" name="Mendeley Recent Style Id 5_1">
    <vt:lpwstr>http://www.zotero.org/styles/journal-of-environmental-management</vt:lpwstr>
  </property>
  <property fmtid="{D5CDD505-2E9C-101B-9397-08002B2CF9AE}" pid="13" name="Mendeley Recent Style Name 5_1">
    <vt:lpwstr>Journal of Environmental Management</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vt:lpwstr>
  </property>
  <property fmtid="{D5CDD505-2E9C-101B-9397-08002B2CF9AE}" pid="17" name="Mendeley Recent Style Name 7_1">
    <vt:lpwstr>Nature</vt:lpwstr>
  </property>
  <property fmtid="{D5CDD505-2E9C-101B-9397-08002B2CF9AE}" pid="18" name="Mendeley Recent Style Id 8_1">
    <vt:lpwstr>http://www.zotero.org/styles/resources-conservation-and-recycling</vt:lpwstr>
  </property>
  <property fmtid="{D5CDD505-2E9C-101B-9397-08002B2CF9AE}" pid="19" name="Mendeley Recent Style Name 8_1">
    <vt:lpwstr>Resources, Conservation &amp; Recycling</vt:lpwstr>
  </property>
  <property fmtid="{D5CDD505-2E9C-101B-9397-08002B2CF9AE}" pid="20" name="Mendeley Recent Style Id 9_1">
    <vt:lpwstr>http://www.zotero.org/styles/sustainability</vt:lpwstr>
  </property>
  <property fmtid="{D5CDD505-2E9C-101B-9397-08002B2CF9AE}" pid="21" name="Mendeley Recent Style Name 9_1">
    <vt:lpwstr>Sustainability</vt:lpwstr>
  </property>
</Properties>
</file>