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53" w:rsidRDefault="00327047" w:rsidP="004C69FC">
      <w:pPr>
        <w:spacing w:after="0" w:line="240" w:lineRule="auto"/>
        <w:jc w:val="both"/>
        <w:outlineLvl w:val="0"/>
        <w:rPr>
          <w:b/>
          <w:bCs/>
          <w:color w:val="000000"/>
          <w:sz w:val="22"/>
          <w:szCs w:val="22"/>
          <w:lang w:eastAsia="en-GB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  <w:lang w:eastAsia="en-GB"/>
        </w:rPr>
        <w:t xml:space="preserve">Supporting </w:t>
      </w:r>
      <w:r w:rsidR="00414F6C">
        <w:rPr>
          <w:b/>
          <w:bCs/>
          <w:color w:val="000000"/>
          <w:sz w:val="22"/>
          <w:szCs w:val="22"/>
          <w:lang w:eastAsia="en-GB"/>
        </w:rPr>
        <w:t>Information</w:t>
      </w:r>
    </w:p>
    <w:p w:rsidR="00ED0C53" w:rsidRDefault="00ED0C53" w:rsidP="004C69FC">
      <w:pPr>
        <w:spacing w:after="0" w:line="240" w:lineRule="auto"/>
        <w:jc w:val="both"/>
        <w:outlineLvl w:val="0"/>
        <w:rPr>
          <w:b/>
          <w:bCs/>
          <w:color w:val="000000"/>
          <w:sz w:val="22"/>
          <w:szCs w:val="22"/>
          <w:lang w:eastAsia="en-GB"/>
        </w:rPr>
      </w:pPr>
    </w:p>
    <w:p w:rsidR="00DA6BAD" w:rsidRDefault="004C69FC" w:rsidP="004C69FC">
      <w:pPr>
        <w:spacing w:after="0" w:line="240" w:lineRule="auto"/>
        <w:jc w:val="both"/>
        <w:outlineLvl w:val="0"/>
        <w:rPr>
          <w:b/>
          <w:bCs/>
          <w:color w:val="000000"/>
          <w:sz w:val="22"/>
          <w:szCs w:val="22"/>
          <w:lang w:eastAsia="en-GB"/>
        </w:rPr>
      </w:pPr>
      <w:r>
        <w:rPr>
          <w:b/>
          <w:bCs/>
          <w:color w:val="000000"/>
          <w:sz w:val="22"/>
          <w:szCs w:val="22"/>
          <w:lang w:eastAsia="en-GB"/>
        </w:rPr>
        <w:t>Characterization</w:t>
      </w:r>
      <w:r w:rsidRPr="0086557D">
        <w:rPr>
          <w:b/>
          <w:bCs/>
          <w:color w:val="000000"/>
          <w:sz w:val="22"/>
          <w:szCs w:val="22"/>
          <w:lang w:eastAsia="en-GB"/>
        </w:rPr>
        <w:t xml:space="preserve"> of </w:t>
      </w:r>
      <w:r>
        <w:rPr>
          <w:b/>
          <w:bCs/>
          <w:color w:val="000000"/>
          <w:sz w:val="22"/>
          <w:szCs w:val="22"/>
          <w:lang w:eastAsia="en-GB"/>
        </w:rPr>
        <w:t>particle-surface interactions via</w:t>
      </w:r>
      <w:r w:rsidRPr="0086557D">
        <w:rPr>
          <w:b/>
          <w:bCs/>
          <w:color w:val="000000"/>
          <w:sz w:val="22"/>
          <w:szCs w:val="22"/>
          <w:lang w:eastAsia="en-GB"/>
        </w:rPr>
        <w:t xml:space="preserve"> </w:t>
      </w:r>
      <w:r>
        <w:rPr>
          <w:b/>
          <w:bCs/>
          <w:color w:val="000000"/>
          <w:sz w:val="22"/>
          <w:szCs w:val="22"/>
          <w:lang w:eastAsia="en-GB"/>
        </w:rPr>
        <w:t xml:space="preserve">anharmonic </w:t>
      </w:r>
      <w:r w:rsidRPr="0086557D">
        <w:rPr>
          <w:b/>
          <w:bCs/>
          <w:color w:val="000000"/>
          <w:sz w:val="22"/>
          <w:szCs w:val="22"/>
          <w:lang w:eastAsia="en-GB"/>
        </w:rPr>
        <w:t>acoustic transduction</w:t>
      </w:r>
    </w:p>
    <w:p w:rsidR="00532D2B" w:rsidRDefault="00532D2B" w:rsidP="00CE6974">
      <w:pPr>
        <w:spacing w:after="0" w:line="240" w:lineRule="auto"/>
        <w:jc w:val="both"/>
        <w:outlineLvl w:val="0"/>
        <w:rPr>
          <w:b/>
          <w:bCs/>
          <w:color w:val="000000"/>
          <w:sz w:val="22"/>
          <w:szCs w:val="22"/>
          <w:lang w:eastAsia="en-GB"/>
        </w:rPr>
      </w:pPr>
    </w:p>
    <w:p w:rsidR="00036216" w:rsidRPr="00036216" w:rsidRDefault="00036216" w:rsidP="00036216">
      <w:pPr>
        <w:spacing w:after="0" w:line="240" w:lineRule="auto"/>
        <w:jc w:val="both"/>
        <w:rPr>
          <w:rFonts w:ascii="Calibri" w:eastAsia="Calibri" w:hAnsi="Calibri"/>
          <w:lang w:eastAsia="en-GB"/>
        </w:rPr>
      </w:pPr>
      <w:r w:rsidRPr="00036216">
        <w:rPr>
          <w:rFonts w:eastAsia="Calibri"/>
          <w:sz w:val="22"/>
          <w:szCs w:val="22"/>
          <w:lang w:eastAsia="en-GB"/>
        </w:rPr>
        <w:t>Carlos da Silva Granja</w:t>
      </w:r>
      <w:r w:rsidRPr="00036216">
        <w:rPr>
          <w:rFonts w:eastAsia="Calibri"/>
          <w:sz w:val="22"/>
          <w:szCs w:val="22"/>
          <w:vertAlign w:val="superscript"/>
          <w:lang w:eastAsia="en-GB"/>
        </w:rPr>
        <w:t>1</w:t>
      </w:r>
      <w:r w:rsidRPr="00036216">
        <w:rPr>
          <w:rFonts w:eastAsia="Calibri"/>
          <w:sz w:val="22"/>
          <w:szCs w:val="22"/>
          <w:lang w:eastAsia="en-GB"/>
        </w:rPr>
        <w:t>, Niklas Sandström</w:t>
      </w:r>
      <w:r w:rsidRPr="00036216">
        <w:rPr>
          <w:rFonts w:eastAsia="Calibri"/>
          <w:sz w:val="22"/>
          <w:szCs w:val="22"/>
          <w:vertAlign w:val="superscript"/>
          <w:lang w:eastAsia="en-GB"/>
        </w:rPr>
        <w:t>2</w:t>
      </w:r>
      <w:r w:rsidRPr="00036216">
        <w:rPr>
          <w:rFonts w:eastAsia="Calibri"/>
          <w:sz w:val="22"/>
          <w:szCs w:val="22"/>
          <w:lang w:eastAsia="en-GB"/>
        </w:rPr>
        <w:t>, Igor Efimov</w:t>
      </w:r>
      <w:r w:rsidRPr="00036216">
        <w:rPr>
          <w:rFonts w:eastAsia="Calibri"/>
          <w:sz w:val="22"/>
          <w:szCs w:val="22"/>
          <w:vertAlign w:val="superscript"/>
          <w:lang w:eastAsia="en-GB"/>
        </w:rPr>
        <w:t>1</w:t>
      </w:r>
      <w:r w:rsidRPr="00036216">
        <w:rPr>
          <w:rFonts w:eastAsia="Calibri"/>
          <w:sz w:val="22"/>
          <w:szCs w:val="22"/>
          <w:lang w:eastAsia="en-GB"/>
        </w:rPr>
        <w:t>, Victor P Ostanin</w:t>
      </w:r>
      <w:r w:rsidRPr="00036216">
        <w:rPr>
          <w:rFonts w:eastAsia="Calibri"/>
          <w:sz w:val="22"/>
          <w:szCs w:val="22"/>
          <w:vertAlign w:val="superscript"/>
          <w:lang w:eastAsia="en-GB"/>
        </w:rPr>
        <w:t>3</w:t>
      </w:r>
      <w:r w:rsidRPr="00036216">
        <w:rPr>
          <w:rFonts w:eastAsia="Calibri"/>
          <w:sz w:val="22"/>
          <w:szCs w:val="22"/>
          <w:lang w:eastAsia="en-GB"/>
        </w:rPr>
        <w:t>, Wouter van der Wijngaart</w:t>
      </w:r>
      <w:r w:rsidRPr="00036216">
        <w:rPr>
          <w:rFonts w:eastAsia="Calibri"/>
          <w:sz w:val="22"/>
          <w:szCs w:val="22"/>
          <w:vertAlign w:val="superscript"/>
          <w:lang w:eastAsia="en-GB"/>
        </w:rPr>
        <w:t>2</w:t>
      </w:r>
      <w:r w:rsidRPr="00036216">
        <w:rPr>
          <w:rFonts w:eastAsia="Calibri"/>
          <w:sz w:val="22"/>
          <w:szCs w:val="22"/>
          <w:lang w:eastAsia="en-GB"/>
        </w:rPr>
        <w:t>, David Klenerman</w:t>
      </w:r>
      <w:r w:rsidRPr="00036216">
        <w:rPr>
          <w:rFonts w:eastAsia="Calibri"/>
          <w:sz w:val="22"/>
          <w:szCs w:val="22"/>
          <w:vertAlign w:val="superscript"/>
          <w:lang w:eastAsia="en-GB"/>
        </w:rPr>
        <w:t>3</w:t>
      </w:r>
      <w:r w:rsidRPr="00036216">
        <w:rPr>
          <w:rFonts w:eastAsia="Calibri"/>
          <w:sz w:val="22"/>
          <w:szCs w:val="22"/>
          <w:lang w:eastAsia="en-GB"/>
        </w:rPr>
        <w:t>, Sourav K Ghosh</w:t>
      </w:r>
      <w:r w:rsidRPr="00036216">
        <w:rPr>
          <w:rFonts w:eastAsia="Calibri"/>
          <w:sz w:val="22"/>
          <w:szCs w:val="22"/>
          <w:vertAlign w:val="superscript"/>
          <w:lang w:eastAsia="en-GB"/>
        </w:rPr>
        <w:t>1</w:t>
      </w:r>
      <w:r w:rsidRPr="00036216">
        <w:rPr>
          <w:rFonts w:eastAsia="Calibri"/>
          <w:sz w:val="22"/>
          <w:szCs w:val="22"/>
          <w:lang w:eastAsia="en-GB"/>
        </w:rPr>
        <w:t>*</w:t>
      </w:r>
    </w:p>
    <w:p w:rsidR="00036216" w:rsidRPr="00036216" w:rsidRDefault="00036216" w:rsidP="00036216">
      <w:pPr>
        <w:spacing w:after="0" w:line="240" w:lineRule="auto"/>
        <w:jc w:val="both"/>
        <w:outlineLvl w:val="0"/>
        <w:rPr>
          <w:rFonts w:ascii="Calibri" w:eastAsia="Calibri" w:hAnsi="Calibri"/>
          <w:lang w:eastAsia="en-GB"/>
        </w:rPr>
      </w:pPr>
      <w:r w:rsidRPr="00036216">
        <w:rPr>
          <w:rFonts w:eastAsia="Calibri"/>
          <w:sz w:val="22"/>
          <w:szCs w:val="22"/>
          <w:lang w:eastAsia="en-GB"/>
        </w:rPr>
        <w:t>1 Centre for Biological Engineering, Loughborough University, UK</w:t>
      </w:r>
    </w:p>
    <w:p w:rsidR="00036216" w:rsidRPr="00036216" w:rsidRDefault="00036216" w:rsidP="00036216">
      <w:pPr>
        <w:spacing w:after="0" w:line="240" w:lineRule="auto"/>
        <w:jc w:val="both"/>
        <w:rPr>
          <w:rFonts w:ascii="Calibri" w:eastAsia="Calibri" w:hAnsi="Calibri"/>
          <w:lang w:eastAsia="en-GB"/>
        </w:rPr>
      </w:pPr>
      <w:proofErr w:type="gramStart"/>
      <w:r w:rsidRPr="00036216">
        <w:rPr>
          <w:rFonts w:eastAsia="Calibri"/>
          <w:sz w:val="22"/>
          <w:szCs w:val="22"/>
          <w:lang w:eastAsia="en-GB"/>
        </w:rPr>
        <w:t>2 Micro</w:t>
      </w:r>
      <w:proofErr w:type="gramEnd"/>
      <w:r w:rsidRPr="00036216">
        <w:rPr>
          <w:rFonts w:eastAsia="Calibri"/>
          <w:sz w:val="22"/>
          <w:szCs w:val="22"/>
          <w:lang w:eastAsia="en-GB"/>
        </w:rPr>
        <w:t xml:space="preserve"> and Nanosystems, KTH Royal Institute of Technology, Sweden</w:t>
      </w:r>
    </w:p>
    <w:p w:rsidR="00036216" w:rsidRPr="00036216" w:rsidRDefault="00036216" w:rsidP="00036216">
      <w:pPr>
        <w:spacing w:after="0" w:line="240" w:lineRule="auto"/>
        <w:jc w:val="both"/>
        <w:rPr>
          <w:rFonts w:ascii="Calibri" w:eastAsia="Calibri" w:hAnsi="Calibri"/>
          <w:lang w:eastAsia="en-GB"/>
        </w:rPr>
      </w:pPr>
      <w:r w:rsidRPr="00036216">
        <w:rPr>
          <w:rFonts w:eastAsia="Calibri"/>
          <w:sz w:val="22"/>
          <w:szCs w:val="22"/>
          <w:lang w:eastAsia="en-GB"/>
        </w:rPr>
        <w:t>3 Department of Chemistry, University of Cambridge, UK</w:t>
      </w:r>
    </w:p>
    <w:p w:rsidR="00036216" w:rsidRDefault="00036216" w:rsidP="00036216">
      <w:pPr>
        <w:spacing w:after="0" w:line="240" w:lineRule="auto"/>
        <w:jc w:val="both"/>
        <w:outlineLvl w:val="0"/>
        <w:rPr>
          <w:b/>
          <w:bCs/>
          <w:color w:val="000000"/>
          <w:sz w:val="22"/>
          <w:szCs w:val="22"/>
          <w:lang w:eastAsia="en-GB"/>
        </w:rPr>
      </w:pPr>
      <w:r w:rsidRPr="00036216">
        <w:rPr>
          <w:rFonts w:eastAsia="Calibri"/>
          <w:sz w:val="22"/>
          <w:szCs w:val="22"/>
          <w:lang w:eastAsia="en-GB"/>
        </w:rPr>
        <w:t>* Corresponding author</w:t>
      </w:r>
    </w:p>
    <w:p w:rsidR="00036216" w:rsidRDefault="00036216" w:rsidP="00AB51E5">
      <w:pPr>
        <w:spacing w:after="0" w:line="240" w:lineRule="auto"/>
        <w:jc w:val="both"/>
        <w:outlineLvl w:val="0"/>
        <w:rPr>
          <w:b/>
          <w:bCs/>
          <w:color w:val="000000"/>
          <w:sz w:val="22"/>
          <w:szCs w:val="22"/>
          <w:lang w:eastAsia="en-GB"/>
        </w:rPr>
      </w:pPr>
    </w:p>
    <w:p w:rsidR="004C69FC" w:rsidRDefault="004C69FC" w:rsidP="00AB51E5">
      <w:pPr>
        <w:spacing w:after="0" w:line="240" w:lineRule="auto"/>
        <w:jc w:val="both"/>
        <w:outlineLvl w:val="0"/>
        <w:rPr>
          <w:b/>
          <w:bCs/>
          <w:color w:val="000000"/>
          <w:sz w:val="22"/>
          <w:szCs w:val="22"/>
          <w:lang w:eastAsia="en-GB"/>
        </w:rPr>
      </w:pPr>
    </w:p>
    <w:p w:rsidR="00AB51E5" w:rsidRPr="00DF4568" w:rsidRDefault="00A10C0E" w:rsidP="00AB51E5">
      <w:pPr>
        <w:spacing w:after="0" w:line="240" w:lineRule="auto"/>
        <w:jc w:val="both"/>
        <w:outlineLvl w:val="0"/>
        <w:rPr>
          <w:b/>
          <w:bCs/>
          <w:color w:val="000000"/>
          <w:sz w:val="22"/>
          <w:szCs w:val="22"/>
          <w:lang w:eastAsia="en-GB"/>
        </w:rPr>
      </w:pPr>
      <w:r>
        <w:rPr>
          <w:b/>
          <w:bCs/>
          <w:color w:val="000000"/>
          <w:sz w:val="22"/>
          <w:szCs w:val="22"/>
          <w:lang w:eastAsia="en-GB"/>
        </w:rPr>
        <w:t>§</w:t>
      </w:r>
      <w:r w:rsidR="00414F6C">
        <w:rPr>
          <w:b/>
          <w:bCs/>
          <w:color w:val="000000"/>
          <w:sz w:val="22"/>
          <w:szCs w:val="22"/>
          <w:lang w:eastAsia="en-GB"/>
        </w:rPr>
        <w:t xml:space="preserve">1. </w:t>
      </w:r>
      <w:r w:rsidR="00AB51E5">
        <w:rPr>
          <w:b/>
          <w:bCs/>
          <w:color w:val="000000"/>
          <w:sz w:val="22"/>
          <w:szCs w:val="22"/>
          <w:lang w:eastAsia="en-GB"/>
        </w:rPr>
        <w:t xml:space="preserve">Loop feature </w:t>
      </w:r>
      <w:r w:rsidR="00AB51E5" w:rsidRPr="00257B07">
        <w:rPr>
          <w:b/>
          <w:bCs/>
          <w:color w:val="000000"/>
          <w:sz w:val="22"/>
          <w:szCs w:val="22"/>
          <w:lang w:eastAsia="en-GB"/>
        </w:rPr>
        <w:t xml:space="preserve">of </w:t>
      </w:r>
      <m:oMath>
        <m:sSub>
          <m:sSubPr>
            <m:ctrlPr>
              <w:rPr>
                <w:rFonts w:ascii="Cambria Math" w:hAnsi="Cambria Math"/>
                <w:color w:val="000000"/>
                <w:lang w:eastAsia="en-GB"/>
              </w:rPr>
            </m:ctrlPr>
          </m:sSubPr>
          <m:e>
            <m:r>
              <w:rPr>
                <w:rFonts w:ascii="Cambria Math" w:hAnsi="Cambria Math"/>
                <w:color w:val="000000"/>
                <w:lang w:eastAsia="en-GB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lang w:eastAsia="en-GB"/>
              </w:rPr>
              <m:t>3f</m:t>
            </m:r>
          </m:sub>
        </m:sSub>
      </m:oMath>
      <w:r w:rsidR="00AB51E5" w:rsidRPr="00257B07">
        <w:rPr>
          <w:color w:val="000000"/>
          <w:lang w:eastAsia="en-GB"/>
        </w:rPr>
        <w:t>-</w:t>
      </w:r>
      <m:oMath>
        <m:sSub>
          <m:sSubPr>
            <m:ctrlPr>
              <w:rPr>
                <w:rFonts w:ascii="Cambria Math" w:hAnsi="Cambria Math"/>
                <w:color w:val="000000"/>
                <w:lang w:eastAsia="en-GB"/>
              </w:rPr>
            </m:ctrlPr>
          </m:sSubPr>
          <m:e>
            <m:r>
              <w:rPr>
                <w:rFonts w:ascii="Cambria Math" w:hAnsi="Cambria Math"/>
                <w:color w:val="000000"/>
                <w:lang w:eastAsia="en-GB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lang w:eastAsia="en-GB"/>
              </w:rPr>
              <m:t>1f</m:t>
            </m:r>
          </m:sub>
        </m:sSub>
      </m:oMath>
      <w:r w:rsidR="00AB51E5" w:rsidRPr="00257B07">
        <w:rPr>
          <w:b/>
          <w:bCs/>
          <w:color w:val="000000"/>
          <w:sz w:val="22"/>
          <w:szCs w:val="22"/>
          <w:lang w:eastAsia="en-GB"/>
        </w:rPr>
        <w:t xml:space="preserve"> graph</w:t>
      </w:r>
    </w:p>
    <w:p w:rsidR="007C5F1B" w:rsidRDefault="00043796" w:rsidP="00AB51E5">
      <w:pPr>
        <w:spacing w:after="0" w:line="240" w:lineRule="auto"/>
        <w:jc w:val="both"/>
        <w:outlineLvl w:val="0"/>
        <w:rPr>
          <w:color w:val="000000"/>
          <w:sz w:val="22"/>
          <w:szCs w:val="22"/>
          <w:lang w:eastAsia="en-GB"/>
        </w:rPr>
      </w:pPr>
      <w:r>
        <w:rPr>
          <w:color w:val="000000"/>
          <w:sz w:val="22"/>
          <w:szCs w:val="22"/>
          <w:lang w:eastAsia="en-GB"/>
        </w:rPr>
        <w:t xml:space="preserve">The peak value of </w:t>
      </w:r>
      <m:oMath>
        <m:sSub>
          <m:sSubPr>
            <m:ctrlPr>
              <w:rPr>
                <w:rFonts w:ascii="Cambria Math" w:hAnsi="Cambria Math"/>
                <w:color w:val="000000"/>
                <w:lang w:eastAsia="en-GB"/>
              </w:rPr>
            </m:ctrlPr>
          </m:sSubPr>
          <m:e>
            <m:r>
              <w:rPr>
                <w:rFonts w:ascii="Cambria Math" w:hAnsi="Cambria Math"/>
                <w:color w:val="000000"/>
                <w:lang w:eastAsia="en-GB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lang w:eastAsia="en-GB"/>
              </w:rPr>
              <m:t>1f</m:t>
            </m:r>
          </m:sub>
        </m:sSub>
      </m:oMath>
      <w:r>
        <w:rPr>
          <w:color w:val="000000"/>
          <w:sz w:val="22"/>
          <w:szCs w:val="22"/>
          <w:lang w:eastAsia="en-GB"/>
        </w:rPr>
        <w:t xml:space="preserve"> is </w:t>
      </w:r>
      <w:r w:rsidR="00640BF6">
        <w:rPr>
          <w:color w:val="000000"/>
          <w:sz w:val="22"/>
          <w:szCs w:val="22"/>
          <w:lang w:eastAsia="en-GB"/>
        </w:rPr>
        <w:t xml:space="preserve">achieved </w:t>
      </w:r>
      <w:r>
        <w:rPr>
          <w:color w:val="000000"/>
          <w:sz w:val="22"/>
          <w:szCs w:val="22"/>
          <w:lang w:eastAsia="en-GB"/>
        </w:rPr>
        <w:t xml:space="preserve">when </w:t>
      </w:r>
      <m:oMath>
        <m:r>
          <w:rPr>
            <w:rFonts w:ascii="Cambria Math" w:hAnsi="Cambria Math"/>
            <w:color w:val="000000"/>
            <w:lang w:eastAsia="en-GB"/>
          </w:rPr>
          <m:t>ω</m:t>
        </m:r>
      </m:oMath>
      <w:r>
        <w:rPr>
          <w:color w:val="000000"/>
          <w:sz w:val="22"/>
          <w:szCs w:val="22"/>
          <w:lang w:eastAsia="en-GB"/>
        </w:rPr>
        <w:t xml:space="preserve"> is close to</w:t>
      </w:r>
      <w:r w:rsidR="004F2A75">
        <w:rPr>
          <w:color w:val="000000"/>
          <w:sz w:val="22"/>
          <w:szCs w:val="22"/>
          <w:lang w:eastAsia="en-GB"/>
        </w:rPr>
        <w:t xml:space="preserve"> the fundamental resonance</w:t>
      </w:r>
      <w:r>
        <w:rPr>
          <w:color w:val="000000"/>
          <w:sz w:val="22"/>
          <w:szCs w:val="22"/>
          <w:lang w:eastAsia="en-GB"/>
        </w:rPr>
        <w:t xml:space="preserve">. </w:t>
      </w:r>
      <m:oMath>
        <m:sSub>
          <m:sSubPr>
            <m:ctrlPr>
              <w:rPr>
                <w:rFonts w:ascii="Cambria Math" w:hAnsi="Cambria Math"/>
                <w:color w:val="000000"/>
                <w:lang w:eastAsia="en-GB"/>
              </w:rPr>
            </m:ctrlPr>
          </m:sSubPr>
          <m:e>
            <m:r>
              <w:rPr>
                <w:rFonts w:ascii="Cambria Math" w:hAnsi="Cambria Math"/>
                <w:color w:val="000000"/>
                <w:lang w:eastAsia="en-GB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lang w:eastAsia="en-GB"/>
              </w:rPr>
              <m:t>3f</m:t>
            </m:r>
          </m:sub>
        </m:sSub>
      </m:oMath>
      <w:r>
        <w:rPr>
          <w:color w:val="000000"/>
          <w:sz w:val="22"/>
          <w:szCs w:val="22"/>
          <w:lang w:eastAsia="en-GB"/>
        </w:rPr>
        <w:t xml:space="preserve"> </w:t>
      </w:r>
      <w:proofErr w:type="gramStart"/>
      <w:r w:rsidR="0020377C">
        <w:rPr>
          <w:color w:val="000000"/>
          <w:sz w:val="22"/>
          <w:szCs w:val="22"/>
          <w:lang w:eastAsia="en-GB"/>
        </w:rPr>
        <w:t>increases</w:t>
      </w:r>
      <w:proofErr w:type="gramEnd"/>
      <w:r w:rsidR="0020377C">
        <w:rPr>
          <w:color w:val="000000"/>
          <w:sz w:val="22"/>
          <w:szCs w:val="22"/>
          <w:lang w:eastAsia="en-GB"/>
        </w:rPr>
        <w:t xml:space="preserve"> as a cubic function of </w:t>
      </w:r>
      <m:oMath>
        <m:sSub>
          <m:sSubPr>
            <m:ctrlPr>
              <w:rPr>
                <w:rFonts w:ascii="Cambria Math" w:hAnsi="Cambria Math"/>
                <w:color w:val="000000"/>
                <w:lang w:eastAsia="en-GB"/>
              </w:rPr>
            </m:ctrlPr>
          </m:sSubPr>
          <m:e>
            <m:r>
              <w:rPr>
                <w:rFonts w:ascii="Cambria Math" w:hAnsi="Cambria Math"/>
                <w:color w:val="000000"/>
                <w:lang w:eastAsia="en-GB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lang w:eastAsia="en-GB"/>
              </w:rPr>
              <m:t>1f</m:t>
            </m:r>
          </m:sub>
        </m:sSub>
      </m:oMath>
      <w:r w:rsidR="0020377C">
        <w:rPr>
          <w:color w:val="000000"/>
          <w:lang w:eastAsia="en-GB"/>
        </w:rPr>
        <w:t xml:space="preserve"> </w:t>
      </w:r>
      <w:r w:rsidR="0020377C">
        <w:rPr>
          <w:color w:val="000000"/>
          <w:sz w:val="22"/>
          <w:szCs w:val="22"/>
          <w:lang w:eastAsia="en-GB"/>
        </w:rPr>
        <w:t>as suggested by Eq.5</w:t>
      </w:r>
      <w:r w:rsidR="00AB51E5">
        <w:rPr>
          <w:color w:val="000000"/>
          <w:sz w:val="22"/>
          <w:szCs w:val="22"/>
          <w:lang w:eastAsia="en-GB"/>
        </w:rPr>
        <w:t xml:space="preserve"> in the article</w:t>
      </w:r>
      <w:r w:rsidR="00963D3B">
        <w:rPr>
          <w:color w:val="000000"/>
          <w:sz w:val="22"/>
          <w:szCs w:val="22"/>
          <w:lang w:eastAsia="en-GB"/>
        </w:rPr>
        <w:t xml:space="preserve"> (note the current is proportional to the oscillation amplitude)</w:t>
      </w:r>
      <w:r w:rsidR="0020377C">
        <w:rPr>
          <w:color w:val="000000"/>
          <w:sz w:val="22"/>
          <w:szCs w:val="22"/>
          <w:lang w:eastAsia="en-GB"/>
        </w:rPr>
        <w:t xml:space="preserve">, but it </w:t>
      </w:r>
      <w:r>
        <w:rPr>
          <w:color w:val="000000"/>
          <w:sz w:val="22"/>
          <w:szCs w:val="22"/>
          <w:lang w:eastAsia="en-GB"/>
        </w:rPr>
        <w:t xml:space="preserve">is </w:t>
      </w:r>
      <w:r w:rsidR="0020377C">
        <w:rPr>
          <w:color w:val="000000"/>
          <w:sz w:val="22"/>
          <w:szCs w:val="22"/>
          <w:lang w:eastAsia="en-GB"/>
        </w:rPr>
        <w:t xml:space="preserve">also </w:t>
      </w:r>
      <w:r>
        <w:rPr>
          <w:color w:val="000000"/>
          <w:sz w:val="22"/>
          <w:szCs w:val="22"/>
          <w:lang w:eastAsia="en-GB"/>
        </w:rPr>
        <w:t xml:space="preserve">modified by </w:t>
      </w:r>
      <w:r w:rsidR="008C73BF">
        <w:rPr>
          <w:color w:val="000000"/>
          <w:sz w:val="22"/>
          <w:szCs w:val="22"/>
          <w:lang w:eastAsia="en-GB"/>
        </w:rPr>
        <w:t xml:space="preserve">its proximity to </w:t>
      </w:r>
      <w:r>
        <w:rPr>
          <w:color w:val="000000"/>
          <w:sz w:val="22"/>
          <w:szCs w:val="22"/>
          <w:lang w:eastAsia="en-GB"/>
        </w:rPr>
        <w:t>the third overtone resonance</w:t>
      </w:r>
      <w:r w:rsidR="0066333A">
        <w:rPr>
          <w:color w:val="000000"/>
          <w:sz w:val="22"/>
          <w:szCs w:val="22"/>
          <w:lang w:eastAsia="en-GB"/>
        </w:rPr>
        <w:t xml:space="preserve">. Since the third overtone resonance does not coincide </w:t>
      </w:r>
      <w:r w:rsidR="00936013">
        <w:rPr>
          <w:color w:val="000000"/>
          <w:sz w:val="22"/>
          <w:szCs w:val="22"/>
          <w:lang w:eastAsia="en-GB"/>
        </w:rPr>
        <w:t xml:space="preserve">exactly at </w:t>
      </w:r>
      <m:oMath>
        <m:sSub>
          <m:sSubPr>
            <m:ctrlPr>
              <w:rPr>
                <w:rFonts w:ascii="Cambria Math" w:hAnsi="Cambria Math"/>
                <w:color w:val="000000"/>
                <w:lang w:eastAsia="en-GB"/>
              </w:rPr>
            </m:ctrlPr>
          </m:sSubPr>
          <m:e>
            <m:r>
              <w:rPr>
                <w:rFonts w:ascii="Cambria Math" w:hAnsi="Cambria Math"/>
                <w:color w:val="000000"/>
                <w:lang w:eastAsia="en-GB"/>
              </w:rPr>
              <m:t>3ω</m:t>
            </m:r>
          </m:e>
          <m:sub>
            <m:r>
              <w:rPr>
                <w:rFonts w:ascii="Cambria Math" w:hAnsi="Cambria Math"/>
                <w:color w:val="000000"/>
                <w:lang w:eastAsia="en-GB"/>
              </w:rPr>
              <m:t>0</m:t>
            </m:r>
          </m:sub>
        </m:sSub>
      </m:oMath>
      <w:r w:rsidR="00936013">
        <w:rPr>
          <w:color w:val="000000"/>
          <w:sz w:val="22"/>
          <w:szCs w:val="22"/>
          <w:lang w:eastAsia="en-GB"/>
        </w:rPr>
        <w:t xml:space="preserve"> but</w:t>
      </w:r>
      <w:r>
        <w:rPr>
          <w:color w:val="000000"/>
          <w:sz w:val="22"/>
          <w:szCs w:val="22"/>
          <w:lang w:eastAsia="en-GB"/>
        </w:rPr>
        <w:t xml:space="preserve"> </w:t>
      </w:r>
      <w:r w:rsidR="00963D3B">
        <w:rPr>
          <w:color w:val="000000"/>
          <w:sz w:val="22"/>
          <w:szCs w:val="22"/>
          <w:lang w:eastAsia="en-GB"/>
        </w:rPr>
        <w:t xml:space="preserve">is </w:t>
      </w:r>
      <w:r w:rsidR="00936013">
        <w:rPr>
          <w:color w:val="000000"/>
          <w:sz w:val="22"/>
          <w:szCs w:val="22"/>
          <w:lang w:eastAsia="en-GB"/>
        </w:rPr>
        <w:t xml:space="preserve">slightly shifted </w:t>
      </w:r>
      <w:r w:rsidR="00BF034E">
        <w:rPr>
          <w:color w:val="000000"/>
          <w:sz w:val="22"/>
          <w:szCs w:val="22"/>
          <w:lang w:eastAsia="en-GB"/>
        </w:rPr>
        <w:t xml:space="preserve">upwards </w:t>
      </w:r>
      <w:proofErr w:type="gramStart"/>
      <w:r w:rsidR="00936013">
        <w:rPr>
          <w:color w:val="000000"/>
          <w:sz w:val="22"/>
          <w:szCs w:val="22"/>
          <w:lang w:eastAsia="en-GB"/>
        </w:rPr>
        <w:t xml:space="preserve">by </w:t>
      </w:r>
      <w:proofErr w:type="gramEnd"/>
      <m:oMath>
        <m:r>
          <w:rPr>
            <w:rFonts w:ascii="Cambria Math" w:hAnsi="Cambria Math"/>
            <w:color w:val="000000"/>
            <w:lang w:eastAsia="en-GB"/>
          </w:rPr>
          <m:t>ϵ</m:t>
        </m:r>
      </m:oMath>
      <w:r w:rsidR="00936013">
        <w:rPr>
          <w:color w:val="000000"/>
          <w:sz w:val="22"/>
          <w:szCs w:val="22"/>
          <w:lang w:eastAsia="en-GB"/>
        </w:rPr>
        <w:t xml:space="preserve">, </w:t>
      </w:r>
      <w:r>
        <w:rPr>
          <w:color w:val="000000"/>
          <w:sz w:val="22"/>
          <w:szCs w:val="22"/>
          <w:lang w:eastAsia="en-GB"/>
        </w:rPr>
        <w:t xml:space="preserve">the </w:t>
      </w:r>
      <w:r w:rsidR="00936013">
        <w:rPr>
          <w:color w:val="000000"/>
          <w:sz w:val="22"/>
          <w:szCs w:val="22"/>
          <w:lang w:eastAsia="en-GB"/>
        </w:rPr>
        <w:t xml:space="preserve">peak </w:t>
      </w:r>
      <w:r>
        <w:rPr>
          <w:color w:val="000000"/>
          <w:sz w:val="22"/>
          <w:szCs w:val="22"/>
          <w:lang w:eastAsia="en-GB"/>
        </w:rPr>
        <w:t xml:space="preserve">value of </w:t>
      </w:r>
      <m:oMath>
        <m:sSub>
          <m:sSubPr>
            <m:ctrlPr>
              <w:rPr>
                <w:rFonts w:ascii="Cambria Math" w:hAnsi="Cambria Math"/>
                <w:color w:val="000000"/>
                <w:lang w:eastAsia="en-GB"/>
              </w:rPr>
            </m:ctrlPr>
          </m:sSubPr>
          <m:e>
            <m:r>
              <w:rPr>
                <w:rFonts w:ascii="Cambria Math" w:hAnsi="Cambria Math"/>
                <w:color w:val="000000"/>
                <w:lang w:eastAsia="en-GB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lang w:eastAsia="en-GB"/>
              </w:rPr>
              <m:t>3f</m:t>
            </m:r>
          </m:sub>
        </m:sSub>
      </m:oMath>
      <w:r>
        <w:rPr>
          <w:color w:val="000000"/>
          <w:sz w:val="22"/>
          <w:szCs w:val="22"/>
          <w:lang w:eastAsia="en-GB"/>
        </w:rPr>
        <w:t xml:space="preserve"> is </w:t>
      </w:r>
      <w:r w:rsidR="0066333A">
        <w:rPr>
          <w:color w:val="000000"/>
          <w:sz w:val="22"/>
          <w:szCs w:val="22"/>
          <w:lang w:eastAsia="en-GB"/>
        </w:rPr>
        <w:t xml:space="preserve">thus </w:t>
      </w:r>
      <w:r w:rsidR="00640BF6">
        <w:rPr>
          <w:color w:val="000000"/>
          <w:sz w:val="22"/>
          <w:szCs w:val="22"/>
          <w:lang w:eastAsia="en-GB"/>
        </w:rPr>
        <w:t xml:space="preserve">achieved for a </w:t>
      </w:r>
      <w:r w:rsidRPr="00043796">
        <w:rPr>
          <w:color w:val="000000"/>
          <w:sz w:val="22"/>
          <w:szCs w:val="22"/>
          <w:lang w:eastAsia="en-GB"/>
        </w:rPr>
        <w:t xml:space="preserve">slightly </w:t>
      </w:r>
      <w:r w:rsidR="00640BF6">
        <w:rPr>
          <w:color w:val="000000"/>
          <w:sz w:val="22"/>
          <w:szCs w:val="22"/>
          <w:lang w:eastAsia="en-GB"/>
        </w:rPr>
        <w:t xml:space="preserve">higher value of </w:t>
      </w:r>
      <m:oMath>
        <m:r>
          <w:rPr>
            <w:rFonts w:ascii="Cambria Math" w:hAnsi="Cambria Math"/>
            <w:color w:val="000000"/>
            <w:lang w:eastAsia="en-GB"/>
          </w:rPr>
          <m:t>ω</m:t>
        </m:r>
      </m:oMath>
      <w:r w:rsidRPr="00BF034E">
        <w:rPr>
          <w:color w:val="000000"/>
          <w:sz w:val="22"/>
          <w:szCs w:val="22"/>
          <w:lang w:eastAsia="en-GB"/>
        </w:rPr>
        <w:t>. As a result, the</w:t>
      </w:r>
      <w:r w:rsidR="002627A3">
        <w:rPr>
          <w:color w:val="000000"/>
          <w:sz w:val="22"/>
          <w:szCs w:val="22"/>
          <w:lang w:eastAsia="en-GB"/>
        </w:rPr>
        <w:t xml:space="preserve"> parametric</w:t>
      </w:r>
      <w:r w:rsidRPr="00BF034E">
        <w:rPr>
          <w:color w:val="000000"/>
          <w:sz w:val="22"/>
          <w:szCs w:val="22"/>
          <w:lang w:eastAsia="en-GB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/>
                <w:lang w:eastAsia="en-GB"/>
              </w:rPr>
            </m:ctrlPr>
          </m:sSubPr>
          <m:e>
            <m:r>
              <w:rPr>
                <w:rFonts w:ascii="Cambria Math" w:hAnsi="Cambria Math"/>
                <w:color w:val="000000"/>
                <w:lang w:eastAsia="en-GB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lang w:eastAsia="en-GB"/>
              </w:rPr>
              <m:t>3f</m:t>
            </m:r>
          </m:sub>
        </m:sSub>
        <m:r>
          <w:rPr>
            <w:rFonts w:ascii="Cambria Math" w:hAnsi="Cambria Math"/>
            <w:color w:val="000000"/>
            <w:lang w:eastAsia="en-GB"/>
          </w:rPr>
          <m:t>(ω)</m:t>
        </m:r>
      </m:oMath>
      <w:r w:rsidRPr="00BF034E">
        <w:rPr>
          <w:color w:val="000000"/>
          <w:lang w:eastAsia="en-GB"/>
        </w:rPr>
        <w:t>-</w:t>
      </w:r>
      <m:oMath>
        <m:sSub>
          <m:sSubPr>
            <m:ctrlPr>
              <w:rPr>
                <w:rFonts w:ascii="Cambria Math" w:hAnsi="Cambria Math"/>
                <w:color w:val="000000"/>
                <w:lang w:eastAsia="en-GB"/>
              </w:rPr>
            </m:ctrlPr>
          </m:sSubPr>
          <m:e>
            <m:r>
              <w:rPr>
                <w:rFonts w:ascii="Cambria Math" w:hAnsi="Cambria Math"/>
                <w:color w:val="000000"/>
                <w:lang w:eastAsia="en-GB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lang w:eastAsia="en-GB"/>
              </w:rPr>
              <m:t>1f</m:t>
            </m:r>
          </m:sub>
        </m:sSub>
        <m:r>
          <w:rPr>
            <w:rFonts w:ascii="Cambria Math" w:hAnsi="Cambria Math"/>
            <w:color w:val="000000"/>
            <w:lang w:eastAsia="en-GB"/>
          </w:rPr>
          <m:t>(ω)</m:t>
        </m:r>
      </m:oMath>
      <w:r w:rsidRPr="00BF034E">
        <w:rPr>
          <w:color w:val="000000"/>
          <w:sz w:val="22"/>
          <w:szCs w:val="22"/>
          <w:lang w:eastAsia="en-GB"/>
        </w:rPr>
        <w:t xml:space="preserve"> graph gives a loop</w:t>
      </w:r>
      <w:r w:rsidR="00AB51E5">
        <w:rPr>
          <w:color w:val="000000"/>
          <w:sz w:val="22"/>
          <w:szCs w:val="22"/>
          <w:lang w:eastAsia="en-GB"/>
        </w:rPr>
        <w:t xml:space="preserve"> as noted in </w:t>
      </w:r>
      <w:r w:rsidR="00AB51E5" w:rsidRPr="00AB51E5">
        <w:rPr>
          <w:b/>
          <w:bCs/>
          <w:color w:val="000000"/>
          <w:sz w:val="22"/>
          <w:szCs w:val="22"/>
          <w:lang w:eastAsia="en-GB"/>
        </w:rPr>
        <w:t>Figure 1c</w:t>
      </w:r>
      <w:r w:rsidR="00AB51E5" w:rsidRPr="00AB51E5">
        <w:rPr>
          <w:color w:val="000000"/>
          <w:sz w:val="22"/>
          <w:szCs w:val="22"/>
          <w:lang w:eastAsia="en-GB"/>
        </w:rPr>
        <w:t xml:space="preserve"> of the article</w:t>
      </w:r>
      <w:r w:rsidRPr="00BF034E">
        <w:rPr>
          <w:color w:val="000000"/>
          <w:sz w:val="22"/>
          <w:szCs w:val="22"/>
          <w:lang w:eastAsia="en-GB"/>
        </w:rPr>
        <w:t>.</w:t>
      </w:r>
      <w:r w:rsidR="00FC75B6" w:rsidRPr="00BF034E">
        <w:rPr>
          <w:color w:val="000000"/>
          <w:sz w:val="22"/>
          <w:szCs w:val="22"/>
          <w:lang w:eastAsia="en-GB"/>
        </w:rPr>
        <w:t xml:space="preserve"> The </w:t>
      </w:r>
      <m:oMath>
        <m:sSub>
          <m:sSubPr>
            <m:ctrlPr>
              <w:rPr>
                <w:rFonts w:ascii="Cambria Math" w:hAnsi="Cambria Math"/>
                <w:color w:val="000000"/>
                <w:lang w:eastAsia="en-GB"/>
              </w:rPr>
            </m:ctrlPr>
          </m:sSubPr>
          <m:e>
            <m:r>
              <w:rPr>
                <w:rFonts w:ascii="Cambria Math" w:hAnsi="Cambria Math"/>
                <w:color w:val="000000"/>
                <w:lang w:eastAsia="en-GB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lang w:eastAsia="en-GB"/>
              </w:rPr>
              <m:t>1f</m:t>
            </m:r>
          </m:sub>
        </m:sSub>
      </m:oMath>
      <w:r w:rsidR="00FC75B6" w:rsidRPr="00BF034E">
        <w:rPr>
          <w:color w:val="000000"/>
          <w:lang w:eastAsia="en-GB"/>
        </w:rPr>
        <w:t>-</w:t>
      </w:r>
      <m:oMath>
        <m:r>
          <w:rPr>
            <w:rFonts w:ascii="Cambria Math" w:hAnsi="Cambria Math"/>
            <w:color w:val="000000"/>
            <w:lang w:eastAsia="en-GB"/>
          </w:rPr>
          <m:t>ω</m:t>
        </m:r>
      </m:oMath>
      <w:r w:rsidR="00FC75B6" w:rsidRPr="00BF034E">
        <w:rPr>
          <w:color w:val="000000"/>
          <w:sz w:val="22"/>
          <w:szCs w:val="22"/>
          <w:lang w:eastAsia="en-GB"/>
        </w:rPr>
        <w:t xml:space="preserve"> and</w:t>
      </w:r>
      <w:r w:rsidR="002627A3">
        <w:rPr>
          <w:color w:val="000000"/>
          <w:sz w:val="22"/>
          <w:szCs w:val="22"/>
          <w:lang w:eastAsia="en-GB"/>
        </w:rPr>
        <w:t xml:space="preserve"> parametric</w:t>
      </w:r>
      <w:r w:rsidR="0020377C">
        <w:rPr>
          <w:color w:val="000000"/>
          <w:sz w:val="22"/>
          <w:szCs w:val="22"/>
          <w:lang w:eastAsia="en-GB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/>
                <w:lang w:eastAsia="en-GB"/>
              </w:rPr>
            </m:ctrlPr>
          </m:sSubPr>
          <m:e>
            <m:r>
              <w:rPr>
                <w:rFonts w:ascii="Cambria Math" w:hAnsi="Cambria Math"/>
                <w:color w:val="000000"/>
                <w:lang w:eastAsia="en-GB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lang w:eastAsia="en-GB"/>
              </w:rPr>
              <m:t>3f</m:t>
            </m:r>
          </m:sub>
        </m:sSub>
        <m:r>
          <w:rPr>
            <w:rFonts w:ascii="Cambria Math" w:hAnsi="Cambria Math"/>
            <w:color w:val="000000"/>
            <w:lang w:eastAsia="en-GB"/>
          </w:rPr>
          <m:t>(ω)</m:t>
        </m:r>
      </m:oMath>
      <w:r w:rsidR="00A54212" w:rsidRPr="00BF034E">
        <w:rPr>
          <w:color w:val="000000"/>
          <w:lang w:eastAsia="en-GB"/>
        </w:rPr>
        <w:t>-</w:t>
      </w:r>
      <m:oMath>
        <m:sSub>
          <m:sSubPr>
            <m:ctrlPr>
              <w:rPr>
                <w:rFonts w:ascii="Cambria Math" w:hAnsi="Cambria Math"/>
                <w:color w:val="000000"/>
                <w:lang w:eastAsia="en-GB"/>
              </w:rPr>
            </m:ctrlPr>
          </m:sSubPr>
          <m:e>
            <m:r>
              <w:rPr>
                <w:rFonts w:ascii="Cambria Math" w:hAnsi="Cambria Math"/>
                <w:color w:val="000000"/>
                <w:lang w:eastAsia="en-GB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lang w:eastAsia="en-GB"/>
              </w:rPr>
              <m:t>1f</m:t>
            </m:r>
          </m:sub>
        </m:sSub>
        <m:r>
          <w:rPr>
            <w:rFonts w:ascii="Cambria Math" w:hAnsi="Cambria Math"/>
            <w:color w:val="000000"/>
            <w:lang w:eastAsia="en-GB"/>
          </w:rPr>
          <m:t>(ω)</m:t>
        </m:r>
      </m:oMath>
      <w:r w:rsidR="00A54212" w:rsidRPr="00BF034E">
        <w:rPr>
          <w:color w:val="000000"/>
          <w:sz w:val="22"/>
          <w:szCs w:val="22"/>
          <w:lang w:eastAsia="en-GB"/>
        </w:rPr>
        <w:t xml:space="preserve"> </w:t>
      </w:r>
      <w:r w:rsidRPr="00BF034E">
        <w:rPr>
          <w:color w:val="000000"/>
          <w:sz w:val="22"/>
          <w:szCs w:val="22"/>
          <w:lang w:eastAsia="en-GB"/>
        </w:rPr>
        <w:t>graph</w:t>
      </w:r>
      <w:r w:rsidR="00FC75B6" w:rsidRPr="00BF034E">
        <w:rPr>
          <w:color w:val="000000"/>
          <w:sz w:val="22"/>
          <w:szCs w:val="22"/>
          <w:lang w:eastAsia="en-GB"/>
        </w:rPr>
        <w:t>s</w:t>
      </w:r>
      <w:r w:rsidRPr="00BF034E">
        <w:rPr>
          <w:color w:val="000000"/>
          <w:sz w:val="22"/>
          <w:szCs w:val="22"/>
          <w:lang w:eastAsia="en-GB"/>
        </w:rPr>
        <w:t xml:space="preserve"> evaluated analytically </w:t>
      </w:r>
      <w:r w:rsidR="00FC75B6" w:rsidRPr="00BF034E">
        <w:rPr>
          <w:color w:val="000000"/>
          <w:sz w:val="22"/>
          <w:szCs w:val="22"/>
          <w:lang w:eastAsia="en-GB"/>
        </w:rPr>
        <w:t xml:space="preserve">using Eq.13 and Eq.14 showed a reasonable fit with the experimental data </w:t>
      </w:r>
      <w:r w:rsidR="00B16530">
        <w:rPr>
          <w:color w:val="000000"/>
          <w:sz w:val="22"/>
          <w:szCs w:val="22"/>
          <w:lang w:eastAsia="en-GB"/>
        </w:rPr>
        <w:t xml:space="preserve">for a 2.5V drive </w:t>
      </w:r>
      <w:r w:rsidR="00E803FE" w:rsidRPr="00BF034E">
        <w:rPr>
          <w:color w:val="000000"/>
          <w:sz w:val="22"/>
          <w:szCs w:val="22"/>
          <w:lang w:eastAsia="en-GB"/>
        </w:rPr>
        <w:t>as shown in</w:t>
      </w:r>
      <w:r w:rsidR="00B16530">
        <w:rPr>
          <w:color w:val="000000"/>
          <w:sz w:val="22"/>
          <w:szCs w:val="22"/>
          <w:lang w:eastAsia="en-GB"/>
        </w:rPr>
        <w:t xml:space="preserve"> the insets of</w:t>
      </w:r>
      <w:r w:rsidR="00E803FE" w:rsidRPr="00BF034E">
        <w:rPr>
          <w:color w:val="000000"/>
          <w:sz w:val="22"/>
          <w:szCs w:val="22"/>
          <w:lang w:eastAsia="en-GB"/>
        </w:rPr>
        <w:t xml:space="preserve"> </w:t>
      </w:r>
      <w:r w:rsidR="00E803FE" w:rsidRPr="00BF034E">
        <w:rPr>
          <w:b/>
          <w:bCs/>
          <w:color w:val="000000"/>
          <w:sz w:val="22"/>
          <w:szCs w:val="22"/>
          <w:lang w:eastAsia="en-GB"/>
        </w:rPr>
        <w:t>Figures 1</w:t>
      </w:r>
      <w:r w:rsidR="00B16530">
        <w:rPr>
          <w:b/>
          <w:bCs/>
          <w:color w:val="000000"/>
          <w:sz w:val="22"/>
          <w:szCs w:val="22"/>
          <w:lang w:eastAsia="en-GB"/>
        </w:rPr>
        <w:t>b</w:t>
      </w:r>
      <w:r w:rsidR="00E803FE" w:rsidRPr="00BF034E">
        <w:rPr>
          <w:color w:val="000000"/>
          <w:sz w:val="22"/>
          <w:szCs w:val="22"/>
          <w:lang w:eastAsia="en-GB"/>
        </w:rPr>
        <w:t xml:space="preserve"> and </w:t>
      </w:r>
      <w:r w:rsidR="00E803FE" w:rsidRPr="00BF034E">
        <w:rPr>
          <w:b/>
          <w:bCs/>
          <w:color w:val="000000"/>
          <w:sz w:val="22"/>
          <w:szCs w:val="22"/>
          <w:lang w:eastAsia="en-GB"/>
        </w:rPr>
        <w:t>1</w:t>
      </w:r>
      <w:r w:rsidR="00B16530">
        <w:rPr>
          <w:b/>
          <w:bCs/>
          <w:color w:val="000000"/>
          <w:sz w:val="22"/>
          <w:szCs w:val="22"/>
          <w:lang w:eastAsia="en-GB"/>
        </w:rPr>
        <w:t>c</w:t>
      </w:r>
      <w:r w:rsidR="00E803FE" w:rsidRPr="00BF034E">
        <w:rPr>
          <w:color w:val="000000"/>
          <w:sz w:val="22"/>
          <w:szCs w:val="22"/>
          <w:lang w:eastAsia="en-GB"/>
        </w:rPr>
        <w:t xml:space="preserve"> </w:t>
      </w:r>
      <w:r w:rsidR="00AB51E5">
        <w:rPr>
          <w:color w:val="000000"/>
          <w:sz w:val="22"/>
          <w:szCs w:val="22"/>
          <w:lang w:eastAsia="en-GB"/>
        </w:rPr>
        <w:t xml:space="preserve">of </w:t>
      </w:r>
      <w:r w:rsidR="00182871" w:rsidRPr="00BF034E">
        <w:rPr>
          <w:color w:val="000000"/>
          <w:sz w:val="22"/>
          <w:szCs w:val="22"/>
          <w:lang w:eastAsia="en-GB"/>
        </w:rPr>
        <w:t xml:space="preserve">the </w:t>
      </w:r>
      <w:r w:rsidR="00BC01FD">
        <w:rPr>
          <w:color w:val="000000"/>
          <w:sz w:val="22"/>
          <w:szCs w:val="22"/>
          <w:lang w:eastAsia="en-GB"/>
        </w:rPr>
        <w:t>article</w:t>
      </w:r>
      <w:r w:rsidR="00182871" w:rsidRPr="00BF034E">
        <w:rPr>
          <w:color w:val="000000"/>
          <w:sz w:val="22"/>
          <w:szCs w:val="22"/>
          <w:lang w:eastAsia="en-GB"/>
        </w:rPr>
        <w:t>.</w:t>
      </w:r>
      <w:r w:rsidR="008C73BF">
        <w:rPr>
          <w:color w:val="000000"/>
          <w:sz w:val="22"/>
          <w:szCs w:val="22"/>
          <w:lang w:eastAsia="en-GB"/>
        </w:rPr>
        <w:t xml:space="preserve"> </w:t>
      </w:r>
    </w:p>
    <w:p w:rsidR="00640BF6" w:rsidRDefault="00640BF6" w:rsidP="0079684F">
      <w:pPr>
        <w:spacing w:after="0" w:line="240" w:lineRule="auto"/>
        <w:jc w:val="both"/>
        <w:outlineLvl w:val="0"/>
        <w:rPr>
          <w:b/>
          <w:bCs/>
          <w:color w:val="000000"/>
          <w:sz w:val="22"/>
          <w:szCs w:val="22"/>
          <w:lang w:eastAsia="en-GB"/>
        </w:rPr>
      </w:pPr>
    </w:p>
    <w:p w:rsidR="00C515AD" w:rsidRDefault="00C515AD" w:rsidP="00B24502">
      <w:pPr>
        <w:spacing w:after="0" w:line="240" w:lineRule="auto"/>
        <w:jc w:val="both"/>
        <w:outlineLvl w:val="0"/>
        <w:rPr>
          <w:b/>
          <w:bCs/>
          <w:color w:val="000000"/>
          <w:sz w:val="22"/>
          <w:szCs w:val="22"/>
          <w:lang w:eastAsia="en-GB"/>
        </w:rPr>
      </w:pPr>
    </w:p>
    <w:p w:rsidR="00C567C7" w:rsidRPr="00C567C7" w:rsidRDefault="008D2E53" w:rsidP="00B24502">
      <w:pPr>
        <w:spacing w:after="0" w:line="240" w:lineRule="auto"/>
        <w:jc w:val="both"/>
        <w:outlineLvl w:val="0"/>
        <w:rPr>
          <w:b/>
          <w:bCs/>
          <w:color w:val="000000"/>
          <w:sz w:val="22"/>
          <w:szCs w:val="22"/>
          <w:lang w:eastAsia="en-GB"/>
        </w:rPr>
      </w:pPr>
      <w:r>
        <w:rPr>
          <w:b/>
          <w:bCs/>
          <w:color w:val="000000"/>
          <w:sz w:val="22"/>
          <w:szCs w:val="22"/>
          <w:lang w:eastAsia="en-GB"/>
        </w:rPr>
        <w:t xml:space="preserve">§2. </w:t>
      </w:r>
      <w:r w:rsidR="00AC09A6">
        <w:rPr>
          <w:b/>
          <w:bCs/>
          <w:color w:val="000000"/>
          <w:sz w:val="22"/>
          <w:szCs w:val="22"/>
          <w:lang w:eastAsia="en-GB"/>
        </w:rPr>
        <w:t xml:space="preserve">Microscopic observation </w:t>
      </w:r>
      <w:r w:rsidR="00B24502">
        <w:rPr>
          <w:b/>
          <w:bCs/>
          <w:color w:val="000000"/>
          <w:sz w:val="22"/>
          <w:szCs w:val="22"/>
          <w:lang w:eastAsia="en-GB"/>
        </w:rPr>
        <w:t>of QCR coverage</w:t>
      </w:r>
    </w:p>
    <w:p w:rsidR="00231EBE" w:rsidRDefault="009E78E6" w:rsidP="008417B3">
      <w:pPr>
        <w:spacing w:after="0" w:line="240" w:lineRule="auto"/>
        <w:jc w:val="both"/>
        <w:outlineLvl w:val="0"/>
        <w:rPr>
          <w:color w:val="000000"/>
          <w:sz w:val="22"/>
          <w:szCs w:val="22"/>
          <w:lang w:eastAsia="en-GB"/>
        </w:rPr>
      </w:pPr>
      <w:r w:rsidRPr="009E78E6">
        <w:rPr>
          <w:color w:val="000000"/>
          <w:sz w:val="22"/>
          <w:szCs w:val="22"/>
          <w:lang w:eastAsia="en-GB"/>
        </w:rPr>
        <w:t>Microscopic observations show</w:t>
      </w:r>
      <w:r w:rsidR="00083C7B">
        <w:rPr>
          <w:color w:val="000000"/>
          <w:sz w:val="22"/>
          <w:szCs w:val="22"/>
          <w:lang w:eastAsia="en-GB"/>
        </w:rPr>
        <w:t>ed</w:t>
      </w:r>
      <w:r w:rsidRPr="009E78E6">
        <w:rPr>
          <w:color w:val="000000"/>
          <w:sz w:val="22"/>
          <w:szCs w:val="22"/>
          <w:lang w:eastAsia="en-GB"/>
        </w:rPr>
        <w:t xml:space="preserve"> </w:t>
      </w:r>
      <w:r w:rsidR="004F2A75">
        <w:rPr>
          <w:color w:val="000000"/>
          <w:sz w:val="22"/>
          <w:szCs w:val="22"/>
          <w:lang w:eastAsia="en-GB"/>
        </w:rPr>
        <w:t xml:space="preserve">comparable </w:t>
      </w:r>
      <w:r w:rsidR="00083C7B">
        <w:rPr>
          <w:color w:val="000000"/>
          <w:sz w:val="22"/>
          <w:szCs w:val="22"/>
          <w:lang w:eastAsia="en-GB"/>
        </w:rPr>
        <w:t xml:space="preserve">surface coverage </w:t>
      </w:r>
      <w:r w:rsidR="00C962BC">
        <w:rPr>
          <w:color w:val="000000"/>
          <w:sz w:val="22"/>
          <w:szCs w:val="22"/>
          <w:lang w:eastAsia="en-GB"/>
        </w:rPr>
        <w:t xml:space="preserve">of the QCR </w:t>
      </w:r>
      <w:r w:rsidR="00083C7B">
        <w:rPr>
          <w:color w:val="000000"/>
          <w:sz w:val="22"/>
          <w:szCs w:val="22"/>
          <w:lang w:eastAsia="en-GB"/>
        </w:rPr>
        <w:t xml:space="preserve">with </w:t>
      </w:r>
      <w:proofErr w:type="gramStart"/>
      <w:r w:rsidR="00083C7B">
        <w:rPr>
          <w:color w:val="000000"/>
          <w:sz w:val="22"/>
          <w:szCs w:val="22"/>
          <w:lang w:eastAsia="en-GB"/>
        </w:rPr>
        <w:t>micro</w:t>
      </w:r>
      <w:r w:rsidR="009D30A1">
        <w:rPr>
          <w:color w:val="000000"/>
          <w:sz w:val="22"/>
          <w:szCs w:val="22"/>
          <w:lang w:eastAsia="en-GB"/>
        </w:rPr>
        <w:t>particle</w:t>
      </w:r>
      <w:r w:rsidR="00083C7B">
        <w:rPr>
          <w:color w:val="000000"/>
          <w:sz w:val="22"/>
          <w:szCs w:val="22"/>
          <w:lang w:eastAsia="en-GB"/>
        </w:rPr>
        <w:t>s</w:t>
      </w:r>
      <w:proofErr w:type="gramEnd"/>
      <w:r w:rsidR="00083C7B">
        <w:rPr>
          <w:color w:val="000000"/>
          <w:sz w:val="22"/>
          <w:szCs w:val="22"/>
          <w:lang w:eastAsia="en-GB"/>
        </w:rPr>
        <w:t xml:space="preserve"> by the end of the </w:t>
      </w:r>
      <w:r w:rsidR="00850544">
        <w:rPr>
          <w:color w:val="000000"/>
          <w:sz w:val="22"/>
          <w:szCs w:val="22"/>
          <w:lang w:eastAsia="en-GB"/>
        </w:rPr>
        <w:t xml:space="preserve">70 minute </w:t>
      </w:r>
      <w:r w:rsidR="00083C7B">
        <w:rPr>
          <w:color w:val="000000"/>
          <w:sz w:val="22"/>
          <w:szCs w:val="22"/>
          <w:lang w:eastAsia="en-GB"/>
        </w:rPr>
        <w:t xml:space="preserve">assay for </w:t>
      </w:r>
      <w:r w:rsidR="00231EBE">
        <w:rPr>
          <w:color w:val="000000"/>
          <w:sz w:val="22"/>
          <w:szCs w:val="22"/>
          <w:lang w:eastAsia="en-GB"/>
        </w:rPr>
        <w:t xml:space="preserve">the </w:t>
      </w:r>
      <w:r w:rsidR="0055712D">
        <w:rPr>
          <w:color w:val="000000"/>
          <w:sz w:val="22"/>
          <w:szCs w:val="22"/>
          <w:lang w:eastAsia="en-GB"/>
        </w:rPr>
        <w:t xml:space="preserve">different </w:t>
      </w:r>
      <w:r w:rsidR="00083C7B">
        <w:rPr>
          <w:color w:val="000000"/>
          <w:sz w:val="22"/>
          <w:szCs w:val="22"/>
          <w:lang w:eastAsia="en-GB"/>
        </w:rPr>
        <w:t>concentrations of IgE</w:t>
      </w:r>
      <w:r w:rsidR="004F2A75">
        <w:rPr>
          <w:color w:val="000000"/>
          <w:sz w:val="22"/>
          <w:szCs w:val="22"/>
          <w:lang w:eastAsia="en-GB"/>
        </w:rPr>
        <w:t xml:space="preserve">, particularly for </w:t>
      </w:r>
      <w:r w:rsidR="0055712D">
        <w:rPr>
          <w:color w:val="000000"/>
          <w:sz w:val="22"/>
          <w:szCs w:val="22"/>
          <w:lang w:eastAsia="en-GB"/>
        </w:rPr>
        <w:t>the highest four concentrations corresponding to 3.2-0.16</w:t>
      </w:r>
      <w:r w:rsidR="0055712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µ</w:t>
      </w:r>
      <w:r w:rsidR="0055712D">
        <w:rPr>
          <w:color w:val="000000"/>
          <w:sz w:val="22"/>
          <w:szCs w:val="22"/>
          <w:lang w:eastAsia="en-GB"/>
        </w:rPr>
        <w:t>M IgE solution.</w:t>
      </w:r>
      <w:r w:rsidR="0079198A">
        <w:rPr>
          <w:color w:val="000000"/>
          <w:sz w:val="22"/>
          <w:szCs w:val="22"/>
          <w:lang w:eastAsia="en-GB"/>
        </w:rPr>
        <w:t xml:space="preserve"> </w:t>
      </w:r>
      <w:r w:rsidR="0079198A" w:rsidRPr="0079198A">
        <w:rPr>
          <w:b/>
          <w:bCs/>
          <w:color w:val="000000"/>
          <w:sz w:val="22"/>
          <w:szCs w:val="22"/>
          <w:lang w:eastAsia="en-GB"/>
        </w:rPr>
        <w:t>Figure S1</w:t>
      </w:r>
      <w:r w:rsidR="008417B3">
        <w:rPr>
          <w:b/>
          <w:bCs/>
          <w:color w:val="000000"/>
          <w:sz w:val="22"/>
          <w:szCs w:val="22"/>
          <w:lang w:eastAsia="en-GB"/>
        </w:rPr>
        <w:t>a</w:t>
      </w:r>
      <w:r w:rsidR="0055712D">
        <w:rPr>
          <w:b/>
          <w:bCs/>
          <w:color w:val="000000"/>
          <w:sz w:val="22"/>
          <w:szCs w:val="22"/>
          <w:lang w:eastAsia="en-GB"/>
        </w:rPr>
        <w:t xml:space="preserve"> </w:t>
      </w:r>
      <w:r w:rsidR="0055712D" w:rsidRPr="0055712D">
        <w:rPr>
          <w:color w:val="000000"/>
          <w:sz w:val="22"/>
          <w:szCs w:val="22"/>
          <w:lang w:eastAsia="en-GB"/>
        </w:rPr>
        <w:t>and</w:t>
      </w:r>
      <w:r w:rsidR="0055712D">
        <w:rPr>
          <w:b/>
          <w:bCs/>
          <w:color w:val="000000"/>
          <w:sz w:val="22"/>
          <w:szCs w:val="22"/>
          <w:lang w:eastAsia="en-GB"/>
        </w:rPr>
        <w:t xml:space="preserve"> Figure S1</w:t>
      </w:r>
      <w:r w:rsidR="008417B3">
        <w:rPr>
          <w:b/>
          <w:bCs/>
          <w:color w:val="000000"/>
          <w:sz w:val="22"/>
          <w:szCs w:val="22"/>
          <w:lang w:eastAsia="en-GB"/>
        </w:rPr>
        <w:t>b</w:t>
      </w:r>
      <w:r w:rsidR="0055712D">
        <w:rPr>
          <w:color w:val="000000"/>
          <w:sz w:val="22"/>
          <w:szCs w:val="22"/>
          <w:lang w:eastAsia="en-GB"/>
        </w:rPr>
        <w:t xml:space="preserve"> show</w:t>
      </w:r>
      <w:r w:rsidR="0079198A">
        <w:rPr>
          <w:color w:val="000000"/>
          <w:sz w:val="22"/>
          <w:szCs w:val="22"/>
          <w:lang w:eastAsia="en-GB"/>
        </w:rPr>
        <w:t xml:space="preserve"> the micro</w:t>
      </w:r>
      <w:r w:rsidR="0022662B">
        <w:rPr>
          <w:color w:val="000000"/>
          <w:sz w:val="22"/>
          <w:szCs w:val="22"/>
          <w:lang w:eastAsia="en-GB"/>
        </w:rPr>
        <w:t>particle</w:t>
      </w:r>
      <w:r w:rsidR="0079198A">
        <w:rPr>
          <w:color w:val="000000"/>
          <w:sz w:val="22"/>
          <w:szCs w:val="22"/>
          <w:lang w:eastAsia="en-GB"/>
        </w:rPr>
        <w:t xml:space="preserve"> coverage on the QCR for </w:t>
      </w:r>
      <w:r w:rsidR="0022662B">
        <w:rPr>
          <w:color w:val="000000"/>
          <w:sz w:val="22"/>
          <w:szCs w:val="22"/>
          <w:lang w:eastAsia="en-GB"/>
        </w:rPr>
        <w:t>microparticle</w:t>
      </w:r>
      <w:r w:rsidR="0055712D">
        <w:rPr>
          <w:color w:val="000000"/>
          <w:sz w:val="22"/>
          <w:szCs w:val="22"/>
          <w:lang w:eastAsia="en-GB"/>
        </w:rPr>
        <w:t xml:space="preserve">s with concentrations corresponding to </w:t>
      </w:r>
      <w:r w:rsidR="0079198A">
        <w:rPr>
          <w:color w:val="000000"/>
          <w:sz w:val="22"/>
          <w:szCs w:val="22"/>
          <w:lang w:eastAsia="en-GB"/>
        </w:rPr>
        <w:t xml:space="preserve">1.6uM and 0.16uM IgE </w:t>
      </w:r>
      <w:r w:rsidR="001B142A">
        <w:rPr>
          <w:color w:val="000000"/>
          <w:sz w:val="22"/>
          <w:szCs w:val="22"/>
          <w:lang w:eastAsia="en-GB"/>
        </w:rPr>
        <w:t xml:space="preserve">solution </w:t>
      </w:r>
      <w:r w:rsidR="0055712D">
        <w:rPr>
          <w:color w:val="000000"/>
          <w:sz w:val="22"/>
          <w:szCs w:val="22"/>
          <w:lang w:eastAsia="en-GB"/>
        </w:rPr>
        <w:t>respectively.</w:t>
      </w:r>
    </w:p>
    <w:p w:rsidR="0022662B" w:rsidRDefault="0022662B" w:rsidP="0055712D">
      <w:pPr>
        <w:spacing w:after="0" w:line="240" w:lineRule="auto"/>
        <w:jc w:val="both"/>
        <w:outlineLvl w:val="0"/>
        <w:rPr>
          <w:color w:val="000000"/>
          <w:sz w:val="22"/>
          <w:szCs w:val="22"/>
          <w:lang w:eastAsia="en-GB"/>
        </w:rPr>
      </w:pPr>
    </w:p>
    <w:p w:rsidR="004C69FC" w:rsidRDefault="0022662B" w:rsidP="004C69FC">
      <w:pPr>
        <w:spacing w:after="0" w:line="240" w:lineRule="auto"/>
        <w:jc w:val="both"/>
        <w:outlineLvl w:val="0"/>
        <w:rPr>
          <w:color w:val="000000"/>
          <w:sz w:val="22"/>
          <w:szCs w:val="22"/>
          <w:lang w:eastAsia="en-GB"/>
        </w:rPr>
      </w:pPr>
      <w:r>
        <w:rPr>
          <w:color w:val="000000"/>
          <w:sz w:val="22"/>
          <w:szCs w:val="22"/>
          <w:lang w:eastAsia="en-GB"/>
        </w:rPr>
        <w:t>The surface coverage was also comparable for microparticles with similar concentrations of IgE and IgG, corresponding to 1.6</w:t>
      </w:r>
      <w:r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µ</w:t>
      </w:r>
      <w:r>
        <w:rPr>
          <w:color w:val="000000"/>
          <w:sz w:val="22"/>
          <w:szCs w:val="22"/>
          <w:lang w:eastAsia="en-GB"/>
        </w:rPr>
        <w:t>M of the respective protein solutions, although clustering was noticeable for non-specific binding of IgG-</w:t>
      </w:r>
      <w:r w:rsidR="008C0456">
        <w:rPr>
          <w:color w:val="000000"/>
          <w:sz w:val="22"/>
          <w:szCs w:val="22"/>
          <w:lang w:eastAsia="en-GB"/>
        </w:rPr>
        <w:t>microparticles (</w:t>
      </w:r>
      <w:r w:rsidR="008C0456" w:rsidRPr="0079198A">
        <w:rPr>
          <w:b/>
          <w:bCs/>
          <w:color w:val="000000"/>
          <w:sz w:val="22"/>
          <w:szCs w:val="22"/>
          <w:lang w:eastAsia="en-GB"/>
        </w:rPr>
        <w:t>Figure S1</w:t>
      </w:r>
      <w:r w:rsidR="008417B3">
        <w:rPr>
          <w:b/>
          <w:bCs/>
          <w:color w:val="000000"/>
          <w:sz w:val="22"/>
          <w:szCs w:val="22"/>
          <w:lang w:eastAsia="en-GB"/>
        </w:rPr>
        <w:t>a</w:t>
      </w:r>
      <w:r w:rsidR="008C0456">
        <w:rPr>
          <w:b/>
          <w:bCs/>
          <w:color w:val="000000"/>
          <w:sz w:val="22"/>
          <w:szCs w:val="22"/>
          <w:lang w:eastAsia="en-GB"/>
        </w:rPr>
        <w:t xml:space="preserve"> </w:t>
      </w:r>
      <w:r w:rsidR="008C0456" w:rsidRPr="0055712D">
        <w:rPr>
          <w:color w:val="000000"/>
          <w:sz w:val="22"/>
          <w:szCs w:val="22"/>
          <w:lang w:eastAsia="en-GB"/>
        </w:rPr>
        <w:t>and</w:t>
      </w:r>
      <w:r w:rsidR="008C0456">
        <w:rPr>
          <w:b/>
          <w:bCs/>
          <w:color w:val="000000"/>
          <w:sz w:val="22"/>
          <w:szCs w:val="22"/>
          <w:lang w:eastAsia="en-GB"/>
        </w:rPr>
        <w:t xml:space="preserve"> Figure S1</w:t>
      </w:r>
      <w:r w:rsidR="008417B3">
        <w:rPr>
          <w:b/>
          <w:bCs/>
          <w:color w:val="000000"/>
          <w:sz w:val="22"/>
          <w:szCs w:val="22"/>
          <w:lang w:eastAsia="en-GB"/>
        </w:rPr>
        <w:t>c</w:t>
      </w:r>
      <w:r w:rsidR="008C0456">
        <w:rPr>
          <w:color w:val="000000"/>
          <w:sz w:val="22"/>
          <w:szCs w:val="22"/>
          <w:lang w:eastAsia="en-GB"/>
        </w:rPr>
        <w:t>).</w:t>
      </w:r>
      <w:r w:rsidR="004C69FC">
        <w:rPr>
          <w:color w:val="000000"/>
          <w:sz w:val="22"/>
          <w:szCs w:val="22"/>
          <w:lang w:eastAsia="en-GB"/>
        </w:rPr>
        <w:t xml:space="preserve"> </w:t>
      </w:r>
      <w:r w:rsidR="004C69FC">
        <w:rPr>
          <w:color w:val="000000"/>
          <w:sz w:val="22"/>
          <w:szCs w:val="22"/>
          <w:lang w:eastAsia="en-GB"/>
        </w:rPr>
        <w:t>It was interesting to note from the microscopic pictures that clustering was dominant for IgG-microparticles compared to blank (non-functionalised) microparticles (</w:t>
      </w:r>
      <w:r w:rsidR="004C69FC" w:rsidRPr="0079198A">
        <w:rPr>
          <w:b/>
          <w:bCs/>
          <w:color w:val="000000"/>
          <w:sz w:val="22"/>
          <w:szCs w:val="22"/>
          <w:lang w:eastAsia="en-GB"/>
        </w:rPr>
        <w:t>Figure S1</w:t>
      </w:r>
      <w:r w:rsidR="004C69FC">
        <w:rPr>
          <w:b/>
          <w:bCs/>
          <w:color w:val="000000"/>
          <w:sz w:val="22"/>
          <w:szCs w:val="22"/>
          <w:lang w:eastAsia="en-GB"/>
        </w:rPr>
        <w:t xml:space="preserve">c </w:t>
      </w:r>
      <w:r w:rsidR="004C69FC" w:rsidRPr="0055712D">
        <w:rPr>
          <w:color w:val="000000"/>
          <w:sz w:val="22"/>
          <w:szCs w:val="22"/>
          <w:lang w:eastAsia="en-GB"/>
        </w:rPr>
        <w:t>and</w:t>
      </w:r>
      <w:r w:rsidR="004C69FC">
        <w:rPr>
          <w:b/>
          <w:bCs/>
          <w:color w:val="000000"/>
          <w:sz w:val="22"/>
          <w:szCs w:val="22"/>
          <w:lang w:eastAsia="en-GB"/>
        </w:rPr>
        <w:t xml:space="preserve"> Figure S1d</w:t>
      </w:r>
      <w:r w:rsidR="004C69FC">
        <w:rPr>
          <w:color w:val="000000"/>
          <w:sz w:val="22"/>
          <w:szCs w:val="22"/>
          <w:lang w:eastAsia="en-GB"/>
        </w:rPr>
        <w:t xml:space="preserve">). </w:t>
      </w:r>
    </w:p>
    <w:p w:rsidR="0022662B" w:rsidRDefault="0022662B" w:rsidP="008417B3">
      <w:pPr>
        <w:spacing w:after="0" w:line="240" w:lineRule="auto"/>
        <w:jc w:val="both"/>
        <w:outlineLvl w:val="0"/>
        <w:rPr>
          <w:color w:val="000000"/>
          <w:sz w:val="22"/>
          <w:szCs w:val="22"/>
          <w:lang w:eastAsia="en-GB"/>
        </w:rPr>
      </w:pPr>
    </w:p>
    <w:p w:rsidR="00637325" w:rsidRDefault="00C515AD" w:rsidP="008D2E53">
      <w:pPr>
        <w:spacing w:after="0" w:line="240" w:lineRule="auto"/>
        <w:jc w:val="both"/>
        <w:outlineLvl w:val="0"/>
        <w:rPr>
          <w:color w:val="000000"/>
          <w:sz w:val="22"/>
          <w:szCs w:val="22"/>
          <w:lang w:eastAsia="en-GB"/>
        </w:rPr>
      </w:pPr>
      <w:r>
        <w:rPr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83ADB5" wp14:editId="4CABE0E7">
                <wp:simplePos x="0" y="0"/>
                <wp:positionH relativeFrom="column">
                  <wp:posOffset>1209675</wp:posOffset>
                </wp:positionH>
                <wp:positionV relativeFrom="paragraph">
                  <wp:posOffset>131445</wp:posOffset>
                </wp:positionV>
                <wp:extent cx="1847850" cy="196215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962150"/>
                          <a:chOff x="65436" y="0"/>
                          <a:chExt cx="2115789" cy="222885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249" y="0"/>
                            <a:ext cx="276226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7E3" w:rsidRPr="00C971D0" w:rsidRDefault="001B07E3" w:rsidP="00C971D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5475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7E3" w:rsidRPr="00C971D0" w:rsidRDefault="001B07E3" w:rsidP="00C971D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436" y="1943100"/>
                            <a:ext cx="276226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7E3" w:rsidRPr="00C971D0" w:rsidRDefault="001B07E3" w:rsidP="00C971D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196215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7E3" w:rsidRPr="00C971D0" w:rsidRDefault="001B07E3" w:rsidP="00C971D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5.25pt;margin-top:10.35pt;width:145.5pt;height:154.5pt;z-index:251665408;mso-width-relative:margin;mso-height-relative:margin" coordorigin="654" coordsize="21157,2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72;width:276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1B07E3" w:rsidRPr="00C971D0" w:rsidRDefault="001B07E3" w:rsidP="00C971D0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28" type="#_x0000_t202" style="position:absolute;left:18954;width:276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B07E3" w:rsidRPr="00C971D0" w:rsidRDefault="001B07E3" w:rsidP="00C971D0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29" type="#_x0000_t202" style="position:absolute;left:654;top:19431;width:276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B07E3" w:rsidRPr="00C971D0" w:rsidRDefault="001B07E3" w:rsidP="00C971D0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30" type="#_x0000_t202" style="position:absolute;left:19050;top:19621;width:276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B07E3" w:rsidRPr="00C971D0" w:rsidRDefault="001B07E3" w:rsidP="00C971D0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4406" w:rsidRDefault="0093341E" w:rsidP="0093341E">
      <w:pPr>
        <w:spacing w:after="0" w:line="240" w:lineRule="auto"/>
        <w:jc w:val="center"/>
        <w:outlineLvl w:val="0"/>
        <w:rPr>
          <w:color w:val="000000"/>
          <w:sz w:val="22"/>
          <w:szCs w:val="22"/>
          <w:lang w:eastAsia="en-GB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343275" cy="333519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95" cy="333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95" w:rsidRDefault="004F2795" w:rsidP="0065429A">
      <w:pPr>
        <w:spacing w:after="0" w:line="240" w:lineRule="auto"/>
        <w:jc w:val="both"/>
        <w:outlineLvl w:val="0"/>
        <w:rPr>
          <w:color w:val="000000"/>
          <w:sz w:val="22"/>
          <w:szCs w:val="22"/>
          <w:lang w:eastAsia="en-GB"/>
        </w:rPr>
      </w:pPr>
    </w:p>
    <w:p w:rsidR="004F2795" w:rsidRPr="00C515AD" w:rsidRDefault="0093341E" w:rsidP="00B90E91">
      <w:pPr>
        <w:spacing w:after="0" w:line="240" w:lineRule="auto"/>
        <w:jc w:val="both"/>
        <w:outlineLvl w:val="0"/>
        <w:rPr>
          <w:color w:val="000000"/>
          <w:sz w:val="20"/>
          <w:szCs w:val="20"/>
          <w:lang w:eastAsia="en-GB"/>
        </w:rPr>
      </w:pPr>
      <w:r w:rsidRPr="00C515AD">
        <w:rPr>
          <w:b/>
          <w:bCs/>
          <w:color w:val="000000"/>
          <w:sz w:val="20"/>
          <w:szCs w:val="20"/>
          <w:lang w:eastAsia="en-GB"/>
        </w:rPr>
        <w:t xml:space="preserve">Figure S1. Micrographs </w:t>
      </w:r>
      <w:r w:rsidR="007B32AE" w:rsidRPr="00C515AD">
        <w:rPr>
          <w:b/>
          <w:bCs/>
          <w:color w:val="000000"/>
          <w:sz w:val="20"/>
          <w:szCs w:val="20"/>
          <w:lang w:eastAsia="en-GB"/>
        </w:rPr>
        <w:t>of the quartz crystal resonator electrode at the end of the assay (</w:t>
      </w:r>
      <w:r w:rsidR="007B32AE" w:rsidRPr="00C515AD">
        <w:rPr>
          <w:b/>
          <w:bCs/>
          <w:i/>
          <w:iCs/>
          <w:color w:val="000000"/>
          <w:sz w:val="20"/>
          <w:szCs w:val="20"/>
          <w:lang w:eastAsia="en-GB"/>
        </w:rPr>
        <w:t>t</w:t>
      </w:r>
      <w:r w:rsidR="007B32AE" w:rsidRPr="00C515AD">
        <w:rPr>
          <w:b/>
          <w:bCs/>
          <w:color w:val="000000"/>
          <w:sz w:val="20"/>
          <w:szCs w:val="20"/>
          <w:lang w:eastAsia="en-GB"/>
        </w:rPr>
        <w:t>=70).</w:t>
      </w:r>
      <w:r w:rsidR="007B32AE" w:rsidRPr="00C515AD">
        <w:rPr>
          <w:color w:val="000000"/>
          <w:sz w:val="20"/>
          <w:szCs w:val="20"/>
          <w:lang w:eastAsia="en-GB"/>
        </w:rPr>
        <w:t xml:space="preserve"> Pictures show microparticles bound on the anti-IgE functionalised gold electrode </w:t>
      </w:r>
      <w:r w:rsidR="00961048" w:rsidRPr="00C515AD">
        <w:rPr>
          <w:b/>
          <w:bCs/>
          <w:color w:val="000000"/>
          <w:sz w:val="20"/>
          <w:szCs w:val="20"/>
          <w:lang w:eastAsia="en-GB"/>
        </w:rPr>
        <w:t>a</w:t>
      </w:r>
      <w:r w:rsidR="007B32AE" w:rsidRPr="00C515AD">
        <w:rPr>
          <w:b/>
          <w:bCs/>
          <w:color w:val="000000"/>
          <w:sz w:val="20"/>
          <w:szCs w:val="20"/>
          <w:lang w:eastAsia="en-GB"/>
        </w:rPr>
        <w:t>.</w:t>
      </w:r>
      <w:r w:rsidR="007B32AE" w:rsidRPr="00C515AD">
        <w:rPr>
          <w:color w:val="000000"/>
          <w:sz w:val="20"/>
          <w:szCs w:val="20"/>
          <w:lang w:eastAsia="en-GB"/>
        </w:rPr>
        <w:t xml:space="preserve"> IgE-microparticles (1.6</w:t>
      </w:r>
      <w:r w:rsidR="007B32AE" w:rsidRPr="00C515A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µ</w:t>
      </w:r>
      <w:r w:rsidR="007B32AE" w:rsidRPr="00C515AD">
        <w:rPr>
          <w:color w:val="000000"/>
          <w:sz w:val="20"/>
          <w:szCs w:val="20"/>
          <w:lang w:eastAsia="en-GB"/>
        </w:rPr>
        <w:t xml:space="preserve">M IgE) bound via specific interactions. </w:t>
      </w:r>
      <w:r w:rsidR="00961048" w:rsidRPr="00C515AD">
        <w:rPr>
          <w:b/>
          <w:bCs/>
          <w:color w:val="000000"/>
          <w:sz w:val="20"/>
          <w:szCs w:val="20"/>
          <w:lang w:eastAsia="en-GB"/>
        </w:rPr>
        <w:t>b</w:t>
      </w:r>
      <w:r w:rsidR="007B32AE" w:rsidRPr="00C515AD">
        <w:rPr>
          <w:b/>
          <w:bCs/>
          <w:color w:val="000000"/>
          <w:sz w:val="20"/>
          <w:szCs w:val="20"/>
          <w:lang w:eastAsia="en-GB"/>
        </w:rPr>
        <w:t>.</w:t>
      </w:r>
      <w:r w:rsidR="007B32AE" w:rsidRPr="00C515AD">
        <w:rPr>
          <w:color w:val="000000"/>
          <w:sz w:val="20"/>
          <w:szCs w:val="20"/>
          <w:lang w:eastAsia="en-GB"/>
        </w:rPr>
        <w:t xml:space="preserve"> IgE-microparticles (0.16</w:t>
      </w:r>
      <w:r w:rsidR="007B32AE" w:rsidRPr="00C515A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µ</w:t>
      </w:r>
      <w:r w:rsidR="007B32AE" w:rsidRPr="00C515AD">
        <w:rPr>
          <w:color w:val="000000"/>
          <w:sz w:val="20"/>
          <w:szCs w:val="20"/>
          <w:lang w:eastAsia="en-GB"/>
        </w:rPr>
        <w:t xml:space="preserve">M IgE) bound via specific interactions. </w:t>
      </w:r>
      <w:r w:rsidR="00961048" w:rsidRPr="00C515AD">
        <w:rPr>
          <w:b/>
          <w:bCs/>
          <w:color w:val="000000"/>
          <w:sz w:val="20"/>
          <w:szCs w:val="20"/>
          <w:lang w:eastAsia="en-GB"/>
        </w:rPr>
        <w:t>c</w:t>
      </w:r>
      <w:r w:rsidR="007B32AE" w:rsidRPr="00C515AD">
        <w:rPr>
          <w:b/>
          <w:bCs/>
          <w:color w:val="000000"/>
          <w:sz w:val="20"/>
          <w:szCs w:val="20"/>
          <w:lang w:eastAsia="en-GB"/>
        </w:rPr>
        <w:t>.</w:t>
      </w:r>
      <w:r w:rsidR="007B32AE" w:rsidRPr="00C515AD">
        <w:rPr>
          <w:color w:val="000000"/>
          <w:sz w:val="20"/>
          <w:szCs w:val="20"/>
          <w:lang w:eastAsia="en-GB"/>
        </w:rPr>
        <w:t xml:space="preserve"> IgG-microparticles (1.6</w:t>
      </w:r>
      <w:r w:rsidR="007B32AE" w:rsidRPr="00C515A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µ</w:t>
      </w:r>
      <w:r w:rsidR="007B32AE" w:rsidRPr="00C515AD">
        <w:rPr>
          <w:color w:val="000000"/>
          <w:sz w:val="20"/>
          <w:szCs w:val="20"/>
          <w:lang w:eastAsia="en-GB"/>
        </w:rPr>
        <w:t>M</w:t>
      </w:r>
      <w:r w:rsidR="00962D25" w:rsidRPr="00C515AD">
        <w:rPr>
          <w:color w:val="000000"/>
          <w:sz w:val="20"/>
          <w:szCs w:val="20"/>
          <w:lang w:eastAsia="en-GB"/>
        </w:rPr>
        <w:t xml:space="preserve"> IgG) bound via non-specific interactions. </w:t>
      </w:r>
      <w:r w:rsidR="00961048" w:rsidRPr="00C515AD">
        <w:rPr>
          <w:b/>
          <w:bCs/>
          <w:color w:val="000000"/>
          <w:sz w:val="20"/>
          <w:szCs w:val="20"/>
          <w:lang w:eastAsia="en-GB"/>
        </w:rPr>
        <w:t>d</w:t>
      </w:r>
      <w:r w:rsidR="00962D25" w:rsidRPr="00C515AD">
        <w:rPr>
          <w:b/>
          <w:bCs/>
          <w:color w:val="000000"/>
          <w:sz w:val="20"/>
          <w:szCs w:val="20"/>
          <w:lang w:eastAsia="en-GB"/>
        </w:rPr>
        <w:t>.</w:t>
      </w:r>
      <w:r w:rsidR="00962D25" w:rsidRPr="00C515AD">
        <w:rPr>
          <w:color w:val="000000"/>
          <w:sz w:val="20"/>
          <w:szCs w:val="20"/>
          <w:lang w:eastAsia="en-GB"/>
        </w:rPr>
        <w:t xml:space="preserve"> Blank or </w:t>
      </w:r>
      <w:r w:rsidR="00B90E91" w:rsidRPr="00C515AD">
        <w:rPr>
          <w:color w:val="000000"/>
          <w:sz w:val="20"/>
          <w:szCs w:val="20"/>
          <w:lang w:eastAsia="en-GB"/>
        </w:rPr>
        <w:t>non-</w:t>
      </w:r>
      <w:r w:rsidR="00962D25" w:rsidRPr="00C515AD">
        <w:rPr>
          <w:color w:val="000000"/>
          <w:sz w:val="20"/>
          <w:szCs w:val="20"/>
          <w:lang w:eastAsia="en-GB"/>
        </w:rPr>
        <w:t>functionalised microparticles bound via non-specific interactions</w:t>
      </w:r>
      <w:r w:rsidR="00962AED">
        <w:rPr>
          <w:color w:val="000000"/>
          <w:sz w:val="20"/>
          <w:szCs w:val="20"/>
          <w:lang w:eastAsia="en-GB"/>
        </w:rPr>
        <w:t>.</w:t>
      </w:r>
    </w:p>
    <w:p w:rsidR="004F2795" w:rsidRDefault="004F2795" w:rsidP="0065429A">
      <w:pPr>
        <w:spacing w:after="0" w:line="240" w:lineRule="auto"/>
        <w:jc w:val="both"/>
        <w:outlineLvl w:val="0"/>
        <w:rPr>
          <w:color w:val="000000"/>
          <w:sz w:val="22"/>
          <w:szCs w:val="22"/>
          <w:lang w:eastAsia="en-GB"/>
        </w:rPr>
      </w:pPr>
    </w:p>
    <w:p w:rsidR="00C515AD" w:rsidRDefault="00C515AD" w:rsidP="004C69FC">
      <w:pPr>
        <w:spacing w:after="120"/>
        <w:rPr>
          <w:b/>
          <w:bCs/>
          <w:color w:val="000000"/>
          <w:sz w:val="22"/>
          <w:szCs w:val="22"/>
          <w:lang w:eastAsia="en-GB"/>
        </w:rPr>
      </w:pPr>
    </w:p>
    <w:p w:rsidR="004F2795" w:rsidRDefault="004F2795" w:rsidP="00D25CCE">
      <w:pPr>
        <w:spacing w:after="0" w:line="240" w:lineRule="auto"/>
        <w:jc w:val="both"/>
        <w:outlineLvl w:val="0"/>
        <w:rPr>
          <w:color w:val="000000"/>
          <w:sz w:val="22"/>
          <w:szCs w:val="22"/>
          <w:lang w:eastAsia="en-GB"/>
        </w:rPr>
      </w:pPr>
      <w:r w:rsidRPr="004F2795">
        <w:rPr>
          <w:b/>
          <w:bCs/>
          <w:color w:val="000000"/>
          <w:sz w:val="22"/>
          <w:szCs w:val="22"/>
          <w:lang w:eastAsia="en-GB"/>
        </w:rPr>
        <w:t>Table S1</w:t>
      </w:r>
      <w:r>
        <w:rPr>
          <w:color w:val="000000"/>
          <w:sz w:val="22"/>
          <w:szCs w:val="22"/>
          <w:lang w:eastAsia="en-GB"/>
        </w:rPr>
        <w:t xml:space="preserve"> shows the </w:t>
      </w:r>
      <w:r w:rsidRPr="00346C8D">
        <w:rPr>
          <w:color w:val="000000"/>
          <w:sz w:val="22"/>
          <w:szCs w:val="22"/>
          <w:lang w:eastAsia="en-GB"/>
        </w:rPr>
        <w:t xml:space="preserve">comparative set of signal-to-noise ratios across replicates for the highest IgE </w:t>
      </w:r>
      <w:r w:rsidR="00AD4321">
        <w:rPr>
          <w:color w:val="000000"/>
          <w:sz w:val="22"/>
          <w:szCs w:val="22"/>
          <w:lang w:eastAsia="en-GB"/>
        </w:rPr>
        <w:t xml:space="preserve">solution </w:t>
      </w:r>
      <w:r w:rsidRPr="00346C8D">
        <w:rPr>
          <w:color w:val="000000"/>
          <w:sz w:val="22"/>
          <w:szCs w:val="22"/>
          <w:lang w:eastAsia="en-GB"/>
        </w:rPr>
        <w:t xml:space="preserve">concentration </w:t>
      </w:r>
      <w:r w:rsidR="00D25CCE">
        <w:rPr>
          <w:color w:val="000000"/>
          <w:sz w:val="22"/>
          <w:szCs w:val="22"/>
          <w:lang w:eastAsia="en-GB"/>
        </w:rPr>
        <w:t xml:space="preserve">(3.2uM) </w:t>
      </w:r>
      <w:r w:rsidR="00AD4321">
        <w:rPr>
          <w:color w:val="000000"/>
          <w:sz w:val="22"/>
          <w:szCs w:val="22"/>
          <w:lang w:eastAsia="en-GB"/>
        </w:rPr>
        <w:t>used in the work</w:t>
      </w:r>
      <w:r>
        <w:rPr>
          <w:color w:val="000000"/>
          <w:sz w:val="22"/>
          <w:szCs w:val="22"/>
          <w:lang w:eastAsia="en-GB"/>
        </w:rPr>
        <w:t>.</w:t>
      </w:r>
    </w:p>
    <w:p w:rsidR="004F2795" w:rsidRDefault="004F2795" w:rsidP="004F2795">
      <w:pPr>
        <w:spacing w:after="0" w:line="240" w:lineRule="auto"/>
        <w:jc w:val="both"/>
        <w:outlineLvl w:val="0"/>
        <w:rPr>
          <w:color w:val="000000"/>
          <w:sz w:val="22"/>
          <w:szCs w:val="22"/>
          <w:lang w:eastAsia="en-GB"/>
        </w:rPr>
      </w:pPr>
    </w:p>
    <w:p w:rsidR="00A40805" w:rsidRDefault="00BE0B7F" w:rsidP="00235F2C">
      <w:pPr>
        <w:spacing w:after="0" w:line="240" w:lineRule="auto"/>
        <w:jc w:val="center"/>
        <w:outlineLvl w:val="0"/>
        <w:rPr>
          <w:color w:val="000000"/>
          <w:sz w:val="22"/>
          <w:szCs w:val="22"/>
          <w:lang w:eastAsia="en-GB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1A2E1775" wp14:editId="7546927B">
            <wp:extent cx="3856497" cy="3343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S1_final.t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5" t="24257" r="25737" b="19307"/>
                    <a:stretch/>
                  </pic:blipFill>
                  <pic:spPr bwMode="auto">
                    <a:xfrm>
                      <a:off x="0" y="0"/>
                      <a:ext cx="3873260" cy="3357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0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5B" w:rsidRDefault="00AF3A5B" w:rsidP="009F485B">
      <w:pPr>
        <w:spacing w:after="0" w:line="240" w:lineRule="auto"/>
      </w:pPr>
      <w:r>
        <w:separator/>
      </w:r>
    </w:p>
  </w:endnote>
  <w:endnote w:type="continuationSeparator" w:id="0">
    <w:p w:rsidR="00AF3A5B" w:rsidRDefault="00AF3A5B" w:rsidP="009F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5B" w:rsidRDefault="00AF3A5B" w:rsidP="009F485B">
      <w:pPr>
        <w:spacing w:after="0" w:line="240" w:lineRule="auto"/>
      </w:pPr>
      <w:r>
        <w:separator/>
      </w:r>
    </w:p>
  </w:footnote>
  <w:footnote w:type="continuationSeparator" w:id="0">
    <w:p w:rsidR="00AF3A5B" w:rsidRDefault="00AF3A5B" w:rsidP="009F4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92865"/>
    <w:multiLevelType w:val="multilevel"/>
    <w:tmpl w:val="DE22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E0"/>
    <w:rsid w:val="00003BFD"/>
    <w:rsid w:val="00004E93"/>
    <w:rsid w:val="0001115E"/>
    <w:rsid w:val="000112F3"/>
    <w:rsid w:val="00025900"/>
    <w:rsid w:val="000333DB"/>
    <w:rsid w:val="00035684"/>
    <w:rsid w:val="00036216"/>
    <w:rsid w:val="00042371"/>
    <w:rsid w:val="00043796"/>
    <w:rsid w:val="00051445"/>
    <w:rsid w:val="000536D2"/>
    <w:rsid w:val="000568E0"/>
    <w:rsid w:val="0005744E"/>
    <w:rsid w:val="000706EB"/>
    <w:rsid w:val="0007146F"/>
    <w:rsid w:val="00083C7B"/>
    <w:rsid w:val="000931CB"/>
    <w:rsid w:val="00095F39"/>
    <w:rsid w:val="000B7903"/>
    <w:rsid w:val="000C63BD"/>
    <w:rsid w:val="000C6D08"/>
    <w:rsid w:val="000F1273"/>
    <w:rsid w:val="00110FEA"/>
    <w:rsid w:val="0011512B"/>
    <w:rsid w:val="00123579"/>
    <w:rsid w:val="00124ADD"/>
    <w:rsid w:val="00124C54"/>
    <w:rsid w:val="00133421"/>
    <w:rsid w:val="0013584E"/>
    <w:rsid w:val="00135B1A"/>
    <w:rsid w:val="00141169"/>
    <w:rsid w:val="00150BE9"/>
    <w:rsid w:val="00182871"/>
    <w:rsid w:val="00184911"/>
    <w:rsid w:val="0019154B"/>
    <w:rsid w:val="00193CE0"/>
    <w:rsid w:val="001B0642"/>
    <w:rsid w:val="001B07E3"/>
    <w:rsid w:val="001B142A"/>
    <w:rsid w:val="001C267D"/>
    <w:rsid w:val="001F1FC0"/>
    <w:rsid w:val="0020377C"/>
    <w:rsid w:val="002074D4"/>
    <w:rsid w:val="002135C4"/>
    <w:rsid w:val="0022662B"/>
    <w:rsid w:val="00231EBE"/>
    <w:rsid w:val="00235F2C"/>
    <w:rsid w:val="0023737C"/>
    <w:rsid w:val="00241985"/>
    <w:rsid w:val="0025416F"/>
    <w:rsid w:val="00257B07"/>
    <w:rsid w:val="0026250F"/>
    <w:rsid w:val="002627A3"/>
    <w:rsid w:val="00265467"/>
    <w:rsid w:val="0026591D"/>
    <w:rsid w:val="0028169A"/>
    <w:rsid w:val="00287D55"/>
    <w:rsid w:val="00290BD6"/>
    <w:rsid w:val="002B3A0C"/>
    <w:rsid w:val="002B5675"/>
    <w:rsid w:val="002C357E"/>
    <w:rsid w:val="002C42E8"/>
    <w:rsid w:val="002C7124"/>
    <w:rsid w:val="002E7093"/>
    <w:rsid w:val="002E7500"/>
    <w:rsid w:val="002F08CE"/>
    <w:rsid w:val="003065E2"/>
    <w:rsid w:val="0031443C"/>
    <w:rsid w:val="00323DEE"/>
    <w:rsid w:val="003251E5"/>
    <w:rsid w:val="00326BD4"/>
    <w:rsid w:val="00327047"/>
    <w:rsid w:val="00330F88"/>
    <w:rsid w:val="00331C29"/>
    <w:rsid w:val="00347681"/>
    <w:rsid w:val="0035162B"/>
    <w:rsid w:val="00352119"/>
    <w:rsid w:val="00354294"/>
    <w:rsid w:val="00355E5E"/>
    <w:rsid w:val="00356665"/>
    <w:rsid w:val="00390566"/>
    <w:rsid w:val="00397D51"/>
    <w:rsid w:val="003A1530"/>
    <w:rsid w:val="003A6264"/>
    <w:rsid w:val="003B056E"/>
    <w:rsid w:val="003B48E6"/>
    <w:rsid w:val="003B4DFC"/>
    <w:rsid w:val="003C7EFA"/>
    <w:rsid w:val="003D3C31"/>
    <w:rsid w:val="003D71F2"/>
    <w:rsid w:val="00414F6C"/>
    <w:rsid w:val="00431621"/>
    <w:rsid w:val="00473726"/>
    <w:rsid w:val="00474A39"/>
    <w:rsid w:val="00477E4E"/>
    <w:rsid w:val="00494FA2"/>
    <w:rsid w:val="004A3210"/>
    <w:rsid w:val="004A5F59"/>
    <w:rsid w:val="004B0177"/>
    <w:rsid w:val="004B0E10"/>
    <w:rsid w:val="004B2198"/>
    <w:rsid w:val="004C69FC"/>
    <w:rsid w:val="004C6DE9"/>
    <w:rsid w:val="004C7465"/>
    <w:rsid w:val="004D2CF6"/>
    <w:rsid w:val="004E076A"/>
    <w:rsid w:val="004F2795"/>
    <w:rsid w:val="004F2A75"/>
    <w:rsid w:val="004F3811"/>
    <w:rsid w:val="004F49AE"/>
    <w:rsid w:val="004F51FE"/>
    <w:rsid w:val="004F7F4F"/>
    <w:rsid w:val="0050764F"/>
    <w:rsid w:val="0051156C"/>
    <w:rsid w:val="0051465C"/>
    <w:rsid w:val="00532D2B"/>
    <w:rsid w:val="00542811"/>
    <w:rsid w:val="005463D8"/>
    <w:rsid w:val="005515DB"/>
    <w:rsid w:val="005524F1"/>
    <w:rsid w:val="0055712D"/>
    <w:rsid w:val="00573B66"/>
    <w:rsid w:val="00574B88"/>
    <w:rsid w:val="00585C9F"/>
    <w:rsid w:val="005A2C8F"/>
    <w:rsid w:val="005C0B22"/>
    <w:rsid w:val="005C274D"/>
    <w:rsid w:val="005E0BCF"/>
    <w:rsid w:val="005F00F1"/>
    <w:rsid w:val="00602552"/>
    <w:rsid w:val="00613A1C"/>
    <w:rsid w:val="006344EC"/>
    <w:rsid w:val="00635EE6"/>
    <w:rsid w:val="00637325"/>
    <w:rsid w:val="006407E7"/>
    <w:rsid w:val="00640BF6"/>
    <w:rsid w:val="0065429A"/>
    <w:rsid w:val="0065748D"/>
    <w:rsid w:val="006613D5"/>
    <w:rsid w:val="0066333A"/>
    <w:rsid w:val="00673527"/>
    <w:rsid w:val="00682E8B"/>
    <w:rsid w:val="00690FEA"/>
    <w:rsid w:val="006A51A0"/>
    <w:rsid w:val="006B3E16"/>
    <w:rsid w:val="006E730D"/>
    <w:rsid w:val="006E734C"/>
    <w:rsid w:val="006F1CEF"/>
    <w:rsid w:val="00700224"/>
    <w:rsid w:val="007031ED"/>
    <w:rsid w:val="00711D5E"/>
    <w:rsid w:val="00720853"/>
    <w:rsid w:val="00725659"/>
    <w:rsid w:val="00731FEB"/>
    <w:rsid w:val="00733305"/>
    <w:rsid w:val="00743436"/>
    <w:rsid w:val="00745E04"/>
    <w:rsid w:val="0074637D"/>
    <w:rsid w:val="00753C09"/>
    <w:rsid w:val="00755F3A"/>
    <w:rsid w:val="00764DB8"/>
    <w:rsid w:val="00785281"/>
    <w:rsid w:val="0079198A"/>
    <w:rsid w:val="00794092"/>
    <w:rsid w:val="0079684F"/>
    <w:rsid w:val="007B32AE"/>
    <w:rsid w:val="007C4735"/>
    <w:rsid w:val="007C5F1B"/>
    <w:rsid w:val="007E403C"/>
    <w:rsid w:val="008009D1"/>
    <w:rsid w:val="0080387A"/>
    <w:rsid w:val="0080733A"/>
    <w:rsid w:val="00811C47"/>
    <w:rsid w:val="008417B3"/>
    <w:rsid w:val="00841FBF"/>
    <w:rsid w:val="00842D30"/>
    <w:rsid w:val="008432DA"/>
    <w:rsid w:val="00844423"/>
    <w:rsid w:val="00850544"/>
    <w:rsid w:val="00852506"/>
    <w:rsid w:val="0085708D"/>
    <w:rsid w:val="008671A0"/>
    <w:rsid w:val="00885A18"/>
    <w:rsid w:val="00894EEB"/>
    <w:rsid w:val="00896241"/>
    <w:rsid w:val="008A09B6"/>
    <w:rsid w:val="008A0A32"/>
    <w:rsid w:val="008A1777"/>
    <w:rsid w:val="008C02C9"/>
    <w:rsid w:val="008C0456"/>
    <w:rsid w:val="008C73BF"/>
    <w:rsid w:val="008D2E53"/>
    <w:rsid w:val="008D4636"/>
    <w:rsid w:val="008E0D5B"/>
    <w:rsid w:val="008E324B"/>
    <w:rsid w:val="00910755"/>
    <w:rsid w:val="00910824"/>
    <w:rsid w:val="00913AE6"/>
    <w:rsid w:val="00922367"/>
    <w:rsid w:val="00927688"/>
    <w:rsid w:val="009329DB"/>
    <w:rsid w:val="0093341E"/>
    <w:rsid w:val="00936013"/>
    <w:rsid w:val="00937DFF"/>
    <w:rsid w:val="00940896"/>
    <w:rsid w:val="0094280A"/>
    <w:rsid w:val="00945005"/>
    <w:rsid w:val="009465F3"/>
    <w:rsid w:val="00961048"/>
    <w:rsid w:val="00962AED"/>
    <w:rsid w:val="00962D25"/>
    <w:rsid w:val="00963D3B"/>
    <w:rsid w:val="009A0B7F"/>
    <w:rsid w:val="009B23F1"/>
    <w:rsid w:val="009B7004"/>
    <w:rsid w:val="009D14FC"/>
    <w:rsid w:val="009D16D8"/>
    <w:rsid w:val="009D30A1"/>
    <w:rsid w:val="009E76B7"/>
    <w:rsid w:val="009E78E6"/>
    <w:rsid w:val="009F485B"/>
    <w:rsid w:val="00A02A17"/>
    <w:rsid w:val="00A05872"/>
    <w:rsid w:val="00A10C0E"/>
    <w:rsid w:val="00A10C4F"/>
    <w:rsid w:val="00A11331"/>
    <w:rsid w:val="00A12462"/>
    <w:rsid w:val="00A16E03"/>
    <w:rsid w:val="00A40805"/>
    <w:rsid w:val="00A40E41"/>
    <w:rsid w:val="00A424F1"/>
    <w:rsid w:val="00A442AE"/>
    <w:rsid w:val="00A52354"/>
    <w:rsid w:val="00A54212"/>
    <w:rsid w:val="00A56E59"/>
    <w:rsid w:val="00A75C3F"/>
    <w:rsid w:val="00A75DDD"/>
    <w:rsid w:val="00AA1FC1"/>
    <w:rsid w:val="00AA25B1"/>
    <w:rsid w:val="00AB0E17"/>
    <w:rsid w:val="00AB1EE1"/>
    <w:rsid w:val="00AB4406"/>
    <w:rsid w:val="00AB51E5"/>
    <w:rsid w:val="00AC09A6"/>
    <w:rsid w:val="00AD4321"/>
    <w:rsid w:val="00AE5EA5"/>
    <w:rsid w:val="00AF26CF"/>
    <w:rsid w:val="00AF3A5B"/>
    <w:rsid w:val="00AF6A55"/>
    <w:rsid w:val="00B15AAD"/>
    <w:rsid w:val="00B16530"/>
    <w:rsid w:val="00B17A69"/>
    <w:rsid w:val="00B24502"/>
    <w:rsid w:val="00B25D4A"/>
    <w:rsid w:val="00B27419"/>
    <w:rsid w:val="00B300DB"/>
    <w:rsid w:val="00B3721E"/>
    <w:rsid w:val="00B372D2"/>
    <w:rsid w:val="00B70B75"/>
    <w:rsid w:val="00B76335"/>
    <w:rsid w:val="00B80940"/>
    <w:rsid w:val="00B87603"/>
    <w:rsid w:val="00B90E91"/>
    <w:rsid w:val="00BA3F9F"/>
    <w:rsid w:val="00BA7730"/>
    <w:rsid w:val="00BB343E"/>
    <w:rsid w:val="00BB4C59"/>
    <w:rsid w:val="00BC01FD"/>
    <w:rsid w:val="00BC0293"/>
    <w:rsid w:val="00BC6160"/>
    <w:rsid w:val="00BC6A62"/>
    <w:rsid w:val="00BD1088"/>
    <w:rsid w:val="00BD1AEC"/>
    <w:rsid w:val="00BE0B7F"/>
    <w:rsid w:val="00BF034E"/>
    <w:rsid w:val="00BF711E"/>
    <w:rsid w:val="00C2478A"/>
    <w:rsid w:val="00C31E00"/>
    <w:rsid w:val="00C32867"/>
    <w:rsid w:val="00C41720"/>
    <w:rsid w:val="00C47AA2"/>
    <w:rsid w:val="00C515AD"/>
    <w:rsid w:val="00C51936"/>
    <w:rsid w:val="00C567C7"/>
    <w:rsid w:val="00C65903"/>
    <w:rsid w:val="00C74372"/>
    <w:rsid w:val="00C75C5C"/>
    <w:rsid w:val="00C92947"/>
    <w:rsid w:val="00C95A03"/>
    <w:rsid w:val="00C962BC"/>
    <w:rsid w:val="00C9668E"/>
    <w:rsid w:val="00C971D0"/>
    <w:rsid w:val="00CE6974"/>
    <w:rsid w:val="00CF18B2"/>
    <w:rsid w:val="00D01130"/>
    <w:rsid w:val="00D07E4C"/>
    <w:rsid w:val="00D12138"/>
    <w:rsid w:val="00D1268D"/>
    <w:rsid w:val="00D174EE"/>
    <w:rsid w:val="00D2243A"/>
    <w:rsid w:val="00D242FD"/>
    <w:rsid w:val="00D25CCE"/>
    <w:rsid w:val="00D42FB6"/>
    <w:rsid w:val="00D605F3"/>
    <w:rsid w:val="00D778B4"/>
    <w:rsid w:val="00D8307E"/>
    <w:rsid w:val="00DA0EBB"/>
    <w:rsid w:val="00DA12E8"/>
    <w:rsid w:val="00DA1639"/>
    <w:rsid w:val="00DA1DC9"/>
    <w:rsid w:val="00DA2473"/>
    <w:rsid w:val="00DA3D4B"/>
    <w:rsid w:val="00DA6BAD"/>
    <w:rsid w:val="00DB509E"/>
    <w:rsid w:val="00DC249F"/>
    <w:rsid w:val="00DC4F9D"/>
    <w:rsid w:val="00DD2689"/>
    <w:rsid w:val="00DF4568"/>
    <w:rsid w:val="00DF5858"/>
    <w:rsid w:val="00E01624"/>
    <w:rsid w:val="00E0263C"/>
    <w:rsid w:val="00E02E48"/>
    <w:rsid w:val="00E0499D"/>
    <w:rsid w:val="00E14B9F"/>
    <w:rsid w:val="00E15966"/>
    <w:rsid w:val="00E206E4"/>
    <w:rsid w:val="00E365C9"/>
    <w:rsid w:val="00E51D23"/>
    <w:rsid w:val="00E51F70"/>
    <w:rsid w:val="00E649EE"/>
    <w:rsid w:val="00E70860"/>
    <w:rsid w:val="00E72A7E"/>
    <w:rsid w:val="00E75C61"/>
    <w:rsid w:val="00E803FE"/>
    <w:rsid w:val="00E921BE"/>
    <w:rsid w:val="00E94C14"/>
    <w:rsid w:val="00EB2333"/>
    <w:rsid w:val="00EB764A"/>
    <w:rsid w:val="00EB7FF2"/>
    <w:rsid w:val="00ED0C53"/>
    <w:rsid w:val="00ED2E40"/>
    <w:rsid w:val="00EF4BBD"/>
    <w:rsid w:val="00EF658D"/>
    <w:rsid w:val="00F04E11"/>
    <w:rsid w:val="00F17378"/>
    <w:rsid w:val="00F41E9A"/>
    <w:rsid w:val="00F436EE"/>
    <w:rsid w:val="00F628C3"/>
    <w:rsid w:val="00F72090"/>
    <w:rsid w:val="00F76517"/>
    <w:rsid w:val="00F93B9F"/>
    <w:rsid w:val="00F962B1"/>
    <w:rsid w:val="00FA024F"/>
    <w:rsid w:val="00FA1F4F"/>
    <w:rsid w:val="00FA7671"/>
    <w:rsid w:val="00FB3C42"/>
    <w:rsid w:val="00FB6584"/>
    <w:rsid w:val="00FB730A"/>
    <w:rsid w:val="00FC177D"/>
    <w:rsid w:val="00FC1788"/>
    <w:rsid w:val="00FC6A65"/>
    <w:rsid w:val="00FC75B6"/>
    <w:rsid w:val="00FD00EF"/>
    <w:rsid w:val="00FD3CE3"/>
    <w:rsid w:val="00FE3F45"/>
    <w:rsid w:val="00FE477B"/>
    <w:rsid w:val="00FE769B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436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4A39"/>
    <w:rPr>
      <w:color w:val="808080"/>
    </w:rPr>
  </w:style>
  <w:style w:type="paragraph" w:styleId="ListParagraph">
    <w:name w:val="List Paragraph"/>
    <w:basedOn w:val="Normal"/>
    <w:uiPriority w:val="34"/>
    <w:qFormat/>
    <w:rsid w:val="00414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85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85B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02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6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37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37D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436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4A39"/>
    <w:rPr>
      <w:color w:val="808080"/>
    </w:rPr>
  </w:style>
  <w:style w:type="paragraph" w:styleId="ListParagraph">
    <w:name w:val="List Paragraph"/>
    <w:basedOn w:val="Normal"/>
    <w:uiPriority w:val="34"/>
    <w:qFormat/>
    <w:rsid w:val="00414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85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85B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02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6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37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37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t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0490-CB3E-4E7C-94A4-57D872F3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Supporting Information: Characterization of particle-surface interactions via an</vt:lpstr>
      <vt:lpstr/>
      <vt:lpstr>1 Centre for Biological Engineering, Loughborough University, UK</vt:lpstr>
      <vt:lpstr>* Corresponding author</vt:lpstr>
      <vt:lpstr/>
      <vt:lpstr/>
      <vt:lpstr>§1. Loop feature of ,𝐼-3𝑓.-,𝐼-1𝑓. graph</vt:lpstr>
      <vt:lpstr>The peak value of ,𝐼-1𝑓. is achieved when 𝜔 is close to the fundamental reson</vt:lpstr>
      <vt:lpstr/>
      <vt:lpstr/>
      <vt:lpstr>§2. Microscopic observation of QCR coverage</vt:lpstr>
      <vt:lpstr>Microscopic observations showed comparable surface coverage of the QCR with micr</vt:lpstr>
      <vt:lpstr/>
      <vt:lpstr>The surface coverage was also comparable for microparticles with similar concent</vt:lpstr>
      <vt:lpstr/>
      <vt:lpstr>/</vt:lpstr>
      <vt:lpstr>/</vt:lpstr>
      <vt:lpstr/>
      <vt:lpstr>Figure S1. Micrographs of the quartz crystal resonator electrode at the end of t</vt:lpstr>
      <vt:lpstr/>
      <vt:lpstr>Table S1 shows the comparative set of signal-to-noise ratios across replicates f</vt:lpstr>
      <vt:lpstr/>
      <vt:lpstr>/</vt:lpstr>
    </vt:vector>
  </TitlesOfParts>
  <Company>Loughborough University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3</cp:revision>
  <cp:lastPrinted>2017-05-05T09:46:00Z</cp:lastPrinted>
  <dcterms:created xsi:type="dcterms:W3CDTF">2018-03-19T23:56:00Z</dcterms:created>
  <dcterms:modified xsi:type="dcterms:W3CDTF">2018-03-19T23:57:00Z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9676522d-9bb4-3dd9-9fd6-3f43e0b54f6e</vt:lpwstr>
  </property>
  <property fmtid="{D5CDD505-2E9C-101B-9397-08002B2CF9AE}" pid="24" name="Mendeley Citation Style_1">
    <vt:lpwstr>http://www.zotero.org/styles/apa</vt:lpwstr>
  </property>
</Properties>
</file>