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4DE24" w14:textId="77777777" w:rsidR="00D51579" w:rsidRDefault="004066B5" w:rsidP="004066B5">
      <w:pPr>
        <w:pStyle w:val="Heading1"/>
      </w:pPr>
      <w:bookmarkStart w:id="0" w:name="_GoBack"/>
      <w:bookmarkEnd w:id="0"/>
      <w:r>
        <w:t>Supplementary Information</w:t>
      </w:r>
    </w:p>
    <w:p w14:paraId="382ABB42" w14:textId="77777777" w:rsidR="004066B5" w:rsidRDefault="004066B5" w:rsidP="009C2887">
      <w:pPr>
        <w:jc w:val="center"/>
      </w:pPr>
      <w:r>
        <w:rPr>
          <w:noProof/>
          <w:lang w:val="en-US"/>
        </w:rPr>
        <w:drawing>
          <wp:inline distT="0" distB="0" distL="0" distR="0" wp14:anchorId="57BA74BC" wp14:editId="271D3A9F">
            <wp:extent cx="5475547" cy="6412411"/>
            <wp:effectExtent l="0" t="0" r="0" b="7620"/>
            <wp:docPr id="1" name="Picture 1" descr="C:\Users\mmrh12\AppData\Local\Microsoft\Windows\INetCache\Content.Word\Supplementary 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mrh12\AppData\Local\Microsoft\Windows\INetCache\Content.Word\Supplementary Figure 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239"/>
                    <a:stretch/>
                  </pic:blipFill>
                  <pic:spPr bwMode="auto">
                    <a:xfrm>
                      <a:off x="0" y="0"/>
                      <a:ext cx="5482226" cy="6420232"/>
                    </a:xfrm>
                    <a:prstGeom prst="rect">
                      <a:avLst/>
                    </a:prstGeom>
                    <a:noFill/>
                    <a:ln>
                      <a:noFill/>
                    </a:ln>
                    <a:extLst>
                      <a:ext uri="{53640926-AAD7-44D8-BBD7-CCE9431645EC}">
                        <a14:shadowObscured xmlns:a14="http://schemas.microsoft.com/office/drawing/2010/main"/>
                      </a:ext>
                    </a:extLst>
                  </pic:spPr>
                </pic:pic>
              </a:graphicData>
            </a:graphic>
          </wp:inline>
        </w:drawing>
      </w:r>
    </w:p>
    <w:p w14:paraId="5A5EA4F2" w14:textId="77777777" w:rsidR="004066B5" w:rsidRPr="008C49C4" w:rsidRDefault="004066B5" w:rsidP="008C49C4">
      <w:pPr>
        <w:pStyle w:val="Caption"/>
      </w:pPr>
      <w:r w:rsidRPr="00FC50D2">
        <w:rPr>
          <w:b/>
        </w:rPr>
        <w:t>Supplementary Figure 1.</w:t>
      </w:r>
      <w:r w:rsidRPr="004066B5">
        <w:t xml:space="preserve"> Putative manufacturing centres used within this case study. Regions were identified using situation pressures ident</w:t>
      </w:r>
      <w:r>
        <w:t>ified in Supplementary Tables and the Science and Innovation Audits</w:t>
      </w:r>
      <w:r w:rsidR="0041388C" w:rsidRPr="009B4998">
        <w:fldChar w:fldCharType="begin" w:fldLock="1"/>
      </w:r>
      <w:r w:rsidR="00567FAF">
        <w:instrText>ADDIN CSL_CITATION { "citationItems" : [ { "id" : "ITEM-1", "itemData" : { "ISBN" : "020344096X", "author" : [ { "dropping-particle" : "", "family" : "Department for Business Energy and Industrial Strategy", "given" : "", "non-dropping-particle" : "", "parse-names" : false, "suffix" : "" } ], "id" : "ITEM-1", "issue" : "November", "issued" : { "date-parts" : [ [ "2016" ] ] }, "title" : "Science and Innovation Audits: Wave 1 Summary Reports", "type" : "article-journal" }, "uris" : [ "http://www.mendeley.com/documents/?uuid=66809a1e-5dc5-4fc6-adc8-c4a2510553d2" ] } ], "mendeley" : { "formattedCitation" : "[36]", "plainTextFormattedCitation" : "[36]", "previouslyFormattedCitation" : "[36]" }, "properties" : { "noteIndex" : 0 }, "schema" : "https://github.com/citation-style-language/schema/raw/master/csl-citation.json" }</w:instrText>
      </w:r>
      <w:r w:rsidR="0041388C" w:rsidRPr="009B4998">
        <w:fldChar w:fldCharType="separate"/>
      </w:r>
      <w:r w:rsidR="00567FAF" w:rsidRPr="00567FAF">
        <w:rPr>
          <w:i w:val="0"/>
          <w:noProof/>
        </w:rPr>
        <w:t>[36]</w:t>
      </w:r>
      <w:r w:rsidR="0041388C" w:rsidRPr="009B4998">
        <w:fldChar w:fldCharType="end"/>
      </w:r>
      <w:r>
        <w:t>.</w:t>
      </w:r>
      <w:r w:rsidRPr="004066B5">
        <w:t xml:space="preserve"> The shaded areas represent 68% of the UK population and each represents an area with one or more benefits to siting a decentralised manufacturing hub or node within that region. See also the results of the Science and Innovation Audit initiative</w:t>
      </w:r>
      <w:r w:rsidR="0041388C" w:rsidRPr="009B4998">
        <w:fldChar w:fldCharType="begin" w:fldLock="1"/>
      </w:r>
      <w:r w:rsidR="00567FAF">
        <w:instrText>ADDIN CSL_CITATION { "citationItems" : [ { "id" : "ITEM-1", "itemData" : { "ISBN" : "020344096X", "author" : [ { "dropping-particle" : "", "family" : "Department for Business Energy and Industrial Strategy", "given" : "", "non-dropping-particle" : "", "parse-names" : false, "suffix" : "" } ], "id" : "ITEM-1", "issue" : "November", "issued" : { "date-parts" : [ [ "2016" ] ] }, "title" : "Science and Innovation Audits: Wave 1 Summary Reports", "type" : "article-journal" }, "uris" : [ "http://www.mendeley.com/documents/?uuid=66809a1e-5dc5-4fc6-adc8-c4a2510553d2" ] } ], "mendeley" : { "formattedCitation" : "[36]", "plainTextFormattedCitation" : "[36]", "previouslyFormattedCitation" : "[36]" }, "properties" : { "noteIndex" : 0 }, "schema" : "https://github.com/citation-style-language/schema/raw/master/csl-citation.json" }</w:instrText>
      </w:r>
      <w:r w:rsidR="0041388C" w:rsidRPr="009B4998">
        <w:fldChar w:fldCharType="separate"/>
      </w:r>
      <w:r w:rsidR="00567FAF" w:rsidRPr="00567FAF">
        <w:rPr>
          <w:i w:val="0"/>
          <w:noProof/>
        </w:rPr>
        <w:t>[36]</w:t>
      </w:r>
      <w:r w:rsidR="0041388C" w:rsidRPr="009B4998">
        <w:fldChar w:fldCharType="end"/>
      </w:r>
      <w:r w:rsidRPr="004066B5">
        <w:t>.</w:t>
      </w:r>
      <w:r w:rsidR="008C49C4">
        <w:t xml:space="preserve"> </w:t>
      </w:r>
      <w:r w:rsidR="008C49C4" w:rsidRPr="008C49C4">
        <w:t>Estimated population densities for UK regions were identified using PopulationExplorer[27</w:t>
      </w:r>
      <w:r w:rsidR="008C49C4">
        <w:t>] (Kimetrica™) and Landscan™</w:t>
      </w:r>
      <w:r w:rsidR="0041388C">
        <w:fldChar w:fldCharType="begin" w:fldLock="1"/>
      </w:r>
      <w:r w:rsidR="00567FAF">
        <w:instrText>ADDIN CSL_CITATION { "citationItems" : [ { "id" : "ITEM-1", "itemData" : { "URL" : "https://www.populationexplorer.com/", "accessed" : { "date-parts" : [ [ "2017", "7", "27" ] ] }, "author" : [ { "dropping-particle" : "", "family" : "Kimetrica", "given" : "", "non-dropping-particle" : "", "parse-names" : false, "suffix" : "" } ], "id" : "ITEM-1", "issued" : { "date-parts" : [ [ "2012" ] ] }, "title" : "Population Explorer", "type" : "webpage" }, "uris" : [ "http://www.mendeley.com/documents/?uuid=6dff8d00-0d6c-3771-9f4e-532163bffb2e" ] } ], "mendeley" : { "formattedCitation" : "[24]", "plainTextFormattedCitation" : "[24]", "previouslyFormattedCitation" : "[24]" }, "properties" : { "noteIndex" : 0 }, "schema" : "https://github.com/citation-style-language/schema/raw/master/csl-citation.json" }</w:instrText>
      </w:r>
      <w:r w:rsidR="0041388C">
        <w:fldChar w:fldCharType="separate"/>
      </w:r>
      <w:r w:rsidR="00CF6075" w:rsidRPr="00CF6075">
        <w:rPr>
          <w:i w:val="0"/>
          <w:noProof/>
        </w:rPr>
        <w:t>[24]</w:t>
      </w:r>
      <w:r w:rsidR="0041388C">
        <w:fldChar w:fldCharType="end"/>
      </w:r>
      <w:r w:rsidR="008C49C4" w:rsidRPr="008C49C4">
        <w:t xml:space="preserve">, High Resolution global Population Data </w:t>
      </w:r>
      <w:r w:rsidR="008C49C4" w:rsidRPr="008C49C4">
        <w:lastRenderedPageBreak/>
        <w:t>Set copyrighted by UT-Battelle, LLC, operator of Oak Ridge National Laboratory under Contract No. DE-AC05-00OR22725 with the United States Department of Energy.  The United States Government has certain rights in this Data Set.</w:t>
      </w:r>
    </w:p>
    <w:p w14:paraId="7BEACD2C" w14:textId="77777777" w:rsidR="00560FB0" w:rsidRPr="00560FB0" w:rsidRDefault="00383A6E">
      <w:r w:rsidRPr="00383A6E">
        <w:rPr>
          <w:noProof/>
          <w:lang w:val="en-US"/>
        </w:rPr>
        <w:drawing>
          <wp:inline distT="0" distB="0" distL="0" distR="0" wp14:anchorId="275EB5F0" wp14:editId="7776794C">
            <wp:extent cx="5943600" cy="4893103"/>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893103"/>
                    </a:xfrm>
                    <a:prstGeom prst="rect">
                      <a:avLst/>
                    </a:prstGeom>
                    <a:noFill/>
                    <a:ln>
                      <a:noFill/>
                    </a:ln>
                  </pic:spPr>
                </pic:pic>
              </a:graphicData>
            </a:graphic>
          </wp:inline>
        </w:drawing>
      </w:r>
    </w:p>
    <w:p w14:paraId="79CE1B73" w14:textId="77777777" w:rsidR="004066B5" w:rsidRDefault="00FC50D2" w:rsidP="00FC50D2">
      <w:pPr>
        <w:pStyle w:val="Caption"/>
      </w:pPr>
      <w:r w:rsidRPr="00FC50D2">
        <w:rPr>
          <w:b/>
        </w:rPr>
        <w:t>Supplementary Table 1.</w:t>
      </w:r>
      <w:r w:rsidRPr="00FC50D2">
        <w:t xml:space="preserve"> Key process and cost assumptions used.</w:t>
      </w:r>
    </w:p>
    <w:p w14:paraId="72FFFE64" w14:textId="77777777" w:rsidR="00FC50D2" w:rsidRDefault="00FC50D2" w:rsidP="00FC50D2"/>
    <w:p w14:paraId="61CF26A8" w14:textId="77777777" w:rsidR="008656F2" w:rsidRDefault="008656F2">
      <w:pPr>
        <w:spacing w:line="259" w:lineRule="auto"/>
        <w:jc w:val="left"/>
      </w:pPr>
      <w:r>
        <w:br w:type="page"/>
      </w:r>
    </w:p>
    <w:p w14:paraId="630ADD43" w14:textId="77777777" w:rsidR="00FC50D2" w:rsidRDefault="00560FB0" w:rsidP="00FC50D2">
      <w:r w:rsidRPr="00560FB0">
        <w:rPr>
          <w:noProof/>
          <w:lang w:val="en-US"/>
        </w:rPr>
        <w:lastRenderedPageBreak/>
        <w:drawing>
          <wp:inline distT="0" distB="0" distL="0" distR="0" wp14:anchorId="171852E5" wp14:editId="1B30DF74">
            <wp:extent cx="5943600" cy="2612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612620"/>
                    </a:xfrm>
                    <a:prstGeom prst="rect">
                      <a:avLst/>
                    </a:prstGeom>
                    <a:noFill/>
                    <a:ln>
                      <a:noFill/>
                    </a:ln>
                  </pic:spPr>
                </pic:pic>
              </a:graphicData>
            </a:graphic>
          </wp:inline>
        </w:drawing>
      </w:r>
    </w:p>
    <w:p w14:paraId="32D73233" w14:textId="77777777" w:rsidR="00FC50D2" w:rsidRDefault="008656F2" w:rsidP="00FC50D2">
      <w:r w:rsidRPr="008656F2">
        <w:rPr>
          <w:noProof/>
          <w:lang w:val="en-US"/>
        </w:rPr>
        <w:drawing>
          <wp:inline distT="0" distB="0" distL="0" distR="0" wp14:anchorId="3CF92AD3" wp14:editId="3DECB7A5">
            <wp:extent cx="5943600" cy="261033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610332"/>
                    </a:xfrm>
                    <a:prstGeom prst="rect">
                      <a:avLst/>
                    </a:prstGeom>
                    <a:noFill/>
                    <a:ln>
                      <a:noFill/>
                    </a:ln>
                  </pic:spPr>
                </pic:pic>
              </a:graphicData>
            </a:graphic>
          </wp:inline>
        </w:drawing>
      </w:r>
    </w:p>
    <w:p w14:paraId="04ADA6B9" w14:textId="77777777" w:rsidR="00383A6E" w:rsidRDefault="00383A6E" w:rsidP="00383A6E">
      <w:pPr>
        <w:pStyle w:val="Caption"/>
      </w:pPr>
      <w:r>
        <w:rPr>
          <w:b/>
        </w:rPr>
        <w:t>Supplementary Table 2</w:t>
      </w:r>
      <w:r w:rsidRPr="00FC50D2">
        <w:rPr>
          <w:b/>
        </w:rPr>
        <w:t>.</w:t>
      </w:r>
      <w:r w:rsidRPr="00FC50D2">
        <w:t xml:space="preserve"> Key </w:t>
      </w:r>
      <w:r w:rsidR="00F74458">
        <w:t>office and facility assumptions used for central and decentralised facilities respectively.</w:t>
      </w:r>
    </w:p>
    <w:p w14:paraId="14E1B2AB" w14:textId="77777777" w:rsidR="008656F2" w:rsidRDefault="008656F2">
      <w:pPr>
        <w:spacing w:line="259" w:lineRule="auto"/>
        <w:jc w:val="left"/>
      </w:pPr>
      <w:r>
        <w:br w:type="page"/>
      </w:r>
    </w:p>
    <w:p w14:paraId="31900B16" w14:textId="77777777" w:rsidR="008656F2" w:rsidRDefault="008656F2" w:rsidP="00FC50D2">
      <w:r w:rsidRPr="00560FB0">
        <w:rPr>
          <w:noProof/>
          <w:lang w:val="en-US"/>
        </w:rPr>
        <w:lastRenderedPageBreak/>
        <w:drawing>
          <wp:inline distT="0" distB="0" distL="0" distR="0" wp14:anchorId="3D4E0A5C" wp14:editId="75F047F5">
            <wp:extent cx="5943600" cy="2933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933700"/>
                    </a:xfrm>
                    <a:prstGeom prst="rect">
                      <a:avLst/>
                    </a:prstGeom>
                    <a:noFill/>
                    <a:ln>
                      <a:noFill/>
                    </a:ln>
                  </pic:spPr>
                </pic:pic>
              </a:graphicData>
            </a:graphic>
          </wp:inline>
        </w:drawing>
      </w:r>
    </w:p>
    <w:p w14:paraId="7E0610F9" w14:textId="77777777" w:rsidR="00FC50D2" w:rsidRDefault="00383A6E" w:rsidP="00FC50D2">
      <w:r w:rsidRPr="00383A6E">
        <w:rPr>
          <w:noProof/>
          <w:lang w:val="en-US"/>
        </w:rPr>
        <w:drawing>
          <wp:inline distT="0" distB="0" distL="0" distR="0" wp14:anchorId="1E05685C" wp14:editId="508149B1">
            <wp:extent cx="5943600" cy="264836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648361"/>
                    </a:xfrm>
                    <a:prstGeom prst="rect">
                      <a:avLst/>
                    </a:prstGeom>
                    <a:noFill/>
                    <a:ln>
                      <a:noFill/>
                    </a:ln>
                  </pic:spPr>
                </pic:pic>
              </a:graphicData>
            </a:graphic>
          </wp:inline>
        </w:drawing>
      </w:r>
    </w:p>
    <w:p w14:paraId="49C61352" w14:textId="77777777" w:rsidR="00383A6E" w:rsidRDefault="00383A6E" w:rsidP="00383A6E">
      <w:pPr>
        <w:pStyle w:val="Caption"/>
      </w:pPr>
      <w:r>
        <w:rPr>
          <w:b/>
        </w:rPr>
        <w:t>Supplementary Table 3</w:t>
      </w:r>
      <w:r w:rsidRPr="00FC50D2">
        <w:rPr>
          <w:b/>
        </w:rPr>
        <w:t>.</w:t>
      </w:r>
      <w:r w:rsidRPr="00FC50D2">
        <w:t xml:space="preserve"> </w:t>
      </w:r>
      <w:r w:rsidR="00F74458" w:rsidRPr="00FC50D2">
        <w:t xml:space="preserve">Key </w:t>
      </w:r>
      <w:r w:rsidR="00F74458">
        <w:t>labour assumptions used for central and decentralised facilities respectively.</w:t>
      </w:r>
    </w:p>
    <w:p w14:paraId="4EE01C29" w14:textId="77777777" w:rsidR="00383A6E" w:rsidRDefault="00383A6E" w:rsidP="00FC50D2"/>
    <w:p w14:paraId="06A535E7" w14:textId="77777777" w:rsidR="00383A6E" w:rsidRDefault="00383A6E" w:rsidP="00FC50D2"/>
    <w:p w14:paraId="0B118CB4" w14:textId="77777777" w:rsidR="00FC50D2" w:rsidRDefault="00FC50D2">
      <w:pPr>
        <w:spacing w:line="259" w:lineRule="auto"/>
        <w:jc w:val="left"/>
      </w:pPr>
      <w:r>
        <w:br w:type="page"/>
      </w:r>
    </w:p>
    <w:p w14:paraId="3B4F8831" w14:textId="77777777" w:rsidR="004066B5" w:rsidRDefault="00FC50D2" w:rsidP="004066B5">
      <w:r w:rsidRPr="00FC50D2">
        <w:rPr>
          <w:noProof/>
          <w:lang w:val="en-US"/>
        </w:rPr>
        <w:lastRenderedPageBreak/>
        <w:drawing>
          <wp:anchor distT="0" distB="0" distL="114300" distR="114300" simplePos="0" relativeHeight="251660288" behindDoc="0" locked="0" layoutInCell="1" allowOverlap="1" wp14:anchorId="0AF4F4F4" wp14:editId="7265EC76">
            <wp:simplePos x="0" y="0"/>
            <wp:positionH relativeFrom="column">
              <wp:posOffset>0</wp:posOffset>
            </wp:positionH>
            <wp:positionV relativeFrom="paragraph">
              <wp:posOffset>415290</wp:posOffset>
            </wp:positionV>
            <wp:extent cx="3491865" cy="2714625"/>
            <wp:effectExtent l="0" t="0" r="0" b="0"/>
            <wp:wrapNone/>
            <wp:docPr id="1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4" cstate="print"/>
                    <a:stretch>
                      <a:fillRect/>
                    </a:stretch>
                  </pic:blipFill>
                  <pic:spPr>
                    <a:xfrm>
                      <a:off x="0" y="0"/>
                      <a:ext cx="3491865" cy="2714625"/>
                    </a:xfrm>
                    <a:prstGeom prst="rect">
                      <a:avLst/>
                    </a:prstGeom>
                  </pic:spPr>
                </pic:pic>
              </a:graphicData>
            </a:graphic>
          </wp:anchor>
        </w:drawing>
      </w:r>
    </w:p>
    <w:p w14:paraId="75289F7B" w14:textId="77777777" w:rsidR="00FC50D2" w:rsidRDefault="00FC50D2" w:rsidP="004066B5"/>
    <w:p w14:paraId="327B302A" w14:textId="77777777" w:rsidR="004066B5" w:rsidRDefault="004066B5" w:rsidP="004066B5"/>
    <w:p w14:paraId="3AF3861D" w14:textId="77777777" w:rsidR="004066B5" w:rsidRDefault="004066B5" w:rsidP="004066B5"/>
    <w:p w14:paraId="2B6CCB9F" w14:textId="77777777" w:rsidR="00FC50D2" w:rsidRDefault="00FC50D2" w:rsidP="004066B5"/>
    <w:p w14:paraId="07CC5860" w14:textId="77777777" w:rsidR="00FC50D2" w:rsidRDefault="00FC50D2" w:rsidP="004066B5"/>
    <w:p w14:paraId="45670489" w14:textId="77777777" w:rsidR="00383A6E" w:rsidRDefault="00383A6E" w:rsidP="004066B5"/>
    <w:p w14:paraId="1C25D550" w14:textId="77777777" w:rsidR="00FC50D2" w:rsidRDefault="00FC50D2" w:rsidP="004066B5"/>
    <w:p w14:paraId="727513DC" w14:textId="77777777" w:rsidR="00FC50D2" w:rsidRPr="00FC50D2" w:rsidRDefault="00FC50D2" w:rsidP="00FC50D2">
      <w:pPr>
        <w:pStyle w:val="Caption"/>
        <w:rPr>
          <w:lang w:val="en-US"/>
        </w:rPr>
      </w:pPr>
      <w:r w:rsidRPr="00FC50D2">
        <w:rPr>
          <w:b/>
        </w:rPr>
        <w:t xml:space="preserve">Supplementary Table </w:t>
      </w:r>
      <w:r w:rsidR="00383A6E">
        <w:rPr>
          <w:b/>
        </w:rPr>
        <w:t>4</w:t>
      </w:r>
      <w:r w:rsidRPr="00FC50D2">
        <w:rPr>
          <w:b/>
        </w:rPr>
        <w:t>.</w:t>
      </w:r>
      <w:r w:rsidRPr="00FC50D2">
        <w:t xml:space="preserve"> Median full-time gross weekly earnings and percentage change from previous year by UK regions. Obtained from the Annual Survey of Hours and Earnings (ASHE) - Office for National Statistics.</w:t>
      </w:r>
    </w:p>
    <w:p w14:paraId="1087C8CC" w14:textId="77777777" w:rsidR="00FC50D2" w:rsidRDefault="00FC50D2" w:rsidP="004066B5"/>
    <w:p w14:paraId="442F06E9" w14:textId="77777777" w:rsidR="00383A6E" w:rsidRDefault="00383A6E">
      <w:pPr>
        <w:spacing w:line="259" w:lineRule="auto"/>
        <w:jc w:val="left"/>
      </w:pPr>
      <w:r>
        <w:br w:type="page"/>
      </w:r>
    </w:p>
    <w:p w14:paraId="5B28F973" w14:textId="2F6BD9AB" w:rsidR="00383A6E" w:rsidRDefault="00E1783C" w:rsidP="004066B5">
      <w:r>
        <w:rPr>
          <w:noProof/>
        </w:rPr>
        <w:lastRenderedPageBreak/>
        <mc:AlternateContent>
          <mc:Choice Requires="wps">
            <w:drawing>
              <wp:anchor distT="45720" distB="45720" distL="114300" distR="114300" simplePos="0" relativeHeight="251662336" behindDoc="0" locked="0" layoutInCell="1" allowOverlap="1" wp14:anchorId="4B2D5112" wp14:editId="62F0153E">
                <wp:simplePos x="0" y="0"/>
                <wp:positionH relativeFrom="column">
                  <wp:posOffset>3781425</wp:posOffset>
                </wp:positionH>
                <wp:positionV relativeFrom="paragraph">
                  <wp:posOffset>454025</wp:posOffset>
                </wp:positionV>
                <wp:extent cx="2287270" cy="1404620"/>
                <wp:effectExtent l="0" t="571500" r="0" b="5384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287270" cy="1404620"/>
                        </a:xfrm>
                        <a:prstGeom prst="rect">
                          <a:avLst/>
                        </a:prstGeom>
                        <a:solidFill>
                          <a:srgbClr val="FFFFFF"/>
                        </a:solidFill>
                        <a:ln w="9525">
                          <a:noFill/>
                          <a:miter lim="800000"/>
                          <a:headEnd/>
                          <a:tailEnd/>
                        </a:ln>
                      </wps:spPr>
                      <wps:txbx>
                        <w:txbxContent>
                          <w:p w14:paraId="5275A1D8" w14:textId="77777777" w:rsidR="00792CD2" w:rsidRPr="00FC50D2" w:rsidRDefault="00792CD2" w:rsidP="00383A6E">
                            <w:pPr>
                              <w:pStyle w:val="Caption"/>
                              <w:rPr>
                                <w:lang w:val="en-US"/>
                              </w:rPr>
                            </w:pPr>
                            <w:r w:rsidRPr="00FC50D2">
                              <w:rPr>
                                <w:b/>
                              </w:rPr>
                              <w:t xml:space="preserve">Supplementary Table </w:t>
                            </w:r>
                            <w:r>
                              <w:rPr>
                                <w:b/>
                              </w:rPr>
                              <w:t>5</w:t>
                            </w:r>
                            <w:r w:rsidRPr="00FC50D2">
                              <w:rPr>
                                <w:b/>
                              </w:rPr>
                              <w:t>.</w:t>
                            </w:r>
                            <w:r w:rsidRPr="00FC50D2">
                              <w:t xml:space="preserve"> </w:t>
                            </w:r>
                            <w:r>
                              <w:t xml:space="preserve">Salary bands were obtained from the UK National Health Service Pay Scales. These were then adjusted for each region using the </w:t>
                            </w:r>
                            <w:r w:rsidRPr="00FC50D2">
                              <w:t>Median full-time gross weekly earnings and percentage change from previous year by UK regions</w:t>
                            </w:r>
                            <w:r>
                              <w:t xml:space="preserve"> in Supplementary Figure 4</w:t>
                            </w:r>
                            <w:r w:rsidRPr="00FC50D2">
                              <w:t>.</w:t>
                            </w:r>
                          </w:p>
                          <w:p w14:paraId="05CEB157" w14:textId="77777777" w:rsidR="00792CD2" w:rsidRPr="009C2887" w:rsidRDefault="00792CD2">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2D5112" id="_x0000_t202" coordsize="21600,21600" o:spt="202" path="m,l,21600r21600,l21600,xe">
                <v:stroke joinstyle="miter"/>
                <v:path gradientshapeok="t" o:connecttype="rect"/>
              </v:shapetype>
              <v:shape id="Text Box 2" o:spid="_x0000_s1026" type="#_x0000_t202" style="position:absolute;left:0;text-align:left;margin-left:297.75pt;margin-top:35.75pt;width:180.1pt;height:110.6pt;rotation:-90;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" stroked="f">
                <v:textbox style="mso-fit-shape-to-text:t">
                  <w:txbxContent>
                    <w:p w14:paraId="5275A1D8" w14:textId="77777777" w:rsidR="00792CD2" w:rsidRPr="00FC50D2" w:rsidRDefault="00792CD2" w:rsidP="00383A6E">
                      <w:pPr>
                        <w:pStyle w:val="Caption"/>
                        <w:rPr>
                          <w:lang w:val="en-US"/>
                        </w:rPr>
                      </w:pPr>
                      <w:r w:rsidRPr="00FC50D2">
                        <w:rPr>
                          <w:b/>
                        </w:rPr>
                        <w:t xml:space="preserve">Supplementary Table </w:t>
                      </w:r>
                      <w:r>
                        <w:rPr>
                          <w:b/>
                        </w:rPr>
                        <w:t>5</w:t>
                      </w:r>
                      <w:r w:rsidRPr="00FC50D2">
                        <w:rPr>
                          <w:b/>
                        </w:rPr>
                        <w:t>.</w:t>
                      </w:r>
                      <w:r w:rsidRPr="00FC50D2">
                        <w:t xml:space="preserve"> </w:t>
                      </w:r>
                      <w:r>
                        <w:t xml:space="preserve">Salary bands were obtained from the UK National Health Service Pay Scales. These were then adjusted for each region using the </w:t>
                      </w:r>
                      <w:r w:rsidRPr="00FC50D2">
                        <w:t>Median full-time gross weekly earnings and percentage change from previous year by UK regions</w:t>
                      </w:r>
                      <w:r>
                        <w:t xml:space="preserve"> in Supplementary Figure 4</w:t>
                      </w:r>
                      <w:r w:rsidRPr="00FC50D2">
                        <w:t>.</w:t>
                      </w:r>
                    </w:p>
                    <w:p w14:paraId="05CEB157" w14:textId="77777777" w:rsidR="00792CD2" w:rsidRPr="009C2887" w:rsidRDefault="00792CD2">
                      <w:pPr>
                        <w:rPr>
                          <w:lang w:val="en-US"/>
                        </w:rPr>
                      </w:pPr>
                    </w:p>
                  </w:txbxContent>
                </v:textbox>
                <w10:wrap type="square"/>
              </v:shape>
            </w:pict>
          </mc:Fallback>
        </mc:AlternateContent>
      </w:r>
      <w:r w:rsidR="00383A6E" w:rsidRPr="00383A6E">
        <w:rPr>
          <w:noProof/>
          <w:lang w:val="en-US"/>
        </w:rPr>
        <w:drawing>
          <wp:inline distT="0" distB="0" distL="0" distR="0" wp14:anchorId="248BF017" wp14:editId="27865FF3">
            <wp:extent cx="8216660" cy="2054165"/>
            <wp:effectExtent l="0" t="4762" r="8572" b="8573"/>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6200000">
                      <a:off x="0" y="0"/>
                      <a:ext cx="8248857" cy="2062214"/>
                    </a:xfrm>
                    <a:prstGeom prst="rect">
                      <a:avLst/>
                    </a:prstGeom>
                    <a:noFill/>
                    <a:ln>
                      <a:noFill/>
                    </a:ln>
                  </pic:spPr>
                </pic:pic>
              </a:graphicData>
            </a:graphic>
          </wp:inline>
        </w:drawing>
      </w:r>
    </w:p>
    <w:p w14:paraId="4DF6A4B1" w14:textId="77777777" w:rsidR="00FC50D2" w:rsidRDefault="00FC50D2">
      <w:pPr>
        <w:spacing w:line="259" w:lineRule="auto"/>
        <w:jc w:val="left"/>
      </w:pPr>
    </w:p>
    <w:tbl>
      <w:tblPr>
        <w:tblW w:w="5740" w:type="dxa"/>
        <w:tblCellMar>
          <w:left w:w="0" w:type="dxa"/>
          <w:right w:w="0" w:type="dxa"/>
        </w:tblCellMar>
        <w:tblLook w:val="0600" w:firstRow="0" w:lastRow="0" w:firstColumn="0" w:lastColumn="0" w:noHBand="1" w:noVBand="1"/>
      </w:tblPr>
      <w:tblGrid>
        <w:gridCol w:w="2940"/>
        <w:gridCol w:w="1400"/>
        <w:gridCol w:w="1400"/>
      </w:tblGrid>
      <w:tr w:rsidR="00FC50D2" w:rsidRPr="00BE3EB6" w14:paraId="1C406740" w14:textId="77777777" w:rsidTr="00060C02">
        <w:trPr>
          <w:trHeight w:val="285"/>
        </w:trPr>
        <w:tc>
          <w:tcPr>
            <w:tcW w:w="2940" w:type="dxa"/>
            <w:tcBorders>
              <w:top w:val="single" w:sz="8" w:space="0" w:color="000000"/>
              <w:left w:val="nil"/>
              <w:bottom w:val="nil"/>
              <w:right w:val="nil"/>
            </w:tcBorders>
            <w:shd w:val="clear" w:color="auto" w:fill="auto"/>
            <w:tcMar>
              <w:top w:w="8" w:type="dxa"/>
              <w:left w:w="8" w:type="dxa"/>
              <w:bottom w:w="0" w:type="dxa"/>
              <w:right w:w="8" w:type="dxa"/>
            </w:tcMar>
            <w:vAlign w:val="bottom"/>
            <w:hideMark/>
          </w:tcPr>
          <w:p w14:paraId="0A18F412" w14:textId="77777777" w:rsidR="00FC50D2" w:rsidRPr="00BE3EB6" w:rsidRDefault="00FC50D2" w:rsidP="0034257B">
            <w:pPr>
              <w:pStyle w:val="NoSpacing"/>
            </w:pPr>
          </w:p>
        </w:tc>
        <w:tc>
          <w:tcPr>
            <w:tcW w:w="2800" w:type="dxa"/>
            <w:gridSpan w:val="2"/>
            <w:tcBorders>
              <w:top w:val="single" w:sz="8" w:space="0" w:color="000000"/>
              <w:left w:val="nil"/>
              <w:bottom w:val="nil"/>
              <w:right w:val="nil"/>
            </w:tcBorders>
            <w:shd w:val="clear" w:color="auto" w:fill="auto"/>
            <w:tcMar>
              <w:top w:w="8" w:type="dxa"/>
              <w:left w:w="8" w:type="dxa"/>
              <w:bottom w:w="0" w:type="dxa"/>
              <w:right w:w="8" w:type="dxa"/>
            </w:tcMar>
            <w:vAlign w:val="bottom"/>
            <w:hideMark/>
          </w:tcPr>
          <w:p w14:paraId="7A57FAE0" w14:textId="77777777" w:rsidR="00FC50D2" w:rsidRPr="00BE3EB6" w:rsidRDefault="00FC50D2" w:rsidP="0034257B">
            <w:pPr>
              <w:pStyle w:val="NoSpacing"/>
            </w:pPr>
            <w:r w:rsidRPr="00BE3EB6">
              <w:rPr>
                <w:b/>
                <w:bCs/>
              </w:rPr>
              <w:t>Estimated Population</w:t>
            </w:r>
          </w:p>
        </w:tc>
      </w:tr>
      <w:tr w:rsidR="00FC50D2" w:rsidRPr="00BE3EB6" w14:paraId="7A451F58" w14:textId="77777777" w:rsidTr="00060C02">
        <w:trPr>
          <w:trHeight w:val="285"/>
        </w:trPr>
        <w:tc>
          <w:tcPr>
            <w:tcW w:w="2940" w:type="dxa"/>
            <w:tcBorders>
              <w:top w:val="nil"/>
              <w:left w:val="nil"/>
              <w:bottom w:val="nil"/>
              <w:right w:val="nil"/>
            </w:tcBorders>
            <w:shd w:val="clear" w:color="auto" w:fill="auto"/>
            <w:tcMar>
              <w:top w:w="8" w:type="dxa"/>
              <w:left w:w="8" w:type="dxa"/>
              <w:bottom w:w="0" w:type="dxa"/>
              <w:right w:w="8" w:type="dxa"/>
            </w:tcMar>
            <w:vAlign w:val="bottom"/>
            <w:hideMark/>
          </w:tcPr>
          <w:p w14:paraId="6DC5D019" w14:textId="77777777" w:rsidR="00FC50D2" w:rsidRPr="00BE3EB6" w:rsidRDefault="00FC50D2" w:rsidP="0034257B">
            <w:pPr>
              <w:pStyle w:val="NoSpacing"/>
            </w:pPr>
          </w:p>
        </w:tc>
        <w:tc>
          <w:tcPr>
            <w:tcW w:w="1400" w:type="dxa"/>
            <w:tcBorders>
              <w:top w:val="nil"/>
              <w:left w:val="nil"/>
              <w:bottom w:val="nil"/>
              <w:right w:val="nil"/>
            </w:tcBorders>
            <w:shd w:val="clear" w:color="auto" w:fill="auto"/>
            <w:tcMar>
              <w:top w:w="8" w:type="dxa"/>
              <w:left w:w="8" w:type="dxa"/>
              <w:bottom w:w="0" w:type="dxa"/>
              <w:right w:w="8" w:type="dxa"/>
            </w:tcMar>
            <w:vAlign w:val="bottom"/>
            <w:hideMark/>
          </w:tcPr>
          <w:p w14:paraId="58CD44B8" w14:textId="77777777" w:rsidR="00FC50D2" w:rsidRPr="00BE3EB6" w:rsidRDefault="00FC50D2" w:rsidP="0034257B">
            <w:pPr>
              <w:pStyle w:val="NoSpacing"/>
            </w:pPr>
            <w:r w:rsidRPr="00BE3EB6">
              <w:rPr>
                <w:b/>
                <w:bCs/>
              </w:rPr>
              <w:t>In 50KM Circle</w:t>
            </w:r>
          </w:p>
        </w:tc>
        <w:tc>
          <w:tcPr>
            <w:tcW w:w="1400" w:type="dxa"/>
            <w:tcBorders>
              <w:top w:val="nil"/>
              <w:left w:val="nil"/>
              <w:bottom w:val="nil"/>
              <w:right w:val="nil"/>
            </w:tcBorders>
            <w:shd w:val="clear" w:color="auto" w:fill="auto"/>
            <w:tcMar>
              <w:top w:w="8" w:type="dxa"/>
              <w:left w:w="8" w:type="dxa"/>
              <w:bottom w:w="0" w:type="dxa"/>
              <w:right w:w="8" w:type="dxa"/>
            </w:tcMar>
            <w:vAlign w:val="bottom"/>
            <w:hideMark/>
          </w:tcPr>
          <w:p w14:paraId="55D22793" w14:textId="77777777" w:rsidR="00FC50D2" w:rsidRPr="00BE3EB6" w:rsidRDefault="00FC50D2" w:rsidP="0034257B">
            <w:pPr>
              <w:pStyle w:val="NoSpacing"/>
            </w:pPr>
            <w:r w:rsidRPr="00BE3EB6">
              <w:rPr>
                <w:b/>
                <w:bCs/>
              </w:rPr>
              <w:t>In Shaded Area</w:t>
            </w:r>
          </w:p>
        </w:tc>
      </w:tr>
      <w:tr w:rsidR="00FC50D2" w:rsidRPr="00BE3EB6" w14:paraId="39DD304D" w14:textId="77777777" w:rsidTr="00060C02">
        <w:trPr>
          <w:trHeight w:val="285"/>
        </w:trPr>
        <w:tc>
          <w:tcPr>
            <w:tcW w:w="2940" w:type="dxa"/>
            <w:tcBorders>
              <w:top w:val="nil"/>
              <w:left w:val="nil"/>
              <w:bottom w:val="nil"/>
              <w:right w:val="nil"/>
            </w:tcBorders>
            <w:shd w:val="clear" w:color="auto" w:fill="auto"/>
            <w:tcMar>
              <w:top w:w="8" w:type="dxa"/>
              <w:left w:w="8" w:type="dxa"/>
              <w:bottom w:w="0" w:type="dxa"/>
              <w:right w:w="8" w:type="dxa"/>
            </w:tcMar>
            <w:vAlign w:val="bottom"/>
            <w:hideMark/>
          </w:tcPr>
          <w:p w14:paraId="48D07738" w14:textId="77777777" w:rsidR="00FC50D2" w:rsidRPr="00BE3EB6" w:rsidRDefault="00FC50D2" w:rsidP="0034257B">
            <w:pPr>
              <w:pStyle w:val="NoSpacing"/>
            </w:pPr>
            <w:r w:rsidRPr="00BE3EB6">
              <w:t>Birmingham</w:t>
            </w:r>
          </w:p>
        </w:tc>
        <w:tc>
          <w:tcPr>
            <w:tcW w:w="1400" w:type="dxa"/>
            <w:tcBorders>
              <w:top w:val="nil"/>
              <w:left w:val="nil"/>
              <w:bottom w:val="nil"/>
              <w:right w:val="nil"/>
            </w:tcBorders>
            <w:shd w:val="clear" w:color="auto" w:fill="auto"/>
            <w:tcMar>
              <w:top w:w="8" w:type="dxa"/>
              <w:left w:w="8" w:type="dxa"/>
              <w:bottom w:w="0" w:type="dxa"/>
              <w:right w:w="8" w:type="dxa"/>
            </w:tcMar>
            <w:vAlign w:val="bottom"/>
            <w:hideMark/>
          </w:tcPr>
          <w:p w14:paraId="007A69C0" w14:textId="77777777" w:rsidR="00FC50D2" w:rsidRPr="00BE3EB6" w:rsidRDefault="00FC50D2" w:rsidP="0034257B">
            <w:pPr>
              <w:pStyle w:val="NoSpacing"/>
            </w:pPr>
            <w:r w:rsidRPr="00BE3EB6">
              <w:t>4,610,427</w:t>
            </w:r>
          </w:p>
        </w:tc>
        <w:tc>
          <w:tcPr>
            <w:tcW w:w="1400" w:type="dxa"/>
            <w:tcBorders>
              <w:top w:val="nil"/>
              <w:left w:val="nil"/>
              <w:bottom w:val="nil"/>
              <w:right w:val="nil"/>
            </w:tcBorders>
            <w:shd w:val="clear" w:color="auto" w:fill="auto"/>
            <w:tcMar>
              <w:top w:w="8" w:type="dxa"/>
              <w:left w:w="8" w:type="dxa"/>
              <w:bottom w:w="0" w:type="dxa"/>
              <w:right w:w="8" w:type="dxa"/>
            </w:tcMar>
            <w:vAlign w:val="bottom"/>
            <w:hideMark/>
          </w:tcPr>
          <w:p w14:paraId="7337AC62" w14:textId="77777777" w:rsidR="00FC50D2" w:rsidRPr="00BE3EB6" w:rsidRDefault="00FC50D2" w:rsidP="0034257B">
            <w:pPr>
              <w:pStyle w:val="NoSpacing"/>
            </w:pPr>
            <w:r w:rsidRPr="00BE3EB6">
              <w:t>4,550,147</w:t>
            </w:r>
          </w:p>
        </w:tc>
      </w:tr>
      <w:tr w:rsidR="00FC50D2" w:rsidRPr="00BE3EB6" w14:paraId="182BFD73" w14:textId="77777777" w:rsidTr="00060C02">
        <w:trPr>
          <w:trHeight w:val="285"/>
        </w:trPr>
        <w:tc>
          <w:tcPr>
            <w:tcW w:w="2940" w:type="dxa"/>
            <w:tcBorders>
              <w:top w:val="nil"/>
              <w:left w:val="nil"/>
              <w:bottom w:val="nil"/>
              <w:right w:val="nil"/>
            </w:tcBorders>
            <w:shd w:val="clear" w:color="auto" w:fill="auto"/>
            <w:tcMar>
              <w:top w:w="8" w:type="dxa"/>
              <w:left w:w="8" w:type="dxa"/>
              <w:bottom w:w="0" w:type="dxa"/>
              <w:right w:w="8" w:type="dxa"/>
            </w:tcMar>
            <w:vAlign w:val="bottom"/>
            <w:hideMark/>
          </w:tcPr>
          <w:p w14:paraId="7592D35C" w14:textId="77777777" w:rsidR="00FC50D2" w:rsidRPr="00BE3EB6" w:rsidRDefault="00FC50D2" w:rsidP="0034257B">
            <w:pPr>
              <w:pStyle w:val="NoSpacing"/>
            </w:pPr>
            <w:r w:rsidRPr="00BE3EB6">
              <w:t>Nottingham</w:t>
            </w:r>
          </w:p>
        </w:tc>
        <w:tc>
          <w:tcPr>
            <w:tcW w:w="1400" w:type="dxa"/>
            <w:tcBorders>
              <w:top w:val="nil"/>
              <w:left w:val="nil"/>
              <w:bottom w:val="nil"/>
              <w:right w:val="nil"/>
            </w:tcBorders>
            <w:shd w:val="clear" w:color="auto" w:fill="auto"/>
            <w:tcMar>
              <w:top w:w="8" w:type="dxa"/>
              <w:left w:w="8" w:type="dxa"/>
              <w:bottom w:w="0" w:type="dxa"/>
              <w:right w:w="8" w:type="dxa"/>
            </w:tcMar>
            <w:vAlign w:val="bottom"/>
            <w:hideMark/>
          </w:tcPr>
          <w:p w14:paraId="1CC36503" w14:textId="77777777" w:rsidR="00FC50D2" w:rsidRPr="00BE3EB6" w:rsidRDefault="00FC50D2" w:rsidP="0034257B">
            <w:pPr>
              <w:pStyle w:val="NoSpacing"/>
            </w:pPr>
            <w:r w:rsidRPr="00BE3EB6">
              <w:t>3,289,396</w:t>
            </w:r>
          </w:p>
        </w:tc>
        <w:tc>
          <w:tcPr>
            <w:tcW w:w="1400" w:type="dxa"/>
            <w:tcBorders>
              <w:top w:val="nil"/>
              <w:left w:val="nil"/>
              <w:bottom w:val="nil"/>
              <w:right w:val="nil"/>
            </w:tcBorders>
            <w:shd w:val="clear" w:color="auto" w:fill="auto"/>
            <w:tcMar>
              <w:top w:w="8" w:type="dxa"/>
              <w:left w:w="8" w:type="dxa"/>
              <w:bottom w:w="0" w:type="dxa"/>
              <w:right w:w="8" w:type="dxa"/>
            </w:tcMar>
            <w:vAlign w:val="bottom"/>
            <w:hideMark/>
          </w:tcPr>
          <w:p w14:paraId="0F06EFD8" w14:textId="77777777" w:rsidR="00FC50D2" w:rsidRPr="00BE3EB6" w:rsidRDefault="00FC50D2" w:rsidP="0034257B">
            <w:pPr>
              <w:pStyle w:val="NoSpacing"/>
            </w:pPr>
            <w:r w:rsidRPr="00BE3EB6">
              <w:t>3,937,783</w:t>
            </w:r>
          </w:p>
        </w:tc>
      </w:tr>
      <w:tr w:rsidR="00FC50D2" w:rsidRPr="00BE3EB6" w14:paraId="43FAAFEE" w14:textId="77777777" w:rsidTr="00060C02">
        <w:trPr>
          <w:trHeight w:val="285"/>
        </w:trPr>
        <w:tc>
          <w:tcPr>
            <w:tcW w:w="2940" w:type="dxa"/>
            <w:tcBorders>
              <w:top w:val="nil"/>
              <w:left w:val="nil"/>
              <w:bottom w:val="nil"/>
              <w:right w:val="nil"/>
            </w:tcBorders>
            <w:shd w:val="clear" w:color="auto" w:fill="auto"/>
            <w:tcMar>
              <w:top w:w="8" w:type="dxa"/>
              <w:left w:w="8" w:type="dxa"/>
              <w:bottom w:w="0" w:type="dxa"/>
              <w:right w:w="8" w:type="dxa"/>
            </w:tcMar>
            <w:vAlign w:val="bottom"/>
            <w:hideMark/>
          </w:tcPr>
          <w:p w14:paraId="6AA6DF4B" w14:textId="77777777" w:rsidR="00FC50D2" w:rsidRPr="00BE3EB6" w:rsidRDefault="00FC50D2" w:rsidP="0034257B">
            <w:pPr>
              <w:pStyle w:val="NoSpacing"/>
            </w:pPr>
            <w:r w:rsidRPr="00BE3EB6">
              <w:t>Liverpool</w:t>
            </w:r>
          </w:p>
        </w:tc>
        <w:tc>
          <w:tcPr>
            <w:tcW w:w="1400" w:type="dxa"/>
            <w:tcBorders>
              <w:top w:val="nil"/>
              <w:left w:val="nil"/>
              <w:bottom w:val="nil"/>
              <w:right w:val="nil"/>
            </w:tcBorders>
            <w:shd w:val="clear" w:color="auto" w:fill="auto"/>
            <w:tcMar>
              <w:top w:w="8" w:type="dxa"/>
              <w:left w:w="8" w:type="dxa"/>
              <w:bottom w:w="0" w:type="dxa"/>
              <w:right w:w="8" w:type="dxa"/>
            </w:tcMar>
            <w:vAlign w:val="bottom"/>
            <w:hideMark/>
          </w:tcPr>
          <w:p w14:paraId="1ED13B21" w14:textId="77777777" w:rsidR="00FC50D2" w:rsidRPr="00BE3EB6" w:rsidRDefault="00FC50D2" w:rsidP="0034257B">
            <w:pPr>
              <w:pStyle w:val="NoSpacing"/>
            </w:pPr>
            <w:r w:rsidRPr="00BE3EB6">
              <w:t>4,186,300</w:t>
            </w:r>
          </w:p>
        </w:tc>
        <w:tc>
          <w:tcPr>
            <w:tcW w:w="1400" w:type="dxa"/>
            <w:tcBorders>
              <w:top w:val="nil"/>
              <w:left w:val="nil"/>
              <w:bottom w:val="nil"/>
              <w:right w:val="nil"/>
            </w:tcBorders>
            <w:shd w:val="clear" w:color="auto" w:fill="auto"/>
            <w:tcMar>
              <w:top w:w="8" w:type="dxa"/>
              <w:left w:w="8" w:type="dxa"/>
              <w:bottom w:w="0" w:type="dxa"/>
              <w:right w:w="8" w:type="dxa"/>
            </w:tcMar>
            <w:vAlign w:val="bottom"/>
            <w:hideMark/>
          </w:tcPr>
          <w:p w14:paraId="5BD636A1" w14:textId="77777777" w:rsidR="00FC50D2" w:rsidRPr="00BE3EB6" w:rsidRDefault="00FC50D2" w:rsidP="0034257B">
            <w:pPr>
              <w:pStyle w:val="NoSpacing"/>
            </w:pPr>
            <w:r w:rsidRPr="00BE3EB6">
              <w:t>5,585,641</w:t>
            </w:r>
          </w:p>
        </w:tc>
      </w:tr>
      <w:tr w:rsidR="00FC50D2" w:rsidRPr="00BE3EB6" w14:paraId="2F9D8F84" w14:textId="77777777" w:rsidTr="00060C02">
        <w:trPr>
          <w:trHeight w:val="285"/>
        </w:trPr>
        <w:tc>
          <w:tcPr>
            <w:tcW w:w="2940" w:type="dxa"/>
            <w:tcBorders>
              <w:top w:val="nil"/>
              <w:left w:val="nil"/>
              <w:bottom w:val="nil"/>
              <w:right w:val="nil"/>
            </w:tcBorders>
            <w:shd w:val="clear" w:color="auto" w:fill="auto"/>
            <w:tcMar>
              <w:top w:w="8" w:type="dxa"/>
              <w:left w:w="8" w:type="dxa"/>
              <w:bottom w:w="0" w:type="dxa"/>
              <w:right w:w="8" w:type="dxa"/>
            </w:tcMar>
            <w:vAlign w:val="bottom"/>
            <w:hideMark/>
          </w:tcPr>
          <w:p w14:paraId="033C1774" w14:textId="77777777" w:rsidR="00FC50D2" w:rsidRPr="00BE3EB6" w:rsidRDefault="00FC50D2" w:rsidP="0034257B">
            <w:pPr>
              <w:pStyle w:val="NoSpacing"/>
            </w:pPr>
            <w:r w:rsidRPr="00BE3EB6">
              <w:t>Leeds</w:t>
            </w:r>
          </w:p>
        </w:tc>
        <w:tc>
          <w:tcPr>
            <w:tcW w:w="1400" w:type="dxa"/>
            <w:tcBorders>
              <w:top w:val="nil"/>
              <w:left w:val="nil"/>
              <w:bottom w:val="nil"/>
              <w:right w:val="nil"/>
            </w:tcBorders>
            <w:shd w:val="clear" w:color="auto" w:fill="auto"/>
            <w:tcMar>
              <w:top w:w="8" w:type="dxa"/>
              <w:left w:w="8" w:type="dxa"/>
              <w:bottom w:w="0" w:type="dxa"/>
              <w:right w:w="8" w:type="dxa"/>
            </w:tcMar>
            <w:vAlign w:val="bottom"/>
            <w:hideMark/>
          </w:tcPr>
          <w:p w14:paraId="335C7663" w14:textId="77777777" w:rsidR="00FC50D2" w:rsidRPr="00BE3EB6" w:rsidRDefault="00FC50D2" w:rsidP="0034257B">
            <w:pPr>
              <w:pStyle w:val="NoSpacing"/>
            </w:pPr>
            <w:r w:rsidRPr="00BE3EB6">
              <w:t>4,528,898</w:t>
            </w:r>
          </w:p>
        </w:tc>
        <w:tc>
          <w:tcPr>
            <w:tcW w:w="1400" w:type="dxa"/>
            <w:tcBorders>
              <w:top w:val="nil"/>
              <w:left w:val="nil"/>
              <w:bottom w:val="nil"/>
              <w:right w:val="nil"/>
            </w:tcBorders>
            <w:shd w:val="clear" w:color="auto" w:fill="auto"/>
            <w:tcMar>
              <w:top w:w="8" w:type="dxa"/>
              <w:left w:w="8" w:type="dxa"/>
              <w:bottom w:w="0" w:type="dxa"/>
              <w:right w:w="8" w:type="dxa"/>
            </w:tcMar>
            <w:vAlign w:val="bottom"/>
            <w:hideMark/>
          </w:tcPr>
          <w:p w14:paraId="7D36851C" w14:textId="77777777" w:rsidR="00FC50D2" w:rsidRPr="00BE3EB6" w:rsidRDefault="00FC50D2" w:rsidP="0034257B">
            <w:pPr>
              <w:pStyle w:val="NoSpacing"/>
            </w:pPr>
            <w:r w:rsidRPr="00BE3EB6">
              <w:t>3,192,755</w:t>
            </w:r>
          </w:p>
        </w:tc>
      </w:tr>
      <w:tr w:rsidR="00FC50D2" w:rsidRPr="00BE3EB6" w14:paraId="30DCCA0E" w14:textId="77777777" w:rsidTr="00060C02">
        <w:trPr>
          <w:trHeight w:val="285"/>
        </w:trPr>
        <w:tc>
          <w:tcPr>
            <w:tcW w:w="2940" w:type="dxa"/>
            <w:tcBorders>
              <w:top w:val="nil"/>
              <w:left w:val="nil"/>
              <w:bottom w:val="nil"/>
              <w:right w:val="nil"/>
            </w:tcBorders>
            <w:shd w:val="clear" w:color="auto" w:fill="auto"/>
            <w:tcMar>
              <w:top w:w="8" w:type="dxa"/>
              <w:left w:w="8" w:type="dxa"/>
              <w:bottom w:w="0" w:type="dxa"/>
              <w:right w:w="8" w:type="dxa"/>
            </w:tcMar>
            <w:vAlign w:val="bottom"/>
            <w:hideMark/>
          </w:tcPr>
          <w:p w14:paraId="4A9776AC" w14:textId="77777777" w:rsidR="00FC50D2" w:rsidRPr="00BE3EB6" w:rsidRDefault="00FC50D2" w:rsidP="0034257B">
            <w:pPr>
              <w:pStyle w:val="NoSpacing"/>
            </w:pPr>
            <w:r w:rsidRPr="00BE3EB6">
              <w:t>Cardiff</w:t>
            </w:r>
          </w:p>
        </w:tc>
        <w:tc>
          <w:tcPr>
            <w:tcW w:w="1400" w:type="dxa"/>
            <w:tcBorders>
              <w:top w:val="nil"/>
              <w:left w:val="nil"/>
              <w:bottom w:val="nil"/>
              <w:right w:val="nil"/>
            </w:tcBorders>
            <w:shd w:val="clear" w:color="auto" w:fill="auto"/>
            <w:tcMar>
              <w:top w:w="8" w:type="dxa"/>
              <w:left w:w="8" w:type="dxa"/>
              <w:bottom w:w="0" w:type="dxa"/>
              <w:right w:w="8" w:type="dxa"/>
            </w:tcMar>
            <w:vAlign w:val="bottom"/>
            <w:hideMark/>
          </w:tcPr>
          <w:p w14:paraId="2FB07569" w14:textId="77777777" w:rsidR="00FC50D2" w:rsidRPr="00BE3EB6" w:rsidRDefault="00FC50D2" w:rsidP="0034257B">
            <w:pPr>
              <w:pStyle w:val="NoSpacing"/>
            </w:pPr>
            <w:r w:rsidRPr="00BE3EB6">
              <w:t>2,403,573</w:t>
            </w:r>
          </w:p>
        </w:tc>
        <w:tc>
          <w:tcPr>
            <w:tcW w:w="1400" w:type="dxa"/>
            <w:tcBorders>
              <w:top w:val="nil"/>
              <w:left w:val="nil"/>
              <w:bottom w:val="nil"/>
              <w:right w:val="nil"/>
            </w:tcBorders>
            <w:shd w:val="clear" w:color="auto" w:fill="auto"/>
            <w:tcMar>
              <w:top w:w="8" w:type="dxa"/>
              <w:left w:w="8" w:type="dxa"/>
              <w:bottom w:w="0" w:type="dxa"/>
              <w:right w:w="8" w:type="dxa"/>
            </w:tcMar>
            <w:vAlign w:val="bottom"/>
            <w:hideMark/>
          </w:tcPr>
          <w:p w14:paraId="1F94F737" w14:textId="77777777" w:rsidR="00FC50D2" w:rsidRPr="00BE3EB6" w:rsidRDefault="00FC50D2" w:rsidP="0034257B">
            <w:pPr>
              <w:pStyle w:val="NoSpacing"/>
            </w:pPr>
            <w:r w:rsidRPr="00BE3EB6">
              <w:t>2,403,573</w:t>
            </w:r>
          </w:p>
        </w:tc>
      </w:tr>
      <w:tr w:rsidR="00FC50D2" w:rsidRPr="00BE3EB6" w14:paraId="492C7BF8" w14:textId="77777777" w:rsidTr="00060C02">
        <w:trPr>
          <w:trHeight w:val="285"/>
        </w:trPr>
        <w:tc>
          <w:tcPr>
            <w:tcW w:w="2940" w:type="dxa"/>
            <w:tcBorders>
              <w:top w:val="nil"/>
              <w:left w:val="nil"/>
              <w:bottom w:val="nil"/>
              <w:right w:val="nil"/>
            </w:tcBorders>
            <w:shd w:val="clear" w:color="auto" w:fill="auto"/>
            <w:tcMar>
              <w:top w:w="8" w:type="dxa"/>
              <w:left w:w="8" w:type="dxa"/>
              <w:bottom w:w="0" w:type="dxa"/>
              <w:right w:w="8" w:type="dxa"/>
            </w:tcMar>
            <w:vAlign w:val="bottom"/>
            <w:hideMark/>
          </w:tcPr>
          <w:p w14:paraId="21404318" w14:textId="77777777" w:rsidR="00FC50D2" w:rsidRPr="00BE3EB6" w:rsidRDefault="00FC50D2" w:rsidP="0034257B">
            <w:pPr>
              <w:pStyle w:val="NoSpacing"/>
            </w:pPr>
            <w:r w:rsidRPr="00BE3EB6">
              <w:t>Exeter</w:t>
            </w:r>
          </w:p>
        </w:tc>
        <w:tc>
          <w:tcPr>
            <w:tcW w:w="1400" w:type="dxa"/>
            <w:tcBorders>
              <w:top w:val="nil"/>
              <w:left w:val="nil"/>
              <w:bottom w:val="nil"/>
              <w:right w:val="nil"/>
            </w:tcBorders>
            <w:shd w:val="clear" w:color="auto" w:fill="auto"/>
            <w:tcMar>
              <w:top w:w="8" w:type="dxa"/>
              <w:left w:w="8" w:type="dxa"/>
              <w:bottom w:w="0" w:type="dxa"/>
              <w:right w:w="8" w:type="dxa"/>
            </w:tcMar>
            <w:vAlign w:val="bottom"/>
            <w:hideMark/>
          </w:tcPr>
          <w:p w14:paraId="395AB88D" w14:textId="77777777" w:rsidR="00FC50D2" w:rsidRPr="00BE3EB6" w:rsidRDefault="00FC50D2" w:rsidP="0034257B">
            <w:pPr>
              <w:pStyle w:val="NoSpacing"/>
            </w:pPr>
            <w:r w:rsidRPr="00BE3EB6">
              <w:t>2,208,892</w:t>
            </w:r>
          </w:p>
        </w:tc>
        <w:tc>
          <w:tcPr>
            <w:tcW w:w="1400" w:type="dxa"/>
            <w:tcBorders>
              <w:top w:val="nil"/>
              <w:left w:val="nil"/>
              <w:bottom w:val="nil"/>
              <w:right w:val="nil"/>
            </w:tcBorders>
            <w:shd w:val="clear" w:color="auto" w:fill="auto"/>
            <w:tcMar>
              <w:top w:w="8" w:type="dxa"/>
              <w:left w:w="8" w:type="dxa"/>
              <w:bottom w:w="0" w:type="dxa"/>
              <w:right w:w="8" w:type="dxa"/>
            </w:tcMar>
            <w:vAlign w:val="bottom"/>
            <w:hideMark/>
          </w:tcPr>
          <w:p w14:paraId="6866C1FA" w14:textId="77777777" w:rsidR="00FC50D2" w:rsidRPr="00BE3EB6" w:rsidRDefault="00FC50D2" w:rsidP="0034257B">
            <w:pPr>
              <w:pStyle w:val="NoSpacing"/>
            </w:pPr>
            <w:r w:rsidRPr="00BE3EB6">
              <w:t>2,208,892</w:t>
            </w:r>
          </w:p>
        </w:tc>
      </w:tr>
      <w:tr w:rsidR="00FC50D2" w:rsidRPr="00BE3EB6" w14:paraId="1159843A" w14:textId="77777777" w:rsidTr="00060C02">
        <w:trPr>
          <w:trHeight w:val="285"/>
        </w:trPr>
        <w:tc>
          <w:tcPr>
            <w:tcW w:w="2940" w:type="dxa"/>
            <w:tcBorders>
              <w:top w:val="nil"/>
              <w:left w:val="nil"/>
              <w:bottom w:val="nil"/>
              <w:right w:val="nil"/>
            </w:tcBorders>
            <w:shd w:val="clear" w:color="auto" w:fill="auto"/>
            <w:tcMar>
              <w:top w:w="8" w:type="dxa"/>
              <w:left w:w="8" w:type="dxa"/>
              <w:bottom w:w="0" w:type="dxa"/>
              <w:right w:w="8" w:type="dxa"/>
            </w:tcMar>
            <w:vAlign w:val="bottom"/>
            <w:hideMark/>
          </w:tcPr>
          <w:p w14:paraId="4A9CC55D" w14:textId="77777777" w:rsidR="00FC50D2" w:rsidRPr="00BE3EB6" w:rsidRDefault="00FC50D2" w:rsidP="0034257B">
            <w:pPr>
              <w:pStyle w:val="NoSpacing"/>
            </w:pPr>
            <w:r w:rsidRPr="00BE3EB6">
              <w:t>Edinburgh</w:t>
            </w:r>
          </w:p>
        </w:tc>
        <w:tc>
          <w:tcPr>
            <w:tcW w:w="1400" w:type="dxa"/>
            <w:tcBorders>
              <w:top w:val="nil"/>
              <w:left w:val="nil"/>
              <w:bottom w:val="nil"/>
              <w:right w:val="nil"/>
            </w:tcBorders>
            <w:shd w:val="clear" w:color="auto" w:fill="auto"/>
            <w:tcMar>
              <w:top w:w="8" w:type="dxa"/>
              <w:left w:w="8" w:type="dxa"/>
              <w:bottom w:w="0" w:type="dxa"/>
              <w:right w:w="8" w:type="dxa"/>
            </w:tcMar>
            <w:vAlign w:val="bottom"/>
            <w:hideMark/>
          </w:tcPr>
          <w:p w14:paraId="7B4C6CAE" w14:textId="77777777" w:rsidR="00FC50D2" w:rsidRPr="00BE3EB6" w:rsidRDefault="00FC50D2" w:rsidP="0034257B">
            <w:pPr>
              <w:pStyle w:val="NoSpacing"/>
            </w:pPr>
            <w:r w:rsidRPr="00BE3EB6">
              <w:t>3,473,021</w:t>
            </w:r>
          </w:p>
        </w:tc>
        <w:tc>
          <w:tcPr>
            <w:tcW w:w="1400" w:type="dxa"/>
            <w:tcBorders>
              <w:top w:val="nil"/>
              <w:left w:val="nil"/>
              <w:bottom w:val="nil"/>
              <w:right w:val="nil"/>
            </w:tcBorders>
            <w:shd w:val="clear" w:color="auto" w:fill="auto"/>
            <w:tcMar>
              <w:top w:w="8" w:type="dxa"/>
              <w:left w:w="8" w:type="dxa"/>
              <w:bottom w:w="0" w:type="dxa"/>
              <w:right w:w="8" w:type="dxa"/>
            </w:tcMar>
            <w:vAlign w:val="bottom"/>
            <w:hideMark/>
          </w:tcPr>
          <w:p w14:paraId="3DF23EA1" w14:textId="77777777" w:rsidR="00FC50D2" w:rsidRPr="00BE3EB6" w:rsidRDefault="00FC50D2" w:rsidP="0034257B">
            <w:pPr>
              <w:pStyle w:val="NoSpacing"/>
            </w:pPr>
            <w:r w:rsidRPr="00BE3EB6">
              <w:t>3,473,021</w:t>
            </w:r>
          </w:p>
        </w:tc>
      </w:tr>
      <w:tr w:rsidR="00FC50D2" w:rsidRPr="00BE3EB6" w14:paraId="3A339E77" w14:textId="77777777" w:rsidTr="00060C02">
        <w:trPr>
          <w:trHeight w:val="285"/>
        </w:trPr>
        <w:tc>
          <w:tcPr>
            <w:tcW w:w="2940" w:type="dxa"/>
            <w:tcBorders>
              <w:top w:val="nil"/>
              <w:left w:val="nil"/>
              <w:bottom w:val="nil"/>
              <w:right w:val="nil"/>
            </w:tcBorders>
            <w:shd w:val="clear" w:color="auto" w:fill="auto"/>
            <w:tcMar>
              <w:top w:w="8" w:type="dxa"/>
              <w:left w:w="8" w:type="dxa"/>
              <w:bottom w:w="0" w:type="dxa"/>
              <w:right w:w="8" w:type="dxa"/>
            </w:tcMar>
            <w:vAlign w:val="bottom"/>
            <w:hideMark/>
          </w:tcPr>
          <w:p w14:paraId="32326177" w14:textId="77777777" w:rsidR="00FC50D2" w:rsidRPr="00BE3EB6" w:rsidRDefault="00FC50D2" w:rsidP="0034257B">
            <w:pPr>
              <w:pStyle w:val="NoSpacing"/>
            </w:pPr>
            <w:r w:rsidRPr="00BE3EB6">
              <w:t>Newcastle upon Tyne</w:t>
            </w:r>
          </w:p>
        </w:tc>
        <w:tc>
          <w:tcPr>
            <w:tcW w:w="1400" w:type="dxa"/>
            <w:tcBorders>
              <w:top w:val="nil"/>
              <w:left w:val="nil"/>
              <w:bottom w:val="nil"/>
              <w:right w:val="nil"/>
            </w:tcBorders>
            <w:shd w:val="clear" w:color="auto" w:fill="auto"/>
            <w:tcMar>
              <w:top w:w="8" w:type="dxa"/>
              <w:left w:w="8" w:type="dxa"/>
              <w:bottom w:w="0" w:type="dxa"/>
              <w:right w:w="8" w:type="dxa"/>
            </w:tcMar>
            <w:vAlign w:val="bottom"/>
            <w:hideMark/>
          </w:tcPr>
          <w:p w14:paraId="51D1D524" w14:textId="77777777" w:rsidR="00FC50D2" w:rsidRPr="00BE3EB6" w:rsidRDefault="00FC50D2" w:rsidP="0034257B">
            <w:pPr>
              <w:pStyle w:val="NoSpacing"/>
            </w:pPr>
            <w:r w:rsidRPr="00BE3EB6">
              <w:t>2,016,730</w:t>
            </w:r>
          </w:p>
        </w:tc>
        <w:tc>
          <w:tcPr>
            <w:tcW w:w="1400" w:type="dxa"/>
            <w:tcBorders>
              <w:top w:val="nil"/>
              <w:left w:val="nil"/>
              <w:bottom w:val="nil"/>
              <w:right w:val="nil"/>
            </w:tcBorders>
            <w:shd w:val="clear" w:color="auto" w:fill="auto"/>
            <w:tcMar>
              <w:top w:w="8" w:type="dxa"/>
              <w:left w:w="8" w:type="dxa"/>
              <w:bottom w:w="0" w:type="dxa"/>
              <w:right w:w="8" w:type="dxa"/>
            </w:tcMar>
            <w:vAlign w:val="bottom"/>
            <w:hideMark/>
          </w:tcPr>
          <w:p w14:paraId="79EAA7C8" w14:textId="77777777" w:rsidR="00FC50D2" w:rsidRPr="00BE3EB6" w:rsidRDefault="00FC50D2" w:rsidP="0034257B">
            <w:pPr>
              <w:pStyle w:val="NoSpacing"/>
            </w:pPr>
            <w:r w:rsidRPr="00BE3EB6">
              <w:t>2,167,964</w:t>
            </w:r>
          </w:p>
        </w:tc>
      </w:tr>
      <w:tr w:rsidR="00FC50D2" w:rsidRPr="00BE3EB6" w14:paraId="1AFA56F2" w14:textId="77777777" w:rsidTr="00060C02">
        <w:trPr>
          <w:trHeight w:val="285"/>
        </w:trPr>
        <w:tc>
          <w:tcPr>
            <w:tcW w:w="2940" w:type="dxa"/>
            <w:tcBorders>
              <w:top w:val="nil"/>
              <w:left w:val="nil"/>
              <w:bottom w:val="nil"/>
              <w:right w:val="nil"/>
            </w:tcBorders>
            <w:shd w:val="clear" w:color="auto" w:fill="auto"/>
            <w:tcMar>
              <w:top w:w="8" w:type="dxa"/>
              <w:left w:w="8" w:type="dxa"/>
              <w:bottom w:w="0" w:type="dxa"/>
              <w:right w:w="8" w:type="dxa"/>
            </w:tcMar>
            <w:vAlign w:val="bottom"/>
            <w:hideMark/>
          </w:tcPr>
          <w:p w14:paraId="695309FA" w14:textId="77777777" w:rsidR="00FC50D2" w:rsidRPr="00BE3EB6" w:rsidRDefault="00FC50D2" w:rsidP="0034257B">
            <w:pPr>
              <w:pStyle w:val="NoSpacing"/>
            </w:pPr>
            <w:r w:rsidRPr="00BE3EB6">
              <w:t>Central London (city)</w:t>
            </w:r>
          </w:p>
        </w:tc>
        <w:tc>
          <w:tcPr>
            <w:tcW w:w="1400" w:type="dxa"/>
            <w:tcBorders>
              <w:top w:val="nil"/>
              <w:left w:val="nil"/>
              <w:bottom w:val="nil"/>
              <w:right w:val="nil"/>
            </w:tcBorders>
            <w:shd w:val="clear" w:color="auto" w:fill="auto"/>
            <w:tcMar>
              <w:top w:w="8" w:type="dxa"/>
              <w:left w:w="8" w:type="dxa"/>
              <w:bottom w:w="0" w:type="dxa"/>
              <w:right w:w="8" w:type="dxa"/>
            </w:tcMar>
            <w:vAlign w:val="bottom"/>
            <w:hideMark/>
          </w:tcPr>
          <w:p w14:paraId="31B2B85A" w14:textId="77777777" w:rsidR="00FC50D2" w:rsidRPr="00BE3EB6" w:rsidRDefault="00FC50D2" w:rsidP="0034257B">
            <w:pPr>
              <w:pStyle w:val="NoSpacing"/>
            </w:pPr>
            <w:r w:rsidRPr="00BE3EB6">
              <w:t>12,768,649</w:t>
            </w:r>
          </w:p>
        </w:tc>
        <w:tc>
          <w:tcPr>
            <w:tcW w:w="1400" w:type="dxa"/>
            <w:tcBorders>
              <w:top w:val="nil"/>
              <w:left w:val="nil"/>
              <w:bottom w:val="nil"/>
              <w:right w:val="nil"/>
            </w:tcBorders>
            <w:shd w:val="clear" w:color="auto" w:fill="auto"/>
            <w:tcMar>
              <w:top w:w="8" w:type="dxa"/>
              <w:left w:w="8" w:type="dxa"/>
              <w:bottom w:w="0" w:type="dxa"/>
              <w:right w:w="8" w:type="dxa"/>
            </w:tcMar>
            <w:vAlign w:val="bottom"/>
            <w:hideMark/>
          </w:tcPr>
          <w:p w14:paraId="30572A31" w14:textId="77777777" w:rsidR="00FC50D2" w:rsidRPr="00BE3EB6" w:rsidRDefault="00FC50D2" w:rsidP="0034257B">
            <w:pPr>
              <w:pStyle w:val="NoSpacing"/>
            </w:pPr>
            <w:r w:rsidRPr="00BE3EB6">
              <w:t>12,768,649</w:t>
            </w:r>
          </w:p>
        </w:tc>
      </w:tr>
      <w:tr w:rsidR="00FC50D2" w:rsidRPr="00BE3EB6" w14:paraId="27317D57" w14:textId="77777777" w:rsidTr="00060C02">
        <w:trPr>
          <w:trHeight w:val="285"/>
        </w:trPr>
        <w:tc>
          <w:tcPr>
            <w:tcW w:w="2940" w:type="dxa"/>
            <w:tcBorders>
              <w:top w:val="nil"/>
              <w:left w:val="nil"/>
              <w:bottom w:val="nil"/>
              <w:right w:val="nil"/>
            </w:tcBorders>
            <w:shd w:val="clear" w:color="auto" w:fill="auto"/>
            <w:tcMar>
              <w:top w:w="8" w:type="dxa"/>
              <w:left w:w="8" w:type="dxa"/>
              <w:bottom w:w="0" w:type="dxa"/>
              <w:right w:w="8" w:type="dxa"/>
            </w:tcMar>
            <w:vAlign w:val="bottom"/>
            <w:hideMark/>
          </w:tcPr>
          <w:p w14:paraId="10E63DC9" w14:textId="77777777" w:rsidR="00FC50D2" w:rsidRPr="00BE3EB6" w:rsidRDefault="00FC50D2" w:rsidP="0034257B">
            <w:pPr>
              <w:pStyle w:val="NoSpacing"/>
            </w:pPr>
            <w:r w:rsidRPr="00BE3EB6">
              <w:t>Cambridge</w:t>
            </w:r>
          </w:p>
        </w:tc>
        <w:tc>
          <w:tcPr>
            <w:tcW w:w="1400" w:type="dxa"/>
            <w:tcBorders>
              <w:top w:val="nil"/>
              <w:left w:val="nil"/>
              <w:bottom w:val="nil"/>
              <w:right w:val="nil"/>
            </w:tcBorders>
            <w:shd w:val="clear" w:color="auto" w:fill="auto"/>
            <w:tcMar>
              <w:top w:w="8" w:type="dxa"/>
              <w:left w:w="8" w:type="dxa"/>
              <w:bottom w:w="0" w:type="dxa"/>
              <w:right w:w="8" w:type="dxa"/>
            </w:tcMar>
            <w:vAlign w:val="bottom"/>
            <w:hideMark/>
          </w:tcPr>
          <w:p w14:paraId="6BDD0083" w14:textId="77777777" w:rsidR="00FC50D2" w:rsidRPr="00BE3EB6" w:rsidRDefault="00FC50D2" w:rsidP="0034257B">
            <w:pPr>
              <w:pStyle w:val="NoSpacing"/>
            </w:pPr>
            <w:r w:rsidRPr="00BE3EB6">
              <w:t>2,716,464</w:t>
            </w:r>
          </w:p>
        </w:tc>
        <w:tc>
          <w:tcPr>
            <w:tcW w:w="1400" w:type="dxa"/>
            <w:tcBorders>
              <w:top w:val="nil"/>
              <w:left w:val="nil"/>
              <w:bottom w:val="nil"/>
              <w:right w:val="nil"/>
            </w:tcBorders>
            <w:shd w:val="clear" w:color="auto" w:fill="auto"/>
            <w:tcMar>
              <w:top w:w="8" w:type="dxa"/>
              <w:left w:w="8" w:type="dxa"/>
              <w:bottom w:w="0" w:type="dxa"/>
              <w:right w:w="8" w:type="dxa"/>
            </w:tcMar>
            <w:vAlign w:val="bottom"/>
            <w:hideMark/>
          </w:tcPr>
          <w:p w14:paraId="1869A025" w14:textId="77777777" w:rsidR="00FC50D2" w:rsidRPr="00BE3EB6" w:rsidRDefault="00FC50D2" w:rsidP="0034257B">
            <w:pPr>
              <w:pStyle w:val="NoSpacing"/>
            </w:pPr>
            <w:r w:rsidRPr="00BE3EB6">
              <w:t>2,716,464</w:t>
            </w:r>
          </w:p>
        </w:tc>
      </w:tr>
      <w:tr w:rsidR="00FC50D2" w:rsidRPr="00BE3EB6" w14:paraId="5AC8E95D" w14:textId="77777777" w:rsidTr="00060C02">
        <w:trPr>
          <w:trHeight w:val="285"/>
        </w:trPr>
        <w:tc>
          <w:tcPr>
            <w:tcW w:w="2940" w:type="dxa"/>
            <w:tcBorders>
              <w:top w:val="nil"/>
              <w:left w:val="nil"/>
              <w:bottom w:val="single" w:sz="8" w:space="0" w:color="000000"/>
              <w:right w:val="nil"/>
            </w:tcBorders>
            <w:shd w:val="clear" w:color="auto" w:fill="auto"/>
            <w:tcMar>
              <w:top w:w="8" w:type="dxa"/>
              <w:left w:w="8" w:type="dxa"/>
              <w:bottom w:w="0" w:type="dxa"/>
              <w:right w:w="8" w:type="dxa"/>
            </w:tcMar>
            <w:vAlign w:val="bottom"/>
            <w:hideMark/>
          </w:tcPr>
          <w:p w14:paraId="30A23A8A" w14:textId="77777777" w:rsidR="00FC50D2" w:rsidRPr="00BE3EB6" w:rsidRDefault="00FC50D2" w:rsidP="0034257B">
            <w:pPr>
              <w:pStyle w:val="NoSpacing"/>
            </w:pPr>
            <w:r w:rsidRPr="00BE3EB6">
              <w:rPr>
                <w:b/>
                <w:bCs/>
              </w:rPr>
              <w:t>Total</w:t>
            </w:r>
          </w:p>
        </w:tc>
        <w:tc>
          <w:tcPr>
            <w:tcW w:w="1400" w:type="dxa"/>
            <w:tcBorders>
              <w:top w:val="nil"/>
              <w:left w:val="nil"/>
              <w:bottom w:val="single" w:sz="8" w:space="0" w:color="000000"/>
              <w:right w:val="nil"/>
            </w:tcBorders>
            <w:shd w:val="clear" w:color="auto" w:fill="auto"/>
            <w:tcMar>
              <w:top w:w="8" w:type="dxa"/>
              <w:left w:w="8" w:type="dxa"/>
              <w:bottom w:w="0" w:type="dxa"/>
              <w:right w:w="8" w:type="dxa"/>
            </w:tcMar>
            <w:vAlign w:val="bottom"/>
            <w:hideMark/>
          </w:tcPr>
          <w:p w14:paraId="5AAC81FE" w14:textId="77777777" w:rsidR="00FC50D2" w:rsidRPr="00BE3EB6" w:rsidRDefault="00FC50D2" w:rsidP="0034257B">
            <w:pPr>
              <w:pStyle w:val="NoSpacing"/>
            </w:pPr>
            <w:r w:rsidRPr="00BE3EB6">
              <w:rPr>
                <w:b/>
                <w:bCs/>
              </w:rPr>
              <w:t>42,202,350</w:t>
            </w:r>
          </w:p>
        </w:tc>
        <w:tc>
          <w:tcPr>
            <w:tcW w:w="1400" w:type="dxa"/>
            <w:tcBorders>
              <w:top w:val="nil"/>
              <w:left w:val="nil"/>
              <w:bottom w:val="single" w:sz="8" w:space="0" w:color="000000"/>
              <w:right w:val="nil"/>
            </w:tcBorders>
            <w:shd w:val="clear" w:color="auto" w:fill="auto"/>
            <w:tcMar>
              <w:top w:w="8" w:type="dxa"/>
              <w:left w:w="8" w:type="dxa"/>
              <w:bottom w:w="0" w:type="dxa"/>
              <w:right w:w="8" w:type="dxa"/>
            </w:tcMar>
            <w:vAlign w:val="bottom"/>
            <w:hideMark/>
          </w:tcPr>
          <w:p w14:paraId="2703E084" w14:textId="77777777" w:rsidR="00FC50D2" w:rsidRPr="00BE3EB6" w:rsidRDefault="00FC50D2" w:rsidP="0034257B">
            <w:pPr>
              <w:pStyle w:val="NoSpacing"/>
            </w:pPr>
            <w:r w:rsidRPr="00BE3EB6">
              <w:rPr>
                <w:b/>
                <w:bCs/>
              </w:rPr>
              <w:t>43,004,889</w:t>
            </w:r>
          </w:p>
        </w:tc>
      </w:tr>
    </w:tbl>
    <w:p w14:paraId="68AD8493" w14:textId="77777777" w:rsidR="00FC50D2" w:rsidRDefault="00FC50D2" w:rsidP="004066B5"/>
    <w:p w14:paraId="63C3FBE7" w14:textId="77777777" w:rsidR="00FC50D2" w:rsidRDefault="00FC50D2" w:rsidP="00FC50D2">
      <w:pPr>
        <w:pStyle w:val="Caption"/>
      </w:pPr>
      <w:r w:rsidRPr="00FC50D2">
        <w:rPr>
          <w:b/>
        </w:rPr>
        <w:t xml:space="preserve">Supplementary </w:t>
      </w:r>
      <w:r w:rsidR="0034257B">
        <w:rPr>
          <w:b/>
        </w:rPr>
        <w:t xml:space="preserve">Table </w:t>
      </w:r>
      <w:r w:rsidR="00F74458">
        <w:rPr>
          <w:b/>
        </w:rPr>
        <w:t>6</w:t>
      </w:r>
      <w:r w:rsidRPr="00FC50D2">
        <w:rPr>
          <w:b/>
        </w:rPr>
        <w:t>.</w:t>
      </w:r>
      <w:r w:rsidRPr="00FC50D2">
        <w:t xml:space="preserve"> Estimated population by UK regions chosen for decentralised manufacturing. Obtained from PopulationExplorer and LandscanTM, a high-resolution population dataset produced by Oak Ridge National Laboratory, under a US Department of Defense contract.</w:t>
      </w:r>
    </w:p>
    <w:p w14:paraId="70A3BA76" w14:textId="77777777" w:rsidR="0034257B" w:rsidRDefault="0034257B">
      <w:pPr>
        <w:spacing w:line="259" w:lineRule="auto"/>
        <w:jc w:val="left"/>
      </w:pPr>
      <w:r>
        <w:br w:type="page"/>
      </w:r>
    </w:p>
    <w:p w14:paraId="54353023" w14:textId="77777777" w:rsidR="00FC50D2" w:rsidRDefault="00C62585" w:rsidP="004066B5">
      <w:r w:rsidRPr="00C62585">
        <w:rPr>
          <w:noProof/>
          <w:lang w:val="en-US"/>
        </w:rPr>
        <w:lastRenderedPageBreak/>
        <w:drawing>
          <wp:inline distT="0" distB="0" distL="0" distR="0" wp14:anchorId="691BAC97" wp14:editId="65B9095A">
            <wp:extent cx="6012611" cy="3010535"/>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2374"/>
                    <a:stretch/>
                  </pic:blipFill>
                  <pic:spPr bwMode="auto">
                    <a:xfrm>
                      <a:off x="0" y="0"/>
                      <a:ext cx="6015175" cy="3011819"/>
                    </a:xfrm>
                    <a:prstGeom prst="rect">
                      <a:avLst/>
                    </a:prstGeom>
                    <a:noFill/>
                    <a:ln>
                      <a:noFill/>
                    </a:ln>
                    <a:extLst>
                      <a:ext uri="{53640926-AAD7-44D8-BBD7-CCE9431645EC}">
                        <a14:shadowObscured xmlns:a14="http://schemas.microsoft.com/office/drawing/2010/main"/>
                      </a:ext>
                    </a:extLst>
                  </pic:spPr>
                </pic:pic>
              </a:graphicData>
            </a:graphic>
          </wp:inline>
        </w:drawing>
      </w:r>
    </w:p>
    <w:p w14:paraId="17847E84" w14:textId="77777777" w:rsidR="0034257B" w:rsidRPr="0034257B" w:rsidRDefault="0034257B" w:rsidP="0034257B">
      <w:pPr>
        <w:pStyle w:val="Caption"/>
        <w:rPr>
          <w:lang w:val="en-US"/>
        </w:rPr>
      </w:pPr>
      <w:r w:rsidRPr="0034257B">
        <w:rPr>
          <w:b/>
        </w:rPr>
        <w:t xml:space="preserve">Supplementary Table </w:t>
      </w:r>
      <w:r w:rsidR="00F74458">
        <w:rPr>
          <w:b/>
        </w:rPr>
        <w:t>7</w:t>
      </w:r>
      <w:r w:rsidRPr="0034257B">
        <w:rPr>
          <w:b/>
        </w:rPr>
        <w:t>.</w:t>
      </w:r>
      <w:r w:rsidRPr="0034257B">
        <w:t xml:space="preserve"> Rateable Values of category “Laboratories” in UK regions. Average Rateable Values were adjusted by relative national change to account for the 2017 changes. A multiplier was extracted to apply to each of the UK regions.</w:t>
      </w:r>
    </w:p>
    <w:p w14:paraId="50F65296" w14:textId="77777777" w:rsidR="00FC50D2" w:rsidRDefault="00FC50D2" w:rsidP="004066B5"/>
    <w:p w14:paraId="14CB2D05" w14:textId="77777777" w:rsidR="0034257B" w:rsidRDefault="0034257B">
      <w:pPr>
        <w:spacing w:line="259" w:lineRule="auto"/>
        <w:jc w:val="left"/>
      </w:pPr>
      <w:r>
        <w:br w:type="page"/>
      </w:r>
    </w:p>
    <w:tbl>
      <w:tblPr>
        <w:tblW w:w="5740" w:type="dxa"/>
        <w:tblCellMar>
          <w:left w:w="0" w:type="dxa"/>
          <w:right w:w="0" w:type="dxa"/>
        </w:tblCellMar>
        <w:tblLook w:val="0600" w:firstRow="0" w:lastRow="0" w:firstColumn="0" w:lastColumn="0" w:noHBand="1" w:noVBand="1"/>
      </w:tblPr>
      <w:tblGrid>
        <w:gridCol w:w="1980"/>
        <w:gridCol w:w="1900"/>
        <w:gridCol w:w="1860"/>
      </w:tblGrid>
      <w:tr w:rsidR="0034257B" w:rsidRPr="0034257B" w14:paraId="53A1296A" w14:textId="77777777" w:rsidTr="0034257B">
        <w:trPr>
          <w:trHeight w:val="285"/>
        </w:trPr>
        <w:tc>
          <w:tcPr>
            <w:tcW w:w="1980" w:type="dxa"/>
            <w:tcBorders>
              <w:top w:val="single" w:sz="8" w:space="0" w:color="000000"/>
              <w:left w:val="nil"/>
              <w:bottom w:val="nil"/>
              <w:right w:val="nil"/>
            </w:tcBorders>
            <w:shd w:val="clear" w:color="auto" w:fill="auto"/>
            <w:tcMar>
              <w:top w:w="8" w:type="dxa"/>
              <w:left w:w="8" w:type="dxa"/>
              <w:bottom w:w="0" w:type="dxa"/>
              <w:right w:w="8" w:type="dxa"/>
            </w:tcMar>
            <w:vAlign w:val="bottom"/>
            <w:hideMark/>
          </w:tcPr>
          <w:p w14:paraId="518ADB34" w14:textId="77777777" w:rsidR="0034257B" w:rsidRPr="0034257B" w:rsidRDefault="0034257B" w:rsidP="0034257B">
            <w:pPr>
              <w:pStyle w:val="NoSpacing"/>
            </w:pPr>
          </w:p>
        </w:tc>
        <w:tc>
          <w:tcPr>
            <w:tcW w:w="1900" w:type="dxa"/>
            <w:tcBorders>
              <w:top w:val="single" w:sz="8" w:space="0" w:color="000000"/>
              <w:left w:val="nil"/>
              <w:bottom w:val="nil"/>
              <w:right w:val="nil"/>
            </w:tcBorders>
            <w:shd w:val="clear" w:color="auto" w:fill="auto"/>
            <w:tcMar>
              <w:top w:w="8" w:type="dxa"/>
              <w:left w:w="8" w:type="dxa"/>
              <w:bottom w:w="0" w:type="dxa"/>
              <w:right w:w="8" w:type="dxa"/>
            </w:tcMar>
            <w:vAlign w:val="bottom"/>
            <w:hideMark/>
          </w:tcPr>
          <w:p w14:paraId="5708312E" w14:textId="77777777" w:rsidR="0034257B" w:rsidRPr="0034257B" w:rsidRDefault="0034257B" w:rsidP="0034257B">
            <w:pPr>
              <w:pStyle w:val="NoSpacing"/>
            </w:pPr>
            <w:r w:rsidRPr="0034257B">
              <w:rPr>
                <w:b/>
                <w:bCs/>
              </w:rPr>
              <w:t>Business Rents /M2</w:t>
            </w:r>
          </w:p>
        </w:tc>
        <w:tc>
          <w:tcPr>
            <w:tcW w:w="1860" w:type="dxa"/>
            <w:tcBorders>
              <w:top w:val="single" w:sz="8" w:space="0" w:color="000000"/>
              <w:left w:val="nil"/>
              <w:bottom w:val="nil"/>
              <w:right w:val="nil"/>
            </w:tcBorders>
            <w:shd w:val="clear" w:color="auto" w:fill="auto"/>
            <w:tcMar>
              <w:top w:w="8" w:type="dxa"/>
              <w:left w:w="8" w:type="dxa"/>
              <w:bottom w:w="0" w:type="dxa"/>
              <w:right w:w="8" w:type="dxa"/>
            </w:tcMar>
            <w:vAlign w:val="bottom"/>
            <w:hideMark/>
          </w:tcPr>
          <w:p w14:paraId="7053A300" w14:textId="77777777" w:rsidR="0034257B" w:rsidRPr="0034257B" w:rsidRDefault="0034257B" w:rsidP="0034257B">
            <w:pPr>
              <w:pStyle w:val="NoSpacing"/>
            </w:pPr>
            <w:r w:rsidRPr="0034257B">
              <w:rPr>
                <w:b/>
                <w:bCs/>
              </w:rPr>
              <w:t>Service Charge /M2</w:t>
            </w:r>
          </w:p>
        </w:tc>
      </w:tr>
      <w:tr w:rsidR="0034257B" w:rsidRPr="0034257B" w14:paraId="6459D088" w14:textId="77777777" w:rsidTr="0034257B">
        <w:trPr>
          <w:trHeight w:val="285"/>
        </w:trPr>
        <w:tc>
          <w:tcPr>
            <w:tcW w:w="1980" w:type="dxa"/>
            <w:tcBorders>
              <w:top w:val="nil"/>
              <w:left w:val="nil"/>
              <w:bottom w:val="nil"/>
              <w:right w:val="nil"/>
            </w:tcBorders>
            <w:shd w:val="clear" w:color="auto" w:fill="auto"/>
            <w:tcMar>
              <w:top w:w="8" w:type="dxa"/>
              <w:left w:w="8" w:type="dxa"/>
              <w:bottom w:w="0" w:type="dxa"/>
              <w:right w:w="8" w:type="dxa"/>
            </w:tcMar>
            <w:vAlign w:val="bottom"/>
            <w:hideMark/>
          </w:tcPr>
          <w:p w14:paraId="68BEAF6E" w14:textId="77777777" w:rsidR="0034257B" w:rsidRPr="0034257B" w:rsidRDefault="0034257B" w:rsidP="0034257B">
            <w:pPr>
              <w:pStyle w:val="NoSpacing"/>
            </w:pPr>
            <w:r w:rsidRPr="0034257B">
              <w:rPr>
                <w:b/>
                <w:bCs/>
              </w:rPr>
              <w:t>Birmingham</w:t>
            </w:r>
          </w:p>
        </w:tc>
        <w:tc>
          <w:tcPr>
            <w:tcW w:w="1900" w:type="dxa"/>
            <w:tcBorders>
              <w:top w:val="nil"/>
              <w:left w:val="nil"/>
              <w:bottom w:val="nil"/>
              <w:right w:val="nil"/>
            </w:tcBorders>
            <w:shd w:val="clear" w:color="auto" w:fill="auto"/>
            <w:tcMar>
              <w:top w:w="8" w:type="dxa"/>
              <w:left w:w="8" w:type="dxa"/>
              <w:bottom w:w="0" w:type="dxa"/>
              <w:right w:w="8" w:type="dxa"/>
            </w:tcMar>
            <w:vAlign w:val="bottom"/>
            <w:hideMark/>
          </w:tcPr>
          <w:p w14:paraId="765D0CB0" w14:textId="77777777" w:rsidR="0034257B" w:rsidRPr="0034257B" w:rsidRDefault="0034257B" w:rsidP="0034257B">
            <w:pPr>
              <w:pStyle w:val="NoSpacing"/>
            </w:pPr>
            <w:r w:rsidRPr="0034257B">
              <w:t>£349.83</w:t>
            </w:r>
          </w:p>
        </w:tc>
        <w:tc>
          <w:tcPr>
            <w:tcW w:w="1860" w:type="dxa"/>
            <w:tcBorders>
              <w:top w:val="nil"/>
              <w:left w:val="nil"/>
              <w:bottom w:val="nil"/>
              <w:right w:val="nil"/>
            </w:tcBorders>
            <w:shd w:val="clear" w:color="auto" w:fill="auto"/>
            <w:tcMar>
              <w:top w:w="8" w:type="dxa"/>
              <w:left w:w="8" w:type="dxa"/>
              <w:bottom w:w="0" w:type="dxa"/>
              <w:right w:w="8" w:type="dxa"/>
            </w:tcMar>
            <w:vAlign w:val="bottom"/>
            <w:hideMark/>
          </w:tcPr>
          <w:p w14:paraId="6ABCB432" w14:textId="77777777" w:rsidR="0034257B" w:rsidRPr="0034257B" w:rsidRDefault="0034257B" w:rsidP="0034257B">
            <w:pPr>
              <w:pStyle w:val="NoSpacing"/>
            </w:pPr>
            <w:r w:rsidRPr="0034257B">
              <w:t>£46.64</w:t>
            </w:r>
          </w:p>
        </w:tc>
      </w:tr>
      <w:tr w:rsidR="0034257B" w:rsidRPr="0034257B" w14:paraId="5901B59E" w14:textId="77777777" w:rsidTr="0034257B">
        <w:trPr>
          <w:trHeight w:val="285"/>
        </w:trPr>
        <w:tc>
          <w:tcPr>
            <w:tcW w:w="1980" w:type="dxa"/>
            <w:tcBorders>
              <w:top w:val="nil"/>
              <w:left w:val="nil"/>
              <w:bottom w:val="nil"/>
              <w:right w:val="nil"/>
            </w:tcBorders>
            <w:shd w:val="clear" w:color="auto" w:fill="auto"/>
            <w:tcMar>
              <w:top w:w="8" w:type="dxa"/>
              <w:left w:w="8" w:type="dxa"/>
              <w:bottom w:w="0" w:type="dxa"/>
              <w:right w:w="8" w:type="dxa"/>
            </w:tcMar>
            <w:vAlign w:val="bottom"/>
            <w:hideMark/>
          </w:tcPr>
          <w:p w14:paraId="64A1E099" w14:textId="77777777" w:rsidR="0034257B" w:rsidRPr="0034257B" w:rsidRDefault="0034257B" w:rsidP="0034257B">
            <w:pPr>
              <w:pStyle w:val="NoSpacing"/>
            </w:pPr>
            <w:r w:rsidRPr="0034257B">
              <w:rPr>
                <w:b/>
                <w:bCs/>
              </w:rPr>
              <w:t>Nottingham</w:t>
            </w:r>
          </w:p>
        </w:tc>
        <w:tc>
          <w:tcPr>
            <w:tcW w:w="1900" w:type="dxa"/>
            <w:tcBorders>
              <w:top w:val="nil"/>
              <w:left w:val="nil"/>
              <w:bottom w:val="nil"/>
              <w:right w:val="nil"/>
            </w:tcBorders>
            <w:shd w:val="clear" w:color="auto" w:fill="auto"/>
            <w:tcMar>
              <w:top w:w="8" w:type="dxa"/>
              <w:left w:w="8" w:type="dxa"/>
              <w:bottom w:w="0" w:type="dxa"/>
              <w:right w:w="8" w:type="dxa"/>
            </w:tcMar>
            <w:vAlign w:val="bottom"/>
            <w:hideMark/>
          </w:tcPr>
          <w:p w14:paraId="31323CB4" w14:textId="77777777" w:rsidR="0034257B" w:rsidRPr="0034257B" w:rsidRDefault="0034257B" w:rsidP="0034257B">
            <w:pPr>
              <w:pStyle w:val="NoSpacing"/>
            </w:pPr>
            <w:r w:rsidRPr="0034257B">
              <w:t>£209.90</w:t>
            </w:r>
          </w:p>
        </w:tc>
        <w:tc>
          <w:tcPr>
            <w:tcW w:w="1860" w:type="dxa"/>
            <w:tcBorders>
              <w:top w:val="nil"/>
              <w:left w:val="nil"/>
              <w:bottom w:val="nil"/>
              <w:right w:val="nil"/>
            </w:tcBorders>
            <w:shd w:val="clear" w:color="auto" w:fill="auto"/>
            <w:tcMar>
              <w:top w:w="8" w:type="dxa"/>
              <w:left w:w="8" w:type="dxa"/>
              <w:bottom w:w="0" w:type="dxa"/>
              <w:right w:w="8" w:type="dxa"/>
            </w:tcMar>
            <w:vAlign w:val="bottom"/>
            <w:hideMark/>
          </w:tcPr>
          <w:p w14:paraId="6F4F872D" w14:textId="77777777" w:rsidR="0034257B" w:rsidRPr="0034257B" w:rsidRDefault="0034257B" w:rsidP="0034257B">
            <w:pPr>
              <w:pStyle w:val="NoSpacing"/>
            </w:pPr>
            <w:r w:rsidRPr="0034257B">
              <w:t>£27.99</w:t>
            </w:r>
          </w:p>
        </w:tc>
      </w:tr>
      <w:tr w:rsidR="0034257B" w:rsidRPr="0034257B" w14:paraId="532E1DDC" w14:textId="77777777" w:rsidTr="0034257B">
        <w:trPr>
          <w:trHeight w:val="285"/>
        </w:trPr>
        <w:tc>
          <w:tcPr>
            <w:tcW w:w="1980" w:type="dxa"/>
            <w:tcBorders>
              <w:top w:val="nil"/>
              <w:left w:val="nil"/>
              <w:bottom w:val="nil"/>
              <w:right w:val="nil"/>
            </w:tcBorders>
            <w:shd w:val="clear" w:color="auto" w:fill="auto"/>
            <w:tcMar>
              <w:top w:w="8" w:type="dxa"/>
              <w:left w:w="8" w:type="dxa"/>
              <w:bottom w:w="0" w:type="dxa"/>
              <w:right w:w="8" w:type="dxa"/>
            </w:tcMar>
            <w:vAlign w:val="bottom"/>
            <w:hideMark/>
          </w:tcPr>
          <w:p w14:paraId="31A15A5F" w14:textId="77777777" w:rsidR="0034257B" w:rsidRPr="0034257B" w:rsidRDefault="0034257B" w:rsidP="0034257B">
            <w:pPr>
              <w:pStyle w:val="NoSpacing"/>
            </w:pPr>
            <w:r w:rsidRPr="0034257B">
              <w:rPr>
                <w:b/>
                <w:bCs/>
              </w:rPr>
              <w:t>Liverpool</w:t>
            </w:r>
          </w:p>
        </w:tc>
        <w:tc>
          <w:tcPr>
            <w:tcW w:w="1900" w:type="dxa"/>
            <w:tcBorders>
              <w:top w:val="nil"/>
              <w:left w:val="nil"/>
              <w:bottom w:val="nil"/>
              <w:right w:val="nil"/>
            </w:tcBorders>
            <w:shd w:val="clear" w:color="auto" w:fill="auto"/>
            <w:tcMar>
              <w:top w:w="8" w:type="dxa"/>
              <w:left w:w="8" w:type="dxa"/>
              <w:bottom w:w="0" w:type="dxa"/>
              <w:right w:w="8" w:type="dxa"/>
            </w:tcMar>
            <w:vAlign w:val="bottom"/>
            <w:hideMark/>
          </w:tcPr>
          <w:p w14:paraId="1614BE8A" w14:textId="77777777" w:rsidR="0034257B" w:rsidRPr="0034257B" w:rsidRDefault="0034257B" w:rsidP="0034257B">
            <w:pPr>
              <w:pStyle w:val="NoSpacing"/>
            </w:pPr>
            <w:r w:rsidRPr="0034257B">
              <w:t>£231.43</w:t>
            </w:r>
          </w:p>
        </w:tc>
        <w:tc>
          <w:tcPr>
            <w:tcW w:w="1860" w:type="dxa"/>
            <w:tcBorders>
              <w:top w:val="nil"/>
              <w:left w:val="nil"/>
              <w:bottom w:val="nil"/>
              <w:right w:val="nil"/>
            </w:tcBorders>
            <w:shd w:val="clear" w:color="auto" w:fill="auto"/>
            <w:tcMar>
              <w:top w:w="8" w:type="dxa"/>
              <w:left w:w="8" w:type="dxa"/>
              <w:bottom w:w="0" w:type="dxa"/>
              <w:right w:w="8" w:type="dxa"/>
            </w:tcMar>
            <w:vAlign w:val="bottom"/>
            <w:hideMark/>
          </w:tcPr>
          <w:p w14:paraId="34DE674F" w14:textId="77777777" w:rsidR="0034257B" w:rsidRPr="0034257B" w:rsidRDefault="0034257B" w:rsidP="0034257B">
            <w:pPr>
              <w:pStyle w:val="NoSpacing"/>
            </w:pPr>
            <w:r w:rsidRPr="0034257B">
              <w:t>£30.86</w:t>
            </w:r>
          </w:p>
        </w:tc>
      </w:tr>
      <w:tr w:rsidR="0034257B" w:rsidRPr="0034257B" w14:paraId="09C764CE" w14:textId="77777777" w:rsidTr="0034257B">
        <w:trPr>
          <w:trHeight w:val="285"/>
        </w:trPr>
        <w:tc>
          <w:tcPr>
            <w:tcW w:w="1980" w:type="dxa"/>
            <w:tcBorders>
              <w:top w:val="nil"/>
              <w:left w:val="nil"/>
              <w:bottom w:val="nil"/>
              <w:right w:val="nil"/>
            </w:tcBorders>
            <w:shd w:val="clear" w:color="auto" w:fill="auto"/>
            <w:tcMar>
              <w:top w:w="8" w:type="dxa"/>
              <w:left w:w="8" w:type="dxa"/>
              <w:bottom w:w="0" w:type="dxa"/>
              <w:right w:w="8" w:type="dxa"/>
            </w:tcMar>
            <w:vAlign w:val="bottom"/>
            <w:hideMark/>
          </w:tcPr>
          <w:p w14:paraId="2B3C6ACC" w14:textId="77777777" w:rsidR="0034257B" w:rsidRPr="0034257B" w:rsidRDefault="0034257B" w:rsidP="0034257B">
            <w:pPr>
              <w:pStyle w:val="NoSpacing"/>
            </w:pPr>
            <w:r w:rsidRPr="0034257B">
              <w:rPr>
                <w:b/>
                <w:bCs/>
              </w:rPr>
              <w:t>Leeds</w:t>
            </w:r>
          </w:p>
        </w:tc>
        <w:tc>
          <w:tcPr>
            <w:tcW w:w="1900" w:type="dxa"/>
            <w:tcBorders>
              <w:top w:val="nil"/>
              <w:left w:val="nil"/>
              <w:bottom w:val="nil"/>
              <w:right w:val="nil"/>
            </w:tcBorders>
            <w:shd w:val="clear" w:color="auto" w:fill="auto"/>
            <w:tcMar>
              <w:top w:w="8" w:type="dxa"/>
              <w:left w:w="8" w:type="dxa"/>
              <w:bottom w:w="0" w:type="dxa"/>
              <w:right w:w="8" w:type="dxa"/>
            </w:tcMar>
            <w:vAlign w:val="bottom"/>
            <w:hideMark/>
          </w:tcPr>
          <w:p w14:paraId="47D9E0D6" w14:textId="77777777" w:rsidR="0034257B" w:rsidRPr="0034257B" w:rsidRDefault="0034257B" w:rsidP="0034257B">
            <w:pPr>
              <w:pStyle w:val="NoSpacing"/>
            </w:pPr>
            <w:r w:rsidRPr="0034257B">
              <w:t>£301.39</w:t>
            </w:r>
          </w:p>
        </w:tc>
        <w:tc>
          <w:tcPr>
            <w:tcW w:w="1860" w:type="dxa"/>
            <w:tcBorders>
              <w:top w:val="nil"/>
              <w:left w:val="nil"/>
              <w:bottom w:val="nil"/>
              <w:right w:val="nil"/>
            </w:tcBorders>
            <w:shd w:val="clear" w:color="auto" w:fill="auto"/>
            <w:tcMar>
              <w:top w:w="8" w:type="dxa"/>
              <w:left w:w="8" w:type="dxa"/>
              <w:bottom w:w="0" w:type="dxa"/>
              <w:right w:w="8" w:type="dxa"/>
            </w:tcMar>
            <w:vAlign w:val="bottom"/>
            <w:hideMark/>
          </w:tcPr>
          <w:p w14:paraId="0C934B96" w14:textId="77777777" w:rsidR="0034257B" w:rsidRPr="0034257B" w:rsidRDefault="0034257B" w:rsidP="0034257B">
            <w:pPr>
              <w:pStyle w:val="NoSpacing"/>
            </w:pPr>
            <w:r w:rsidRPr="0034257B">
              <w:t>£40.19</w:t>
            </w:r>
          </w:p>
        </w:tc>
      </w:tr>
      <w:tr w:rsidR="0034257B" w:rsidRPr="0034257B" w14:paraId="61805A05" w14:textId="77777777" w:rsidTr="0034257B">
        <w:trPr>
          <w:trHeight w:val="285"/>
        </w:trPr>
        <w:tc>
          <w:tcPr>
            <w:tcW w:w="1980" w:type="dxa"/>
            <w:tcBorders>
              <w:top w:val="nil"/>
              <w:left w:val="nil"/>
              <w:bottom w:val="nil"/>
              <w:right w:val="nil"/>
            </w:tcBorders>
            <w:shd w:val="clear" w:color="auto" w:fill="auto"/>
            <w:tcMar>
              <w:top w:w="8" w:type="dxa"/>
              <w:left w:w="8" w:type="dxa"/>
              <w:bottom w:w="0" w:type="dxa"/>
              <w:right w:w="8" w:type="dxa"/>
            </w:tcMar>
            <w:vAlign w:val="bottom"/>
            <w:hideMark/>
          </w:tcPr>
          <w:p w14:paraId="4172E5DD" w14:textId="77777777" w:rsidR="0034257B" w:rsidRPr="0034257B" w:rsidRDefault="0034257B" w:rsidP="0034257B">
            <w:pPr>
              <w:pStyle w:val="NoSpacing"/>
            </w:pPr>
            <w:r w:rsidRPr="0034257B">
              <w:rPr>
                <w:b/>
                <w:bCs/>
              </w:rPr>
              <w:t>Cardiff</w:t>
            </w:r>
          </w:p>
        </w:tc>
        <w:tc>
          <w:tcPr>
            <w:tcW w:w="1900" w:type="dxa"/>
            <w:tcBorders>
              <w:top w:val="nil"/>
              <w:left w:val="nil"/>
              <w:bottom w:val="nil"/>
              <w:right w:val="nil"/>
            </w:tcBorders>
            <w:shd w:val="clear" w:color="auto" w:fill="auto"/>
            <w:tcMar>
              <w:top w:w="8" w:type="dxa"/>
              <w:left w:w="8" w:type="dxa"/>
              <w:bottom w:w="0" w:type="dxa"/>
              <w:right w:w="8" w:type="dxa"/>
            </w:tcMar>
            <w:vAlign w:val="bottom"/>
            <w:hideMark/>
          </w:tcPr>
          <w:p w14:paraId="6FE91D82" w14:textId="77777777" w:rsidR="0034257B" w:rsidRPr="0034257B" w:rsidRDefault="0034257B" w:rsidP="0034257B">
            <w:pPr>
              <w:pStyle w:val="NoSpacing"/>
            </w:pPr>
            <w:r w:rsidRPr="0034257B">
              <w:t>£236.81</w:t>
            </w:r>
          </w:p>
        </w:tc>
        <w:tc>
          <w:tcPr>
            <w:tcW w:w="1860" w:type="dxa"/>
            <w:tcBorders>
              <w:top w:val="nil"/>
              <w:left w:val="nil"/>
              <w:bottom w:val="nil"/>
              <w:right w:val="nil"/>
            </w:tcBorders>
            <w:shd w:val="clear" w:color="auto" w:fill="auto"/>
            <w:tcMar>
              <w:top w:w="8" w:type="dxa"/>
              <w:left w:w="8" w:type="dxa"/>
              <w:bottom w:w="0" w:type="dxa"/>
              <w:right w:w="8" w:type="dxa"/>
            </w:tcMar>
            <w:vAlign w:val="bottom"/>
            <w:hideMark/>
          </w:tcPr>
          <w:p w14:paraId="5D1DF657" w14:textId="77777777" w:rsidR="0034257B" w:rsidRPr="0034257B" w:rsidRDefault="0034257B" w:rsidP="0034257B">
            <w:pPr>
              <w:pStyle w:val="NoSpacing"/>
            </w:pPr>
            <w:r w:rsidRPr="0034257B">
              <w:t>£31.57</w:t>
            </w:r>
          </w:p>
        </w:tc>
      </w:tr>
      <w:tr w:rsidR="0034257B" w:rsidRPr="0034257B" w14:paraId="69B28BCC" w14:textId="77777777" w:rsidTr="0034257B">
        <w:trPr>
          <w:trHeight w:val="285"/>
        </w:trPr>
        <w:tc>
          <w:tcPr>
            <w:tcW w:w="1980" w:type="dxa"/>
            <w:tcBorders>
              <w:top w:val="nil"/>
              <w:left w:val="nil"/>
              <w:bottom w:val="nil"/>
              <w:right w:val="nil"/>
            </w:tcBorders>
            <w:shd w:val="clear" w:color="auto" w:fill="auto"/>
            <w:tcMar>
              <w:top w:w="8" w:type="dxa"/>
              <w:left w:w="8" w:type="dxa"/>
              <w:bottom w:w="0" w:type="dxa"/>
              <w:right w:w="8" w:type="dxa"/>
            </w:tcMar>
            <w:vAlign w:val="bottom"/>
            <w:hideMark/>
          </w:tcPr>
          <w:p w14:paraId="140A59AC" w14:textId="77777777" w:rsidR="0034257B" w:rsidRPr="0034257B" w:rsidRDefault="0034257B" w:rsidP="0034257B">
            <w:pPr>
              <w:pStyle w:val="NoSpacing"/>
            </w:pPr>
            <w:r w:rsidRPr="0034257B">
              <w:rPr>
                <w:b/>
                <w:bCs/>
              </w:rPr>
              <w:t>Exeter</w:t>
            </w:r>
          </w:p>
        </w:tc>
        <w:tc>
          <w:tcPr>
            <w:tcW w:w="1900" w:type="dxa"/>
            <w:tcBorders>
              <w:top w:val="nil"/>
              <w:left w:val="nil"/>
              <w:bottom w:val="nil"/>
              <w:right w:val="nil"/>
            </w:tcBorders>
            <w:shd w:val="clear" w:color="auto" w:fill="auto"/>
            <w:tcMar>
              <w:top w:w="8" w:type="dxa"/>
              <w:left w:w="8" w:type="dxa"/>
              <w:bottom w:w="0" w:type="dxa"/>
              <w:right w:w="8" w:type="dxa"/>
            </w:tcMar>
            <w:vAlign w:val="bottom"/>
            <w:hideMark/>
          </w:tcPr>
          <w:p w14:paraId="6C1EC584" w14:textId="77777777" w:rsidR="0034257B" w:rsidRPr="0034257B" w:rsidRDefault="0034257B" w:rsidP="0034257B">
            <w:pPr>
              <w:pStyle w:val="NoSpacing"/>
            </w:pPr>
            <w:r w:rsidRPr="0034257B">
              <w:t>£177.61</w:t>
            </w:r>
          </w:p>
        </w:tc>
        <w:tc>
          <w:tcPr>
            <w:tcW w:w="1860" w:type="dxa"/>
            <w:tcBorders>
              <w:top w:val="nil"/>
              <w:left w:val="nil"/>
              <w:bottom w:val="nil"/>
              <w:right w:val="nil"/>
            </w:tcBorders>
            <w:shd w:val="clear" w:color="auto" w:fill="auto"/>
            <w:tcMar>
              <w:top w:w="8" w:type="dxa"/>
              <w:left w:w="8" w:type="dxa"/>
              <w:bottom w:w="0" w:type="dxa"/>
              <w:right w:w="8" w:type="dxa"/>
            </w:tcMar>
            <w:vAlign w:val="bottom"/>
            <w:hideMark/>
          </w:tcPr>
          <w:p w14:paraId="738C5555" w14:textId="77777777" w:rsidR="0034257B" w:rsidRPr="0034257B" w:rsidRDefault="0034257B" w:rsidP="0034257B">
            <w:pPr>
              <w:pStyle w:val="NoSpacing"/>
            </w:pPr>
            <w:r w:rsidRPr="0034257B">
              <w:t>£23.68</w:t>
            </w:r>
          </w:p>
        </w:tc>
      </w:tr>
      <w:tr w:rsidR="0034257B" w:rsidRPr="0034257B" w14:paraId="3FE0E6A0" w14:textId="77777777" w:rsidTr="0034257B">
        <w:trPr>
          <w:trHeight w:val="285"/>
        </w:trPr>
        <w:tc>
          <w:tcPr>
            <w:tcW w:w="1980" w:type="dxa"/>
            <w:tcBorders>
              <w:top w:val="nil"/>
              <w:left w:val="nil"/>
              <w:bottom w:val="nil"/>
              <w:right w:val="nil"/>
            </w:tcBorders>
            <w:shd w:val="clear" w:color="auto" w:fill="auto"/>
            <w:tcMar>
              <w:top w:w="8" w:type="dxa"/>
              <w:left w:w="8" w:type="dxa"/>
              <w:bottom w:w="0" w:type="dxa"/>
              <w:right w:w="8" w:type="dxa"/>
            </w:tcMar>
            <w:vAlign w:val="bottom"/>
            <w:hideMark/>
          </w:tcPr>
          <w:p w14:paraId="01A9FCEF" w14:textId="77777777" w:rsidR="0034257B" w:rsidRPr="0034257B" w:rsidRDefault="0034257B" w:rsidP="0034257B">
            <w:pPr>
              <w:pStyle w:val="NoSpacing"/>
            </w:pPr>
            <w:r w:rsidRPr="0034257B">
              <w:rPr>
                <w:b/>
                <w:bCs/>
              </w:rPr>
              <w:t>Edinburgh</w:t>
            </w:r>
          </w:p>
        </w:tc>
        <w:tc>
          <w:tcPr>
            <w:tcW w:w="1900" w:type="dxa"/>
            <w:tcBorders>
              <w:top w:val="nil"/>
              <w:left w:val="nil"/>
              <w:bottom w:val="nil"/>
              <w:right w:val="nil"/>
            </w:tcBorders>
            <w:shd w:val="clear" w:color="auto" w:fill="auto"/>
            <w:tcMar>
              <w:top w:w="8" w:type="dxa"/>
              <w:left w:w="8" w:type="dxa"/>
              <w:bottom w:w="0" w:type="dxa"/>
              <w:right w:w="8" w:type="dxa"/>
            </w:tcMar>
            <w:vAlign w:val="bottom"/>
            <w:hideMark/>
          </w:tcPr>
          <w:p w14:paraId="71591EE9" w14:textId="77777777" w:rsidR="0034257B" w:rsidRPr="0034257B" w:rsidRDefault="0034257B" w:rsidP="0034257B">
            <w:pPr>
              <w:pStyle w:val="NoSpacing"/>
            </w:pPr>
            <w:r w:rsidRPr="0034257B">
              <w:t>£322.92</w:t>
            </w:r>
          </w:p>
        </w:tc>
        <w:tc>
          <w:tcPr>
            <w:tcW w:w="1860" w:type="dxa"/>
            <w:tcBorders>
              <w:top w:val="nil"/>
              <w:left w:val="nil"/>
              <w:bottom w:val="nil"/>
              <w:right w:val="nil"/>
            </w:tcBorders>
            <w:shd w:val="clear" w:color="auto" w:fill="auto"/>
            <w:tcMar>
              <w:top w:w="8" w:type="dxa"/>
              <w:left w:w="8" w:type="dxa"/>
              <w:bottom w:w="0" w:type="dxa"/>
              <w:right w:w="8" w:type="dxa"/>
            </w:tcMar>
            <w:vAlign w:val="bottom"/>
            <w:hideMark/>
          </w:tcPr>
          <w:p w14:paraId="0303B26E" w14:textId="77777777" w:rsidR="0034257B" w:rsidRPr="0034257B" w:rsidRDefault="0034257B" w:rsidP="0034257B">
            <w:pPr>
              <w:pStyle w:val="NoSpacing"/>
            </w:pPr>
            <w:r w:rsidRPr="0034257B">
              <w:t>£43.06</w:t>
            </w:r>
          </w:p>
        </w:tc>
      </w:tr>
      <w:tr w:rsidR="0034257B" w:rsidRPr="0034257B" w14:paraId="7166F082" w14:textId="77777777" w:rsidTr="0034257B">
        <w:trPr>
          <w:trHeight w:val="285"/>
        </w:trPr>
        <w:tc>
          <w:tcPr>
            <w:tcW w:w="1980" w:type="dxa"/>
            <w:tcBorders>
              <w:top w:val="nil"/>
              <w:left w:val="nil"/>
              <w:bottom w:val="nil"/>
              <w:right w:val="nil"/>
            </w:tcBorders>
            <w:shd w:val="clear" w:color="auto" w:fill="auto"/>
            <w:tcMar>
              <w:top w:w="8" w:type="dxa"/>
              <w:left w:w="8" w:type="dxa"/>
              <w:bottom w:w="0" w:type="dxa"/>
              <w:right w:w="8" w:type="dxa"/>
            </w:tcMar>
            <w:vAlign w:val="bottom"/>
            <w:hideMark/>
          </w:tcPr>
          <w:p w14:paraId="31FC589A" w14:textId="77777777" w:rsidR="0034257B" w:rsidRPr="0034257B" w:rsidRDefault="0034257B" w:rsidP="0034257B">
            <w:pPr>
              <w:pStyle w:val="NoSpacing"/>
            </w:pPr>
            <w:r w:rsidRPr="0034257B">
              <w:rPr>
                <w:b/>
                <w:bCs/>
              </w:rPr>
              <w:t>Newcastle upon Tyne</w:t>
            </w:r>
          </w:p>
        </w:tc>
        <w:tc>
          <w:tcPr>
            <w:tcW w:w="1900" w:type="dxa"/>
            <w:tcBorders>
              <w:top w:val="nil"/>
              <w:left w:val="nil"/>
              <w:bottom w:val="nil"/>
              <w:right w:val="nil"/>
            </w:tcBorders>
            <w:shd w:val="clear" w:color="auto" w:fill="auto"/>
            <w:tcMar>
              <w:top w:w="8" w:type="dxa"/>
              <w:left w:w="8" w:type="dxa"/>
              <w:bottom w:w="0" w:type="dxa"/>
              <w:right w:w="8" w:type="dxa"/>
            </w:tcMar>
            <w:vAlign w:val="bottom"/>
            <w:hideMark/>
          </w:tcPr>
          <w:p w14:paraId="38DFD992" w14:textId="77777777" w:rsidR="0034257B" w:rsidRPr="0034257B" w:rsidRDefault="0034257B" w:rsidP="0034257B">
            <w:pPr>
              <w:pStyle w:val="NoSpacing"/>
            </w:pPr>
            <w:r w:rsidRPr="0034257B">
              <w:t>£247.57</w:t>
            </w:r>
          </w:p>
        </w:tc>
        <w:tc>
          <w:tcPr>
            <w:tcW w:w="1860" w:type="dxa"/>
            <w:tcBorders>
              <w:top w:val="nil"/>
              <w:left w:val="nil"/>
              <w:bottom w:val="nil"/>
              <w:right w:val="nil"/>
            </w:tcBorders>
            <w:shd w:val="clear" w:color="auto" w:fill="auto"/>
            <w:tcMar>
              <w:top w:w="8" w:type="dxa"/>
              <w:left w:w="8" w:type="dxa"/>
              <w:bottom w:w="0" w:type="dxa"/>
              <w:right w:w="8" w:type="dxa"/>
            </w:tcMar>
            <w:vAlign w:val="bottom"/>
            <w:hideMark/>
          </w:tcPr>
          <w:p w14:paraId="7EAA96C5" w14:textId="77777777" w:rsidR="0034257B" w:rsidRPr="0034257B" w:rsidRDefault="0034257B" w:rsidP="0034257B">
            <w:pPr>
              <w:pStyle w:val="NoSpacing"/>
            </w:pPr>
            <w:r w:rsidRPr="0034257B">
              <w:t>£33.01</w:t>
            </w:r>
          </w:p>
        </w:tc>
      </w:tr>
      <w:tr w:rsidR="0034257B" w:rsidRPr="0034257B" w14:paraId="487979FE" w14:textId="77777777" w:rsidTr="0034257B">
        <w:trPr>
          <w:trHeight w:val="285"/>
        </w:trPr>
        <w:tc>
          <w:tcPr>
            <w:tcW w:w="1980" w:type="dxa"/>
            <w:tcBorders>
              <w:top w:val="nil"/>
              <w:left w:val="nil"/>
              <w:bottom w:val="nil"/>
              <w:right w:val="nil"/>
            </w:tcBorders>
            <w:shd w:val="clear" w:color="auto" w:fill="auto"/>
            <w:tcMar>
              <w:top w:w="8" w:type="dxa"/>
              <w:left w:w="8" w:type="dxa"/>
              <w:bottom w:w="0" w:type="dxa"/>
              <w:right w:w="8" w:type="dxa"/>
            </w:tcMar>
            <w:vAlign w:val="bottom"/>
            <w:hideMark/>
          </w:tcPr>
          <w:p w14:paraId="1525AFA1" w14:textId="77777777" w:rsidR="0034257B" w:rsidRPr="0034257B" w:rsidRDefault="0034257B" w:rsidP="0034257B">
            <w:pPr>
              <w:pStyle w:val="NoSpacing"/>
            </w:pPr>
            <w:r w:rsidRPr="0034257B">
              <w:rPr>
                <w:b/>
                <w:bCs/>
              </w:rPr>
              <w:t>Central London (city)</w:t>
            </w:r>
          </w:p>
        </w:tc>
        <w:tc>
          <w:tcPr>
            <w:tcW w:w="1900" w:type="dxa"/>
            <w:tcBorders>
              <w:top w:val="nil"/>
              <w:left w:val="nil"/>
              <w:bottom w:val="nil"/>
              <w:right w:val="nil"/>
            </w:tcBorders>
            <w:shd w:val="clear" w:color="auto" w:fill="auto"/>
            <w:tcMar>
              <w:top w:w="8" w:type="dxa"/>
              <w:left w:w="8" w:type="dxa"/>
              <w:bottom w:w="0" w:type="dxa"/>
              <w:right w:w="8" w:type="dxa"/>
            </w:tcMar>
            <w:vAlign w:val="bottom"/>
            <w:hideMark/>
          </w:tcPr>
          <w:p w14:paraId="61CF6577" w14:textId="77777777" w:rsidR="0034257B" w:rsidRPr="0034257B" w:rsidRDefault="0034257B" w:rsidP="0034257B">
            <w:pPr>
              <w:pStyle w:val="NoSpacing"/>
            </w:pPr>
            <w:r w:rsidRPr="0034257B">
              <w:t>£807.30</w:t>
            </w:r>
          </w:p>
        </w:tc>
        <w:tc>
          <w:tcPr>
            <w:tcW w:w="1860" w:type="dxa"/>
            <w:tcBorders>
              <w:top w:val="nil"/>
              <w:left w:val="nil"/>
              <w:bottom w:val="nil"/>
              <w:right w:val="nil"/>
            </w:tcBorders>
            <w:shd w:val="clear" w:color="auto" w:fill="auto"/>
            <w:tcMar>
              <w:top w:w="8" w:type="dxa"/>
              <w:left w:w="8" w:type="dxa"/>
              <w:bottom w:w="0" w:type="dxa"/>
              <w:right w:w="8" w:type="dxa"/>
            </w:tcMar>
            <w:vAlign w:val="bottom"/>
            <w:hideMark/>
          </w:tcPr>
          <w:p w14:paraId="6C7465FD" w14:textId="77777777" w:rsidR="0034257B" w:rsidRPr="0034257B" w:rsidRDefault="0034257B" w:rsidP="0034257B">
            <w:pPr>
              <w:pStyle w:val="NoSpacing"/>
            </w:pPr>
            <w:r w:rsidRPr="0034257B">
              <w:t>£107.64</w:t>
            </w:r>
          </w:p>
        </w:tc>
      </w:tr>
      <w:tr w:rsidR="0034257B" w:rsidRPr="0034257B" w14:paraId="74BD138D" w14:textId="77777777" w:rsidTr="0034257B">
        <w:trPr>
          <w:trHeight w:val="285"/>
        </w:trPr>
        <w:tc>
          <w:tcPr>
            <w:tcW w:w="1980" w:type="dxa"/>
            <w:tcBorders>
              <w:top w:val="nil"/>
              <w:left w:val="nil"/>
              <w:bottom w:val="nil"/>
              <w:right w:val="nil"/>
            </w:tcBorders>
            <w:shd w:val="clear" w:color="auto" w:fill="auto"/>
            <w:tcMar>
              <w:top w:w="8" w:type="dxa"/>
              <w:left w:w="8" w:type="dxa"/>
              <w:bottom w:w="0" w:type="dxa"/>
              <w:right w:w="8" w:type="dxa"/>
            </w:tcMar>
            <w:vAlign w:val="bottom"/>
            <w:hideMark/>
          </w:tcPr>
          <w:p w14:paraId="7749F271" w14:textId="77777777" w:rsidR="0034257B" w:rsidRPr="0034257B" w:rsidRDefault="0034257B" w:rsidP="0034257B">
            <w:pPr>
              <w:pStyle w:val="NoSpacing"/>
            </w:pPr>
            <w:r w:rsidRPr="0034257B">
              <w:rPr>
                <w:b/>
                <w:bCs/>
              </w:rPr>
              <w:t>Cambridge</w:t>
            </w:r>
          </w:p>
        </w:tc>
        <w:tc>
          <w:tcPr>
            <w:tcW w:w="1900" w:type="dxa"/>
            <w:tcBorders>
              <w:top w:val="nil"/>
              <w:left w:val="nil"/>
              <w:bottom w:val="nil"/>
              <w:right w:val="nil"/>
            </w:tcBorders>
            <w:shd w:val="clear" w:color="auto" w:fill="auto"/>
            <w:tcMar>
              <w:top w:w="8" w:type="dxa"/>
              <w:left w:w="8" w:type="dxa"/>
              <w:bottom w:w="0" w:type="dxa"/>
              <w:right w:w="8" w:type="dxa"/>
            </w:tcMar>
            <w:vAlign w:val="bottom"/>
            <w:hideMark/>
          </w:tcPr>
          <w:p w14:paraId="6AE6CBD7" w14:textId="77777777" w:rsidR="0034257B" w:rsidRPr="0034257B" w:rsidRDefault="0034257B" w:rsidP="0034257B">
            <w:pPr>
              <w:pStyle w:val="NoSpacing"/>
            </w:pPr>
            <w:r w:rsidRPr="0034257B">
              <w:t>£365.98</w:t>
            </w:r>
          </w:p>
        </w:tc>
        <w:tc>
          <w:tcPr>
            <w:tcW w:w="1860" w:type="dxa"/>
            <w:tcBorders>
              <w:top w:val="nil"/>
              <w:left w:val="nil"/>
              <w:bottom w:val="nil"/>
              <w:right w:val="nil"/>
            </w:tcBorders>
            <w:shd w:val="clear" w:color="auto" w:fill="auto"/>
            <w:tcMar>
              <w:top w:w="8" w:type="dxa"/>
              <w:left w:w="8" w:type="dxa"/>
              <w:bottom w:w="0" w:type="dxa"/>
              <w:right w:w="8" w:type="dxa"/>
            </w:tcMar>
            <w:vAlign w:val="bottom"/>
            <w:hideMark/>
          </w:tcPr>
          <w:p w14:paraId="3326DB70" w14:textId="77777777" w:rsidR="0034257B" w:rsidRPr="0034257B" w:rsidRDefault="0034257B" w:rsidP="0034257B">
            <w:pPr>
              <w:pStyle w:val="NoSpacing"/>
            </w:pPr>
            <w:r w:rsidRPr="0034257B">
              <w:t>£48.80</w:t>
            </w:r>
          </w:p>
        </w:tc>
      </w:tr>
      <w:tr w:rsidR="0034257B" w:rsidRPr="0034257B" w14:paraId="2B535F3F" w14:textId="77777777" w:rsidTr="0034257B">
        <w:trPr>
          <w:trHeight w:val="285"/>
        </w:trPr>
        <w:tc>
          <w:tcPr>
            <w:tcW w:w="1980" w:type="dxa"/>
            <w:tcBorders>
              <w:top w:val="nil"/>
              <w:left w:val="nil"/>
              <w:bottom w:val="single" w:sz="8" w:space="0" w:color="000000"/>
              <w:right w:val="nil"/>
            </w:tcBorders>
            <w:shd w:val="clear" w:color="auto" w:fill="auto"/>
            <w:tcMar>
              <w:top w:w="8" w:type="dxa"/>
              <w:left w:w="8" w:type="dxa"/>
              <w:bottom w:w="0" w:type="dxa"/>
              <w:right w:w="8" w:type="dxa"/>
            </w:tcMar>
            <w:vAlign w:val="bottom"/>
            <w:hideMark/>
          </w:tcPr>
          <w:p w14:paraId="14A40D73" w14:textId="77777777" w:rsidR="0034257B" w:rsidRPr="0034257B" w:rsidRDefault="0034257B" w:rsidP="0034257B">
            <w:pPr>
              <w:pStyle w:val="NoSpacing"/>
            </w:pPr>
            <w:r w:rsidRPr="0034257B">
              <w:rPr>
                <w:b/>
                <w:bCs/>
              </w:rPr>
              <w:t>Average</w:t>
            </w:r>
          </w:p>
        </w:tc>
        <w:tc>
          <w:tcPr>
            <w:tcW w:w="1900" w:type="dxa"/>
            <w:tcBorders>
              <w:top w:val="nil"/>
              <w:left w:val="nil"/>
              <w:bottom w:val="single" w:sz="8" w:space="0" w:color="000000"/>
              <w:right w:val="nil"/>
            </w:tcBorders>
            <w:shd w:val="clear" w:color="auto" w:fill="auto"/>
            <w:tcMar>
              <w:top w:w="8" w:type="dxa"/>
              <w:left w:w="8" w:type="dxa"/>
              <w:bottom w:w="0" w:type="dxa"/>
              <w:right w:w="8" w:type="dxa"/>
            </w:tcMar>
            <w:vAlign w:val="bottom"/>
            <w:hideMark/>
          </w:tcPr>
          <w:p w14:paraId="74A4A6C0" w14:textId="77777777" w:rsidR="0034257B" w:rsidRPr="0034257B" w:rsidRDefault="0034257B" w:rsidP="0034257B">
            <w:pPr>
              <w:pStyle w:val="NoSpacing"/>
            </w:pPr>
            <w:r w:rsidRPr="0034257B">
              <w:t>£325.07</w:t>
            </w:r>
          </w:p>
        </w:tc>
        <w:tc>
          <w:tcPr>
            <w:tcW w:w="1860" w:type="dxa"/>
            <w:tcBorders>
              <w:top w:val="nil"/>
              <w:left w:val="nil"/>
              <w:bottom w:val="single" w:sz="8" w:space="0" w:color="000000"/>
              <w:right w:val="nil"/>
            </w:tcBorders>
            <w:shd w:val="clear" w:color="auto" w:fill="auto"/>
            <w:tcMar>
              <w:top w:w="8" w:type="dxa"/>
              <w:left w:w="8" w:type="dxa"/>
              <w:bottom w:w="0" w:type="dxa"/>
              <w:right w:w="8" w:type="dxa"/>
            </w:tcMar>
            <w:vAlign w:val="bottom"/>
            <w:hideMark/>
          </w:tcPr>
          <w:p w14:paraId="6B9E19DF" w14:textId="77777777" w:rsidR="0034257B" w:rsidRPr="0034257B" w:rsidRDefault="0034257B" w:rsidP="0034257B">
            <w:pPr>
              <w:pStyle w:val="NoSpacing"/>
            </w:pPr>
            <w:r w:rsidRPr="0034257B">
              <w:t>£43.34</w:t>
            </w:r>
          </w:p>
        </w:tc>
      </w:tr>
    </w:tbl>
    <w:p w14:paraId="3879C8A2" w14:textId="77777777" w:rsidR="00FC50D2" w:rsidRDefault="00FC50D2" w:rsidP="004066B5"/>
    <w:p w14:paraId="3312B30A" w14:textId="77777777" w:rsidR="0034257B" w:rsidRPr="0034257B" w:rsidRDefault="0034257B" w:rsidP="0034257B">
      <w:pPr>
        <w:pStyle w:val="Caption"/>
        <w:rPr>
          <w:lang w:val="en-US"/>
        </w:rPr>
      </w:pPr>
      <w:r w:rsidRPr="0034257B">
        <w:rPr>
          <w:b/>
        </w:rPr>
        <w:t xml:space="preserve">Supplementary Table </w:t>
      </w:r>
      <w:r w:rsidR="00F74458">
        <w:rPr>
          <w:b/>
        </w:rPr>
        <w:t>8</w:t>
      </w:r>
      <w:r w:rsidRPr="0034257B">
        <w:rPr>
          <w:b/>
        </w:rPr>
        <w:t>.</w:t>
      </w:r>
      <w:r w:rsidRPr="0034257B">
        <w:t xml:space="preserve"> Business rental values for grade A new build units in prime locations. Figures shown are an estimate or achievable rental rates taken from Colliers International National Office Rents Map 2016. Service charges were obtained from Simon Korn Commercial Property Consultants for London and extrapolated for other regions.</w:t>
      </w:r>
    </w:p>
    <w:p w14:paraId="6F6B4558" w14:textId="77777777" w:rsidR="00FC50D2" w:rsidRDefault="00FC50D2" w:rsidP="004066B5"/>
    <w:p w14:paraId="01504273" w14:textId="77777777" w:rsidR="000234E0" w:rsidRDefault="000234E0">
      <w:pPr>
        <w:spacing w:line="259" w:lineRule="auto"/>
        <w:jc w:val="left"/>
      </w:pPr>
      <w:r>
        <w:br w:type="page"/>
      </w:r>
    </w:p>
    <w:p w14:paraId="7F11E474" w14:textId="7AA48148" w:rsidR="00FC50D2" w:rsidRDefault="00E1783C" w:rsidP="004066B5">
      <w:pPr>
        <w:rPr>
          <w:lang w:val="en-US"/>
        </w:rPr>
      </w:pPr>
      <w:r>
        <w:rPr>
          <w:noProof/>
        </w:rPr>
        <w:lastRenderedPageBreak/>
        <mc:AlternateContent>
          <mc:Choice Requires="wps">
            <w:drawing>
              <wp:anchor distT="45720" distB="45720" distL="114300" distR="114300" simplePos="0" relativeHeight="251664384" behindDoc="0" locked="0" layoutInCell="1" allowOverlap="1" wp14:anchorId="06A89C23" wp14:editId="2689418D">
                <wp:simplePos x="0" y="0"/>
                <wp:positionH relativeFrom="column">
                  <wp:posOffset>5063490</wp:posOffset>
                </wp:positionH>
                <wp:positionV relativeFrom="paragraph">
                  <wp:posOffset>1595755</wp:posOffset>
                </wp:positionV>
                <wp:extent cx="2146935" cy="1404620"/>
                <wp:effectExtent l="0" t="495300" r="0" b="48133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46935" cy="1404620"/>
                        </a:xfrm>
                        <a:prstGeom prst="rect">
                          <a:avLst/>
                        </a:prstGeom>
                        <a:solidFill>
                          <a:srgbClr val="FFFFFF"/>
                        </a:solidFill>
                        <a:ln w="9525">
                          <a:noFill/>
                          <a:miter lim="800000"/>
                          <a:headEnd/>
                          <a:tailEnd/>
                        </a:ln>
                      </wps:spPr>
                      <wps:txbx>
                        <w:txbxContent>
                          <w:p w14:paraId="7D594EB1" w14:textId="77777777" w:rsidR="00792CD2" w:rsidRPr="0034257B" w:rsidRDefault="00792CD2" w:rsidP="000234E0">
                            <w:pPr>
                              <w:pStyle w:val="Caption"/>
                              <w:rPr>
                                <w:lang w:val="en-US"/>
                              </w:rPr>
                            </w:pPr>
                            <w:r w:rsidRPr="0034257B">
                              <w:rPr>
                                <w:b/>
                              </w:rPr>
                              <w:t xml:space="preserve">Supplementary Table </w:t>
                            </w:r>
                            <w:r>
                              <w:rPr>
                                <w:b/>
                              </w:rPr>
                              <w:t>9</w:t>
                            </w:r>
                            <w:r w:rsidRPr="0034257B">
                              <w:rPr>
                                <w:b/>
                              </w:rPr>
                              <w:t>.</w:t>
                            </w:r>
                            <w:r w:rsidRPr="0034257B">
                              <w:t xml:space="preserve"> </w:t>
                            </w:r>
                            <w:r>
                              <w:t>Assays used for QC of batches produced. Assay purpose, type and potential methodological approach are highlighted as well as the reasoning behind the choice. Example costings are highlighted for each battery of tests.</w:t>
                            </w:r>
                          </w:p>
                          <w:p w14:paraId="662CE365" w14:textId="77777777" w:rsidR="00792CD2" w:rsidRPr="009C2887" w:rsidRDefault="00792CD2">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6A89C23" id="_x0000_s1027" type="#_x0000_t202" style="position:absolute;left:0;text-align:left;margin-left:398.7pt;margin-top:125.65pt;width:169.05pt;height:110.6pt;rotation:-90;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" stroked="f">
                <v:textbox style="mso-fit-shape-to-text:t">
                  <w:txbxContent>
                    <w:p w14:paraId="7D594EB1" w14:textId="77777777" w:rsidR="00792CD2" w:rsidRPr="0034257B" w:rsidRDefault="00792CD2" w:rsidP="000234E0">
                      <w:pPr>
                        <w:pStyle w:val="Caption"/>
                        <w:rPr>
                          <w:lang w:val="en-US"/>
                        </w:rPr>
                      </w:pPr>
                      <w:r w:rsidRPr="0034257B">
                        <w:rPr>
                          <w:b/>
                        </w:rPr>
                        <w:t xml:space="preserve">Supplementary Table </w:t>
                      </w:r>
                      <w:r>
                        <w:rPr>
                          <w:b/>
                        </w:rPr>
                        <w:t>9</w:t>
                      </w:r>
                      <w:r w:rsidRPr="0034257B">
                        <w:rPr>
                          <w:b/>
                        </w:rPr>
                        <w:t>.</w:t>
                      </w:r>
                      <w:r w:rsidRPr="0034257B">
                        <w:t xml:space="preserve"> </w:t>
                      </w:r>
                      <w:r>
                        <w:t>Assays used for QC of batches produced. Assay purpose, type and potential methodological approach are highlighted as well as the reasoning behind the choice. Example costings are highlighted for each battery of tests.</w:t>
                      </w:r>
                    </w:p>
                    <w:p w14:paraId="662CE365" w14:textId="77777777" w:rsidR="00792CD2" w:rsidRPr="009C2887" w:rsidRDefault="00792CD2">
                      <w:pPr>
                        <w:rPr>
                          <w:lang w:val="en-US"/>
                        </w:rPr>
                      </w:pPr>
                    </w:p>
                  </w:txbxContent>
                </v:textbox>
                <w10:wrap type="square"/>
              </v:shape>
            </w:pict>
          </mc:Fallback>
        </mc:AlternateContent>
      </w:r>
      <w:r w:rsidR="00F547B1" w:rsidRPr="00F547B1">
        <w:rPr>
          <w:lang w:val="en-US"/>
        </w:rPr>
        <w:t xml:space="preserve"> </w:t>
      </w:r>
      <w:r w:rsidR="00F547B1" w:rsidRPr="00F547B1">
        <w:rPr>
          <w:noProof/>
          <w:lang w:val="en-US"/>
        </w:rPr>
        <w:drawing>
          <wp:inline distT="0" distB="0" distL="0" distR="0" wp14:anchorId="0D7AA769" wp14:editId="35751F91">
            <wp:extent cx="8472445" cy="5022241"/>
            <wp:effectExtent l="0" t="8573"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6200000">
                      <a:off x="0" y="0"/>
                      <a:ext cx="8477612" cy="5025304"/>
                    </a:xfrm>
                    <a:prstGeom prst="rect">
                      <a:avLst/>
                    </a:prstGeom>
                    <a:noFill/>
                    <a:ln>
                      <a:noFill/>
                    </a:ln>
                  </pic:spPr>
                </pic:pic>
              </a:graphicData>
            </a:graphic>
          </wp:inline>
        </w:drawing>
      </w:r>
    </w:p>
    <w:p w14:paraId="6C763C90" w14:textId="77777777" w:rsidR="000234E0" w:rsidRDefault="000234E0" w:rsidP="004066B5">
      <w:pPr>
        <w:rPr>
          <w:lang w:val="en-US"/>
        </w:rPr>
      </w:pPr>
    </w:p>
    <w:p w14:paraId="0EFE4073" w14:textId="77777777" w:rsidR="000234E0" w:rsidRDefault="000234E0" w:rsidP="004066B5">
      <w:pPr>
        <w:rPr>
          <w:lang w:val="en-US"/>
        </w:rPr>
      </w:pPr>
    </w:p>
    <w:p w14:paraId="4AFB310D" w14:textId="77777777" w:rsidR="000234E0" w:rsidRDefault="000234E0" w:rsidP="004066B5">
      <w:pPr>
        <w:rPr>
          <w:lang w:val="en-US"/>
        </w:rPr>
      </w:pPr>
    </w:p>
    <w:p w14:paraId="21959F2F" w14:textId="77777777" w:rsidR="000234E0" w:rsidRDefault="000234E0" w:rsidP="004066B5">
      <w:pPr>
        <w:rPr>
          <w:lang w:val="en-US"/>
        </w:rPr>
      </w:pPr>
    </w:p>
    <w:p w14:paraId="0408914A" w14:textId="77777777" w:rsidR="000234E0" w:rsidRPr="009C2887" w:rsidRDefault="000234E0" w:rsidP="004066B5">
      <w:pPr>
        <w:rPr>
          <w:lang w:val="en-US"/>
        </w:rPr>
      </w:pPr>
    </w:p>
    <w:sectPr w:rsidR="000234E0" w:rsidRPr="009C2887" w:rsidSect="0041388C">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9B2D9" w14:textId="77777777" w:rsidR="008B3C46" w:rsidRDefault="008B3C46" w:rsidP="001762BD">
      <w:r>
        <w:separator/>
      </w:r>
    </w:p>
  </w:endnote>
  <w:endnote w:type="continuationSeparator" w:id="0">
    <w:p w14:paraId="7B53430E" w14:textId="77777777" w:rsidR="008B3C46" w:rsidRDefault="008B3C46" w:rsidP="0017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21328"/>
      <w:docPartObj>
        <w:docPartGallery w:val="Page Numbers (Bottom of Page)"/>
        <w:docPartUnique/>
      </w:docPartObj>
    </w:sdtPr>
    <w:sdtEndPr>
      <w:rPr>
        <w:noProof/>
      </w:rPr>
    </w:sdtEndPr>
    <w:sdtContent>
      <w:p w14:paraId="0020DD96" w14:textId="77777777" w:rsidR="00792CD2" w:rsidRDefault="0041388C" w:rsidP="001762BD">
        <w:pPr>
          <w:pStyle w:val="Footer"/>
        </w:pPr>
        <w:r>
          <w:fldChar w:fldCharType="begin"/>
        </w:r>
        <w:r w:rsidR="00792CD2">
          <w:instrText xml:space="preserve"> PAGE   \* MERGEFORMAT </w:instrText>
        </w:r>
        <w:r>
          <w:fldChar w:fldCharType="separate"/>
        </w:r>
        <w:r w:rsidR="00CC1BA5">
          <w:rPr>
            <w:noProof/>
          </w:rPr>
          <w:t>8</w:t>
        </w:r>
        <w:r>
          <w:rPr>
            <w:noProof/>
          </w:rPr>
          <w:fldChar w:fldCharType="end"/>
        </w:r>
      </w:p>
    </w:sdtContent>
  </w:sdt>
  <w:p w14:paraId="07E1740D" w14:textId="77777777" w:rsidR="00792CD2" w:rsidRDefault="00792CD2" w:rsidP="00176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9D949" w14:textId="77777777" w:rsidR="008B3C46" w:rsidRDefault="008B3C46" w:rsidP="001762BD">
      <w:r>
        <w:separator/>
      </w:r>
    </w:p>
  </w:footnote>
  <w:footnote w:type="continuationSeparator" w:id="0">
    <w:p w14:paraId="4D607A32" w14:textId="77777777" w:rsidR="008B3C46" w:rsidRDefault="008B3C46" w:rsidP="00176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D6CA7"/>
    <w:multiLevelType w:val="multilevel"/>
    <w:tmpl w:val="0076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7A0B71"/>
    <w:multiLevelType w:val="hybridMultilevel"/>
    <w:tmpl w:val="2B4E9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2F0A5F"/>
    <w:multiLevelType w:val="hybridMultilevel"/>
    <w:tmpl w:val="22D8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367894"/>
    <w:multiLevelType w:val="hybridMultilevel"/>
    <w:tmpl w:val="16D6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273C7B"/>
    <w:multiLevelType w:val="hybridMultilevel"/>
    <w:tmpl w:val="F4E6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3B"/>
    <w:rsid w:val="000159D6"/>
    <w:rsid w:val="000234E0"/>
    <w:rsid w:val="0002427B"/>
    <w:rsid w:val="0002682A"/>
    <w:rsid w:val="00051357"/>
    <w:rsid w:val="00054D46"/>
    <w:rsid w:val="00056CBF"/>
    <w:rsid w:val="00057B19"/>
    <w:rsid w:val="00060C02"/>
    <w:rsid w:val="00063D6B"/>
    <w:rsid w:val="00070A0B"/>
    <w:rsid w:val="00080247"/>
    <w:rsid w:val="00082BA9"/>
    <w:rsid w:val="0008751C"/>
    <w:rsid w:val="000924C2"/>
    <w:rsid w:val="00096F83"/>
    <w:rsid w:val="000A63B2"/>
    <w:rsid w:val="000A786E"/>
    <w:rsid w:val="000B3A22"/>
    <w:rsid w:val="000B64BA"/>
    <w:rsid w:val="000C114B"/>
    <w:rsid w:val="000C122E"/>
    <w:rsid w:val="000C471E"/>
    <w:rsid w:val="000C4D8B"/>
    <w:rsid w:val="000D32FF"/>
    <w:rsid w:val="000D68B0"/>
    <w:rsid w:val="000E2047"/>
    <w:rsid w:val="000E3E44"/>
    <w:rsid w:val="000E4185"/>
    <w:rsid w:val="000E5FC8"/>
    <w:rsid w:val="001160B7"/>
    <w:rsid w:val="00121780"/>
    <w:rsid w:val="00127B36"/>
    <w:rsid w:val="00130397"/>
    <w:rsid w:val="001305DF"/>
    <w:rsid w:val="00140ECF"/>
    <w:rsid w:val="00140FF5"/>
    <w:rsid w:val="00146ACA"/>
    <w:rsid w:val="00160F6A"/>
    <w:rsid w:val="001653EA"/>
    <w:rsid w:val="001666C8"/>
    <w:rsid w:val="001762BD"/>
    <w:rsid w:val="001774D4"/>
    <w:rsid w:val="00184295"/>
    <w:rsid w:val="00186A7E"/>
    <w:rsid w:val="00195886"/>
    <w:rsid w:val="001A2693"/>
    <w:rsid w:val="001A7451"/>
    <w:rsid w:val="001B66BD"/>
    <w:rsid w:val="001C002C"/>
    <w:rsid w:val="001C0F25"/>
    <w:rsid w:val="001C77AB"/>
    <w:rsid w:val="001D6C81"/>
    <w:rsid w:val="001D799B"/>
    <w:rsid w:val="001E32FB"/>
    <w:rsid w:val="001E7D32"/>
    <w:rsid w:val="001F3AF6"/>
    <w:rsid w:val="00200DC7"/>
    <w:rsid w:val="00211384"/>
    <w:rsid w:val="00215FB7"/>
    <w:rsid w:val="00220FA7"/>
    <w:rsid w:val="00221EE0"/>
    <w:rsid w:val="00222934"/>
    <w:rsid w:val="00224AD6"/>
    <w:rsid w:val="0023021F"/>
    <w:rsid w:val="00230B3D"/>
    <w:rsid w:val="0023134E"/>
    <w:rsid w:val="002319F2"/>
    <w:rsid w:val="00234067"/>
    <w:rsid w:val="0023755B"/>
    <w:rsid w:val="00242124"/>
    <w:rsid w:val="00247471"/>
    <w:rsid w:val="0024748D"/>
    <w:rsid w:val="00247571"/>
    <w:rsid w:val="00257B8E"/>
    <w:rsid w:val="0026099C"/>
    <w:rsid w:val="0026138A"/>
    <w:rsid w:val="00261FAB"/>
    <w:rsid w:val="00264267"/>
    <w:rsid w:val="002646B2"/>
    <w:rsid w:val="00266B16"/>
    <w:rsid w:val="00287098"/>
    <w:rsid w:val="00287A03"/>
    <w:rsid w:val="00295464"/>
    <w:rsid w:val="002A7826"/>
    <w:rsid w:val="002B2BC9"/>
    <w:rsid w:val="002C707F"/>
    <w:rsid w:val="002D158F"/>
    <w:rsid w:val="002D4DC1"/>
    <w:rsid w:val="002E1BB0"/>
    <w:rsid w:val="002E327B"/>
    <w:rsid w:val="00304AD4"/>
    <w:rsid w:val="0031291B"/>
    <w:rsid w:val="00313182"/>
    <w:rsid w:val="0031466F"/>
    <w:rsid w:val="0031698B"/>
    <w:rsid w:val="00327BE2"/>
    <w:rsid w:val="0033799B"/>
    <w:rsid w:val="00340361"/>
    <w:rsid w:val="0034257B"/>
    <w:rsid w:val="00347FC1"/>
    <w:rsid w:val="00360B4F"/>
    <w:rsid w:val="00367D9F"/>
    <w:rsid w:val="00370236"/>
    <w:rsid w:val="003770E4"/>
    <w:rsid w:val="00383577"/>
    <w:rsid w:val="00383A6E"/>
    <w:rsid w:val="0038749A"/>
    <w:rsid w:val="003901E1"/>
    <w:rsid w:val="003944E5"/>
    <w:rsid w:val="00397022"/>
    <w:rsid w:val="0039791D"/>
    <w:rsid w:val="003A7E07"/>
    <w:rsid w:val="003C325F"/>
    <w:rsid w:val="003C6EFA"/>
    <w:rsid w:val="003E166A"/>
    <w:rsid w:val="003E3EF4"/>
    <w:rsid w:val="003E52AD"/>
    <w:rsid w:val="003F16CF"/>
    <w:rsid w:val="003F60CC"/>
    <w:rsid w:val="003F71D1"/>
    <w:rsid w:val="004029AB"/>
    <w:rsid w:val="00402A5D"/>
    <w:rsid w:val="004066B5"/>
    <w:rsid w:val="00411B59"/>
    <w:rsid w:val="0041388C"/>
    <w:rsid w:val="00414C79"/>
    <w:rsid w:val="00423A0E"/>
    <w:rsid w:val="004248EC"/>
    <w:rsid w:val="00424FF9"/>
    <w:rsid w:val="00424FFF"/>
    <w:rsid w:val="00425C3B"/>
    <w:rsid w:val="00426527"/>
    <w:rsid w:val="004343A1"/>
    <w:rsid w:val="004466C3"/>
    <w:rsid w:val="00455050"/>
    <w:rsid w:val="004859BB"/>
    <w:rsid w:val="0048771C"/>
    <w:rsid w:val="00487EA7"/>
    <w:rsid w:val="004973C1"/>
    <w:rsid w:val="004976E2"/>
    <w:rsid w:val="004A334D"/>
    <w:rsid w:val="004C04E8"/>
    <w:rsid w:val="004C0714"/>
    <w:rsid w:val="004C2587"/>
    <w:rsid w:val="004C6AE5"/>
    <w:rsid w:val="004D18DC"/>
    <w:rsid w:val="004D68B2"/>
    <w:rsid w:val="004E3341"/>
    <w:rsid w:val="004E63CF"/>
    <w:rsid w:val="004F0D5B"/>
    <w:rsid w:val="004F6482"/>
    <w:rsid w:val="004F796C"/>
    <w:rsid w:val="00506E90"/>
    <w:rsid w:val="00515C84"/>
    <w:rsid w:val="00530BBF"/>
    <w:rsid w:val="00532E08"/>
    <w:rsid w:val="00540AF1"/>
    <w:rsid w:val="0054176E"/>
    <w:rsid w:val="00542FB5"/>
    <w:rsid w:val="005475CE"/>
    <w:rsid w:val="00560FB0"/>
    <w:rsid w:val="00561DE0"/>
    <w:rsid w:val="00566ACF"/>
    <w:rsid w:val="00567FAF"/>
    <w:rsid w:val="00570F21"/>
    <w:rsid w:val="005731DC"/>
    <w:rsid w:val="00573414"/>
    <w:rsid w:val="00577C1A"/>
    <w:rsid w:val="00582D02"/>
    <w:rsid w:val="00583B47"/>
    <w:rsid w:val="005959DF"/>
    <w:rsid w:val="005A22EE"/>
    <w:rsid w:val="005A391B"/>
    <w:rsid w:val="005A7485"/>
    <w:rsid w:val="005A7502"/>
    <w:rsid w:val="005B15AE"/>
    <w:rsid w:val="005B43A1"/>
    <w:rsid w:val="005B795E"/>
    <w:rsid w:val="005C594C"/>
    <w:rsid w:val="005D087F"/>
    <w:rsid w:val="005D0ECA"/>
    <w:rsid w:val="005D19DC"/>
    <w:rsid w:val="005D1E66"/>
    <w:rsid w:val="005E61B3"/>
    <w:rsid w:val="005F1004"/>
    <w:rsid w:val="005F6FF8"/>
    <w:rsid w:val="00607635"/>
    <w:rsid w:val="006134FF"/>
    <w:rsid w:val="00614B84"/>
    <w:rsid w:val="006440ED"/>
    <w:rsid w:val="00652305"/>
    <w:rsid w:val="00655C95"/>
    <w:rsid w:val="00665B2D"/>
    <w:rsid w:val="0066675C"/>
    <w:rsid w:val="00676808"/>
    <w:rsid w:val="00693B6A"/>
    <w:rsid w:val="006A1BFC"/>
    <w:rsid w:val="006A5F01"/>
    <w:rsid w:val="006A6804"/>
    <w:rsid w:val="006A7877"/>
    <w:rsid w:val="006B24AE"/>
    <w:rsid w:val="006B5758"/>
    <w:rsid w:val="006B5D18"/>
    <w:rsid w:val="006C2BD5"/>
    <w:rsid w:val="006C3C9B"/>
    <w:rsid w:val="006C45B0"/>
    <w:rsid w:val="006D12E8"/>
    <w:rsid w:val="006D2E6C"/>
    <w:rsid w:val="006D4A2B"/>
    <w:rsid w:val="006E08F3"/>
    <w:rsid w:val="006E3E5B"/>
    <w:rsid w:val="006E6B18"/>
    <w:rsid w:val="006F1845"/>
    <w:rsid w:val="006F1B57"/>
    <w:rsid w:val="006F3501"/>
    <w:rsid w:val="006F5974"/>
    <w:rsid w:val="00706AE1"/>
    <w:rsid w:val="0071180C"/>
    <w:rsid w:val="00712EE0"/>
    <w:rsid w:val="00715EDF"/>
    <w:rsid w:val="007217F2"/>
    <w:rsid w:val="0072229F"/>
    <w:rsid w:val="007225A1"/>
    <w:rsid w:val="007255C4"/>
    <w:rsid w:val="00727BFF"/>
    <w:rsid w:val="00734F37"/>
    <w:rsid w:val="0073680C"/>
    <w:rsid w:val="00736A36"/>
    <w:rsid w:val="007507F9"/>
    <w:rsid w:val="00752780"/>
    <w:rsid w:val="00755B92"/>
    <w:rsid w:val="0075779E"/>
    <w:rsid w:val="0076179E"/>
    <w:rsid w:val="00761C88"/>
    <w:rsid w:val="007627D7"/>
    <w:rsid w:val="00766B63"/>
    <w:rsid w:val="007709AA"/>
    <w:rsid w:val="00772A66"/>
    <w:rsid w:val="0077703C"/>
    <w:rsid w:val="007827D1"/>
    <w:rsid w:val="0078637E"/>
    <w:rsid w:val="00792CD2"/>
    <w:rsid w:val="00793516"/>
    <w:rsid w:val="007949E6"/>
    <w:rsid w:val="0079516F"/>
    <w:rsid w:val="0079725F"/>
    <w:rsid w:val="007A0049"/>
    <w:rsid w:val="007A1B19"/>
    <w:rsid w:val="007A352A"/>
    <w:rsid w:val="007A3A60"/>
    <w:rsid w:val="007A70E5"/>
    <w:rsid w:val="007B137E"/>
    <w:rsid w:val="007B1B85"/>
    <w:rsid w:val="007C3BB8"/>
    <w:rsid w:val="007C5E2B"/>
    <w:rsid w:val="007D66CF"/>
    <w:rsid w:val="007D675C"/>
    <w:rsid w:val="007E2FB8"/>
    <w:rsid w:val="007E625B"/>
    <w:rsid w:val="007E6C23"/>
    <w:rsid w:val="008146A4"/>
    <w:rsid w:val="008147B4"/>
    <w:rsid w:val="00816772"/>
    <w:rsid w:val="00816B7D"/>
    <w:rsid w:val="00820445"/>
    <w:rsid w:val="00830C37"/>
    <w:rsid w:val="00841545"/>
    <w:rsid w:val="00845D14"/>
    <w:rsid w:val="00853216"/>
    <w:rsid w:val="008538C8"/>
    <w:rsid w:val="00853AEF"/>
    <w:rsid w:val="008616D7"/>
    <w:rsid w:val="008641EA"/>
    <w:rsid w:val="008656F2"/>
    <w:rsid w:val="00882FF9"/>
    <w:rsid w:val="00892286"/>
    <w:rsid w:val="00892533"/>
    <w:rsid w:val="008A6DB5"/>
    <w:rsid w:val="008B3C46"/>
    <w:rsid w:val="008C49C4"/>
    <w:rsid w:val="008C5A53"/>
    <w:rsid w:val="008C5A5C"/>
    <w:rsid w:val="008C7376"/>
    <w:rsid w:val="008D0B6E"/>
    <w:rsid w:val="008D392F"/>
    <w:rsid w:val="008F548C"/>
    <w:rsid w:val="008F5B9A"/>
    <w:rsid w:val="00902F8C"/>
    <w:rsid w:val="009114B0"/>
    <w:rsid w:val="00922C14"/>
    <w:rsid w:val="00923A59"/>
    <w:rsid w:val="00924682"/>
    <w:rsid w:val="00924B63"/>
    <w:rsid w:val="00942598"/>
    <w:rsid w:val="009462AA"/>
    <w:rsid w:val="00946A2E"/>
    <w:rsid w:val="00957646"/>
    <w:rsid w:val="00965516"/>
    <w:rsid w:val="00966E79"/>
    <w:rsid w:val="00967577"/>
    <w:rsid w:val="009765C7"/>
    <w:rsid w:val="0098578D"/>
    <w:rsid w:val="00994FDF"/>
    <w:rsid w:val="009974F6"/>
    <w:rsid w:val="009A4653"/>
    <w:rsid w:val="009A7F3A"/>
    <w:rsid w:val="009B0418"/>
    <w:rsid w:val="009B4998"/>
    <w:rsid w:val="009C2887"/>
    <w:rsid w:val="009D05FA"/>
    <w:rsid w:val="009D20D2"/>
    <w:rsid w:val="009D23C4"/>
    <w:rsid w:val="009D23D4"/>
    <w:rsid w:val="009D454A"/>
    <w:rsid w:val="009E2D12"/>
    <w:rsid w:val="00A0286E"/>
    <w:rsid w:val="00A04F10"/>
    <w:rsid w:val="00A076BF"/>
    <w:rsid w:val="00A10E98"/>
    <w:rsid w:val="00A13FDC"/>
    <w:rsid w:val="00A16D8D"/>
    <w:rsid w:val="00A210BD"/>
    <w:rsid w:val="00A244EB"/>
    <w:rsid w:val="00A3195F"/>
    <w:rsid w:val="00A31C03"/>
    <w:rsid w:val="00A36586"/>
    <w:rsid w:val="00A45484"/>
    <w:rsid w:val="00A45683"/>
    <w:rsid w:val="00A62AB5"/>
    <w:rsid w:val="00A70F7A"/>
    <w:rsid w:val="00A734D1"/>
    <w:rsid w:val="00A76283"/>
    <w:rsid w:val="00A90880"/>
    <w:rsid w:val="00A90ABB"/>
    <w:rsid w:val="00A923AC"/>
    <w:rsid w:val="00AA2064"/>
    <w:rsid w:val="00AA444C"/>
    <w:rsid w:val="00AA5EE7"/>
    <w:rsid w:val="00AB03DC"/>
    <w:rsid w:val="00AB6335"/>
    <w:rsid w:val="00AC5F70"/>
    <w:rsid w:val="00AF2342"/>
    <w:rsid w:val="00AF3C1E"/>
    <w:rsid w:val="00AF5930"/>
    <w:rsid w:val="00B012D0"/>
    <w:rsid w:val="00B03F9C"/>
    <w:rsid w:val="00B1645A"/>
    <w:rsid w:val="00B25992"/>
    <w:rsid w:val="00B36EC0"/>
    <w:rsid w:val="00B37086"/>
    <w:rsid w:val="00B44C5E"/>
    <w:rsid w:val="00B527CE"/>
    <w:rsid w:val="00B54876"/>
    <w:rsid w:val="00B55438"/>
    <w:rsid w:val="00B61A61"/>
    <w:rsid w:val="00B668B3"/>
    <w:rsid w:val="00B829E2"/>
    <w:rsid w:val="00B8302B"/>
    <w:rsid w:val="00B85916"/>
    <w:rsid w:val="00B92944"/>
    <w:rsid w:val="00BA36B2"/>
    <w:rsid w:val="00BB2332"/>
    <w:rsid w:val="00BB26DE"/>
    <w:rsid w:val="00BB40FF"/>
    <w:rsid w:val="00BC1776"/>
    <w:rsid w:val="00BC2359"/>
    <w:rsid w:val="00BC5FA1"/>
    <w:rsid w:val="00BD2155"/>
    <w:rsid w:val="00BD4DEC"/>
    <w:rsid w:val="00BD5ADA"/>
    <w:rsid w:val="00BD5D18"/>
    <w:rsid w:val="00BD7902"/>
    <w:rsid w:val="00BE061F"/>
    <w:rsid w:val="00BE27F0"/>
    <w:rsid w:val="00BE2EC2"/>
    <w:rsid w:val="00BE3D5B"/>
    <w:rsid w:val="00BE465F"/>
    <w:rsid w:val="00BE6477"/>
    <w:rsid w:val="00BF0AF1"/>
    <w:rsid w:val="00BF3E1C"/>
    <w:rsid w:val="00C00E67"/>
    <w:rsid w:val="00C0305A"/>
    <w:rsid w:val="00C11346"/>
    <w:rsid w:val="00C2175B"/>
    <w:rsid w:val="00C25059"/>
    <w:rsid w:val="00C264C0"/>
    <w:rsid w:val="00C3359F"/>
    <w:rsid w:val="00C43DA2"/>
    <w:rsid w:val="00C5288A"/>
    <w:rsid w:val="00C5410C"/>
    <w:rsid w:val="00C62585"/>
    <w:rsid w:val="00C70E2D"/>
    <w:rsid w:val="00C71870"/>
    <w:rsid w:val="00C85159"/>
    <w:rsid w:val="00CA3108"/>
    <w:rsid w:val="00CA6A3B"/>
    <w:rsid w:val="00CB6EC3"/>
    <w:rsid w:val="00CC1BA5"/>
    <w:rsid w:val="00CC1EDF"/>
    <w:rsid w:val="00CC508B"/>
    <w:rsid w:val="00CD00DE"/>
    <w:rsid w:val="00CD0177"/>
    <w:rsid w:val="00CE0DBE"/>
    <w:rsid w:val="00CE48DF"/>
    <w:rsid w:val="00CF1662"/>
    <w:rsid w:val="00CF4B42"/>
    <w:rsid w:val="00CF55C0"/>
    <w:rsid w:val="00CF6075"/>
    <w:rsid w:val="00D0458D"/>
    <w:rsid w:val="00D1565D"/>
    <w:rsid w:val="00D2334C"/>
    <w:rsid w:val="00D304D3"/>
    <w:rsid w:val="00D3055C"/>
    <w:rsid w:val="00D32327"/>
    <w:rsid w:val="00D359FD"/>
    <w:rsid w:val="00D35C6D"/>
    <w:rsid w:val="00D44407"/>
    <w:rsid w:val="00D44C22"/>
    <w:rsid w:val="00D51579"/>
    <w:rsid w:val="00D5350F"/>
    <w:rsid w:val="00D62608"/>
    <w:rsid w:val="00D719B1"/>
    <w:rsid w:val="00D745C6"/>
    <w:rsid w:val="00D85A03"/>
    <w:rsid w:val="00DA159F"/>
    <w:rsid w:val="00DA4653"/>
    <w:rsid w:val="00DA70BD"/>
    <w:rsid w:val="00DA71D8"/>
    <w:rsid w:val="00DA7C4B"/>
    <w:rsid w:val="00DC50DF"/>
    <w:rsid w:val="00DC6A19"/>
    <w:rsid w:val="00DD46E8"/>
    <w:rsid w:val="00DD4A8E"/>
    <w:rsid w:val="00DD5438"/>
    <w:rsid w:val="00DD6067"/>
    <w:rsid w:val="00DD6539"/>
    <w:rsid w:val="00DE13D1"/>
    <w:rsid w:val="00DE376E"/>
    <w:rsid w:val="00DE7859"/>
    <w:rsid w:val="00DF0C87"/>
    <w:rsid w:val="00DF17FA"/>
    <w:rsid w:val="00DF485E"/>
    <w:rsid w:val="00DF66B2"/>
    <w:rsid w:val="00E06196"/>
    <w:rsid w:val="00E11C76"/>
    <w:rsid w:val="00E127D4"/>
    <w:rsid w:val="00E1783C"/>
    <w:rsid w:val="00E21BB3"/>
    <w:rsid w:val="00E2531F"/>
    <w:rsid w:val="00E27917"/>
    <w:rsid w:val="00E3358F"/>
    <w:rsid w:val="00E33882"/>
    <w:rsid w:val="00E408BA"/>
    <w:rsid w:val="00E45707"/>
    <w:rsid w:val="00E45A65"/>
    <w:rsid w:val="00E54324"/>
    <w:rsid w:val="00E54F30"/>
    <w:rsid w:val="00E61437"/>
    <w:rsid w:val="00E641EB"/>
    <w:rsid w:val="00E803E1"/>
    <w:rsid w:val="00E809AE"/>
    <w:rsid w:val="00E81398"/>
    <w:rsid w:val="00E8226C"/>
    <w:rsid w:val="00E8417D"/>
    <w:rsid w:val="00E85E60"/>
    <w:rsid w:val="00E8774A"/>
    <w:rsid w:val="00E97CD3"/>
    <w:rsid w:val="00EA3A3B"/>
    <w:rsid w:val="00EA67BE"/>
    <w:rsid w:val="00EB27D9"/>
    <w:rsid w:val="00EC3DB6"/>
    <w:rsid w:val="00ED53D1"/>
    <w:rsid w:val="00ED6584"/>
    <w:rsid w:val="00ED7578"/>
    <w:rsid w:val="00EF42C2"/>
    <w:rsid w:val="00EF513F"/>
    <w:rsid w:val="00EF7E25"/>
    <w:rsid w:val="00F05580"/>
    <w:rsid w:val="00F1030A"/>
    <w:rsid w:val="00F14C06"/>
    <w:rsid w:val="00F2299C"/>
    <w:rsid w:val="00F23486"/>
    <w:rsid w:val="00F27B4D"/>
    <w:rsid w:val="00F36929"/>
    <w:rsid w:val="00F37B53"/>
    <w:rsid w:val="00F41E8B"/>
    <w:rsid w:val="00F44326"/>
    <w:rsid w:val="00F44BA4"/>
    <w:rsid w:val="00F456A8"/>
    <w:rsid w:val="00F517D8"/>
    <w:rsid w:val="00F53E47"/>
    <w:rsid w:val="00F547B1"/>
    <w:rsid w:val="00F62820"/>
    <w:rsid w:val="00F651DF"/>
    <w:rsid w:val="00F675DB"/>
    <w:rsid w:val="00F70949"/>
    <w:rsid w:val="00F74458"/>
    <w:rsid w:val="00F80F2E"/>
    <w:rsid w:val="00F87ECB"/>
    <w:rsid w:val="00F96363"/>
    <w:rsid w:val="00FB0F78"/>
    <w:rsid w:val="00FB3C45"/>
    <w:rsid w:val="00FB4F34"/>
    <w:rsid w:val="00FC50D2"/>
    <w:rsid w:val="00FD6513"/>
    <w:rsid w:val="00FE0F56"/>
    <w:rsid w:val="00FE336C"/>
    <w:rsid w:val="00FE431B"/>
    <w:rsid w:val="00FF1192"/>
    <w:rsid w:val="00FF3848"/>
    <w:rsid w:val="00FF6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5F12A"/>
  <w15:docId w15:val="{AAE763E9-40D1-4763-9007-AB411839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2BD"/>
    <w:pPr>
      <w:spacing w:line="480" w:lineRule="auto"/>
      <w:jc w:val="both"/>
    </w:pPr>
    <w:rPr>
      <w:lang w:val="en-GB"/>
    </w:rPr>
  </w:style>
  <w:style w:type="paragraph" w:styleId="Heading1">
    <w:name w:val="heading 1"/>
    <w:basedOn w:val="Normal"/>
    <w:next w:val="Normal"/>
    <w:link w:val="Heading1Char"/>
    <w:uiPriority w:val="9"/>
    <w:qFormat/>
    <w:rsid w:val="00D359FD"/>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266B16"/>
    <w:pPr>
      <w:keepNext/>
      <w:keepLines/>
      <w:spacing w:before="40" w:after="0"/>
      <w:outlineLvl w:val="1"/>
    </w:pPr>
    <w:rPr>
      <w:rFonts w:asciiTheme="majorHAnsi" w:eastAsiaTheme="majorEastAsia" w:hAnsiTheme="majorHAnsi" w:cstheme="majorBidi"/>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9FD"/>
    <w:rPr>
      <w:rFonts w:asciiTheme="majorHAnsi" w:eastAsiaTheme="majorEastAsia" w:hAnsiTheme="majorHAnsi" w:cstheme="majorBidi"/>
      <w:b/>
      <w:sz w:val="32"/>
      <w:szCs w:val="32"/>
      <w:lang w:val="en-GB"/>
    </w:rPr>
  </w:style>
  <w:style w:type="character" w:customStyle="1" w:styleId="Heading2Char">
    <w:name w:val="Heading 2 Char"/>
    <w:basedOn w:val="DefaultParagraphFont"/>
    <w:link w:val="Heading2"/>
    <w:uiPriority w:val="9"/>
    <w:rsid w:val="00266B16"/>
    <w:rPr>
      <w:rFonts w:asciiTheme="majorHAnsi" w:eastAsiaTheme="majorEastAsia" w:hAnsiTheme="majorHAnsi" w:cstheme="majorBidi"/>
      <w:b/>
      <w:i/>
      <w:sz w:val="26"/>
      <w:szCs w:val="26"/>
      <w:lang w:val="en-GB"/>
    </w:rPr>
  </w:style>
  <w:style w:type="paragraph" w:styleId="Caption">
    <w:name w:val="caption"/>
    <w:basedOn w:val="Normal"/>
    <w:next w:val="Normal"/>
    <w:uiPriority w:val="35"/>
    <w:unhideWhenUsed/>
    <w:qFormat/>
    <w:rsid w:val="0002427B"/>
    <w:pPr>
      <w:spacing w:after="200" w:line="240" w:lineRule="auto"/>
    </w:pPr>
    <w:rPr>
      <w:i/>
      <w:iCs/>
      <w:color w:val="44546A" w:themeColor="text2"/>
      <w:sz w:val="18"/>
      <w:szCs w:val="18"/>
    </w:rPr>
  </w:style>
  <w:style w:type="paragraph" w:styleId="NormalWeb">
    <w:name w:val="Normal (Web)"/>
    <w:basedOn w:val="Normal"/>
    <w:uiPriority w:val="99"/>
    <w:semiHidden/>
    <w:unhideWhenUsed/>
    <w:rsid w:val="00DD54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7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E25"/>
    <w:rPr>
      <w:rFonts w:ascii="Tahoma" w:hAnsi="Tahoma" w:cs="Tahoma"/>
      <w:sz w:val="16"/>
      <w:szCs w:val="16"/>
    </w:rPr>
  </w:style>
  <w:style w:type="character" w:styleId="CommentReference">
    <w:name w:val="annotation reference"/>
    <w:basedOn w:val="DefaultParagraphFont"/>
    <w:uiPriority w:val="99"/>
    <w:semiHidden/>
    <w:unhideWhenUsed/>
    <w:rsid w:val="00BE6477"/>
    <w:rPr>
      <w:sz w:val="16"/>
      <w:szCs w:val="16"/>
    </w:rPr>
  </w:style>
  <w:style w:type="paragraph" w:styleId="CommentText">
    <w:name w:val="annotation text"/>
    <w:basedOn w:val="Normal"/>
    <w:link w:val="CommentTextChar"/>
    <w:uiPriority w:val="99"/>
    <w:unhideWhenUsed/>
    <w:rsid w:val="00BE6477"/>
    <w:pPr>
      <w:spacing w:line="240" w:lineRule="auto"/>
    </w:pPr>
    <w:rPr>
      <w:sz w:val="20"/>
      <w:szCs w:val="20"/>
    </w:rPr>
  </w:style>
  <w:style w:type="character" w:customStyle="1" w:styleId="CommentTextChar">
    <w:name w:val="Comment Text Char"/>
    <w:basedOn w:val="DefaultParagraphFont"/>
    <w:link w:val="CommentText"/>
    <w:uiPriority w:val="99"/>
    <w:rsid w:val="00BE6477"/>
    <w:rPr>
      <w:sz w:val="20"/>
      <w:szCs w:val="20"/>
    </w:rPr>
  </w:style>
  <w:style w:type="paragraph" w:styleId="CommentSubject">
    <w:name w:val="annotation subject"/>
    <w:basedOn w:val="CommentText"/>
    <w:next w:val="CommentText"/>
    <w:link w:val="CommentSubjectChar"/>
    <w:uiPriority w:val="99"/>
    <w:semiHidden/>
    <w:unhideWhenUsed/>
    <w:rsid w:val="00BE6477"/>
    <w:rPr>
      <w:b/>
      <w:bCs/>
    </w:rPr>
  </w:style>
  <w:style w:type="character" w:customStyle="1" w:styleId="CommentSubjectChar">
    <w:name w:val="Comment Subject Char"/>
    <w:basedOn w:val="CommentTextChar"/>
    <w:link w:val="CommentSubject"/>
    <w:uiPriority w:val="99"/>
    <w:semiHidden/>
    <w:rsid w:val="00BE6477"/>
    <w:rPr>
      <w:b/>
      <w:bCs/>
      <w:sz w:val="20"/>
      <w:szCs w:val="20"/>
    </w:rPr>
  </w:style>
  <w:style w:type="character" w:styleId="Hyperlink">
    <w:name w:val="Hyperlink"/>
    <w:basedOn w:val="DefaultParagraphFont"/>
    <w:uiPriority w:val="99"/>
    <w:unhideWhenUsed/>
    <w:rsid w:val="00D3055C"/>
    <w:rPr>
      <w:color w:val="0563C1" w:themeColor="hyperlink"/>
      <w:u w:val="single"/>
    </w:rPr>
  </w:style>
  <w:style w:type="paragraph" w:styleId="ListParagraph">
    <w:name w:val="List Paragraph"/>
    <w:basedOn w:val="Normal"/>
    <w:uiPriority w:val="34"/>
    <w:qFormat/>
    <w:rsid w:val="00A45683"/>
    <w:pPr>
      <w:ind w:left="720"/>
      <w:contextualSpacing/>
    </w:pPr>
  </w:style>
  <w:style w:type="paragraph" w:styleId="Header">
    <w:name w:val="header"/>
    <w:basedOn w:val="Normal"/>
    <w:link w:val="HeaderChar"/>
    <w:uiPriority w:val="99"/>
    <w:unhideWhenUsed/>
    <w:rsid w:val="00BD5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D18"/>
  </w:style>
  <w:style w:type="paragraph" w:styleId="Footer">
    <w:name w:val="footer"/>
    <w:basedOn w:val="Normal"/>
    <w:link w:val="FooterChar"/>
    <w:uiPriority w:val="99"/>
    <w:unhideWhenUsed/>
    <w:rsid w:val="00BD5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D18"/>
  </w:style>
  <w:style w:type="paragraph" w:styleId="NoSpacing">
    <w:name w:val="No Spacing"/>
    <w:uiPriority w:val="1"/>
    <w:qFormat/>
    <w:rsid w:val="00F456A8"/>
    <w:pPr>
      <w:spacing w:after="0" w:line="240" w:lineRule="auto"/>
    </w:pPr>
  </w:style>
  <w:style w:type="paragraph" w:styleId="TOCHeading">
    <w:name w:val="TOC Heading"/>
    <w:basedOn w:val="Heading1"/>
    <w:next w:val="Normal"/>
    <w:uiPriority w:val="39"/>
    <w:unhideWhenUsed/>
    <w:qFormat/>
    <w:rsid w:val="00B1645A"/>
    <w:pPr>
      <w:outlineLvl w:val="9"/>
    </w:pPr>
    <w:rPr>
      <w:color w:val="0D0D0D" w:themeColor="text1" w:themeTint="F2"/>
      <w:lang w:val="en-US"/>
    </w:rPr>
  </w:style>
  <w:style w:type="paragraph" w:styleId="TOC2">
    <w:name w:val="toc 2"/>
    <w:basedOn w:val="Normal"/>
    <w:next w:val="Normal"/>
    <w:autoRedefine/>
    <w:uiPriority w:val="39"/>
    <w:unhideWhenUsed/>
    <w:rsid w:val="00264267"/>
    <w:pPr>
      <w:spacing w:after="100"/>
      <w:ind w:left="220"/>
    </w:pPr>
  </w:style>
  <w:style w:type="paragraph" w:styleId="TOC1">
    <w:name w:val="toc 1"/>
    <w:basedOn w:val="Normal"/>
    <w:next w:val="Normal"/>
    <w:autoRedefine/>
    <w:uiPriority w:val="39"/>
    <w:unhideWhenUsed/>
    <w:rsid w:val="00264267"/>
    <w:pPr>
      <w:spacing w:after="100"/>
    </w:pPr>
  </w:style>
  <w:style w:type="character" w:styleId="FollowedHyperlink">
    <w:name w:val="FollowedHyperlink"/>
    <w:basedOn w:val="DefaultParagraphFont"/>
    <w:uiPriority w:val="99"/>
    <w:semiHidden/>
    <w:unhideWhenUsed/>
    <w:rsid w:val="00A13FDC"/>
    <w:rPr>
      <w:color w:val="954F72" w:themeColor="followedHyperlink"/>
      <w:u w:val="single"/>
    </w:rPr>
  </w:style>
  <w:style w:type="table" w:styleId="TableGrid">
    <w:name w:val="Table Grid"/>
    <w:basedOn w:val="TableNormal"/>
    <w:uiPriority w:val="39"/>
    <w:rsid w:val="00530BB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055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580"/>
    <w:rPr>
      <w:rFonts w:asciiTheme="majorHAnsi" w:eastAsiaTheme="majorEastAsia" w:hAnsiTheme="majorHAnsi" w:cstheme="majorBidi"/>
      <w:spacing w:val="-10"/>
      <w:kern w:val="28"/>
      <w:sz w:val="56"/>
      <w:szCs w:val="56"/>
      <w:lang w:val="en-GB"/>
    </w:rPr>
  </w:style>
  <w:style w:type="paragraph" w:styleId="PlainText">
    <w:name w:val="Plain Text"/>
    <w:basedOn w:val="Normal"/>
    <w:link w:val="PlainTextChar"/>
    <w:uiPriority w:val="99"/>
    <w:semiHidden/>
    <w:unhideWhenUsed/>
    <w:rsid w:val="008C7376"/>
    <w:pPr>
      <w:spacing w:after="0" w:line="240" w:lineRule="auto"/>
      <w:jc w:val="left"/>
    </w:pPr>
    <w:rPr>
      <w:rFonts w:ascii="Calibri" w:hAnsi="Calibri"/>
      <w:szCs w:val="21"/>
      <w:lang w:val="en-US"/>
    </w:rPr>
  </w:style>
  <w:style w:type="character" w:customStyle="1" w:styleId="PlainTextChar">
    <w:name w:val="Plain Text Char"/>
    <w:basedOn w:val="DefaultParagraphFont"/>
    <w:link w:val="PlainText"/>
    <w:uiPriority w:val="99"/>
    <w:semiHidden/>
    <w:rsid w:val="008C7376"/>
    <w:rPr>
      <w:rFonts w:ascii="Calibri" w:hAnsi="Calibri"/>
      <w:szCs w:val="21"/>
    </w:rPr>
  </w:style>
  <w:style w:type="paragraph" w:styleId="Revision">
    <w:name w:val="Revision"/>
    <w:hidden/>
    <w:uiPriority w:val="99"/>
    <w:semiHidden/>
    <w:rsid w:val="0038357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8855">
      <w:bodyDiv w:val="1"/>
      <w:marLeft w:val="0"/>
      <w:marRight w:val="0"/>
      <w:marTop w:val="0"/>
      <w:marBottom w:val="0"/>
      <w:divBdr>
        <w:top w:val="none" w:sz="0" w:space="0" w:color="auto"/>
        <w:left w:val="none" w:sz="0" w:space="0" w:color="auto"/>
        <w:bottom w:val="none" w:sz="0" w:space="0" w:color="auto"/>
        <w:right w:val="none" w:sz="0" w:space="0" w:color="auto"/>
      </w:divBdr>
    </w:div>
    <w:div w:id="374041793">
      <w:bodyDiv w:val="1"/>
      <w:marLeft w:val="0"/>
      <w:marRight w:val="0"/>
      <w:marTop w:val="0"/>
      <w:marBottom w:val="0"/>
      <w:divBdr>
        <w:top w:val="none" w:sz="0" w:space="0" w:color="auto"/>
        <w:left w:val="none" w:sz="0" w:space="0" w:color="auto"/>
        <w:bottom w:val="none" w:sz="0" w:space="0" w:color="auto"/>
        <w:right w:val="none" w:sz="0" w:space="0" w:color="auto"/>
      </w:divBdr>
    </w:div>
    <w:div w:id="443043019">
      <w:bodyDiv w:val="1"/>
      <w:marLeft w:val="0"/>
      <w:marRight w:val="0"/>
      <w:marTop w:val="0"/>
      <w:marBottom w:val="0"/>
      <w:divBdr>
        <w:top w:val="none" w:sz="0" w:space="0" w:color="auto"/>
        <w:left w:val="none" w:sz="0" w:space="0" w:color="auto"/>
        <w:bottom w:val="none" w:sz="0" w:space="0" w:color="auto"/>
        <w:right w:val="none" w:sz="0" w:space="0" w:color="auto"/>
      </w:divBdr>
    </w:div>
    <w:div w:id="585848464">
      <w:bodyDiv w:val="1"/>
      <w:marLeft w:val="0"/>
      <w:marRight w:val="0"/>
      <w:marTop w:val="0"/>
      <w:marBottom w:val="0"/>
      <w:divBdr>
        <w:top w:val="none" w:sz="0" w:space="0" w:color="auto"/>
        <w:left w:val="none" w:sz="0" w:space="0" w:color="auto"/>
        <w:bottom w:val="none" w:sz="0" w:space="0" w:color="auto"/>
        <w:right w:val="none" w:sz="0" w:space="0" w:color="auto"/>
      </w:divBdr>
    </w:div>
    <w:div w:id="719137413">
      <w:bodyDiv w:val="1"/>
      <w:marLeft w:val="0"/>
      <w:marRight w:val="0"/>
      <w:marTop w:val="0"/>
      <w:marBottom w:val="0"/>
      <w:divBdr>
        <w:top w:val="none" w:sz="0" w:space="0" w:color="auto"/>
        <w:left w:val="none" w:sz="0" w:space="0" w:color="auto"/>
        <w:bottom w:val="none" w:sz="0" w:space="0" w:color="auto"/>
        <w:right w:val="none" w:sz="0" w:space="0" w:color="auto"/>
      </w:divBdr>
    </w:div>
    <w:div w:id="847061148">
      <w:bodyDiv w:val="1"/>
      <w:marLeft w:val="0"/>
      <w:marRight w:val="0"/>
      <w:marTop w:val="0"/>
      <w:marBottom w:val="0"/>
      <w:divBdr>
        <w:top w:val="none" w:sz="0" w:space="0" w:color="auto"/>
        <w:left w:val="none" w:sz="0" w:space="0" w:color="auto"/>
        <w:bottom w:val="none" w:sz="0" w:space="0" w:color="auto"/>
        <w:right w:val="none" w:sz="0" w:space="0" w:color="auto"/>
      </w:divBdr>
    </w:div>
    <w:div w:id="1131896258">
      <w:bodyDiv w:val="1"/>
      <w:marLeft w:val="0"/>
      <w:marRight w:val="0"/>
      <w:marTop w:val="0"/>
      <w:marBottom w:val="0"/>
      <w:divBdr>
        <w:top w:val="none" w:sz="0" w:space="0" w:color="auto"/>
        <w:left w:val="none" w:sz="0" w:space="0" w:color="auto"/>
        <w:bottom w:val="none" w:sz="0" w:space="0" w:color="auto"/>
        <w:right w:val="none" w:sz="0" w:space="0" w:color="auto"/>
      </w:divBdr>
    </w:div>
    <w:div w:id="1136946671">
      <w:bodyDiv w:val="1"/>
      <w:marLeft w:val="0"/>
      <w:marRight w:val="0"/>
      <w:marTop w:val="0"/>
      <w:marBottom w:val="0"/>
      <w:divBdr>
        <w:top w:val="none" w:sz="0" w:space="0" w:color="auto"/>
        <w:left w:val="none" w:sz="0" w:space="0" w:color="auto"/>
        <w:bottom w:val="none" w:sz="0" w:space="0" w:color="auto"/>
        <w:right w:val="none" w:sz="0" w:space="0" w:color="auto"/>
      </w:divBdr>
    </w:div>
    <w:div w:id="1162886651">
      <w:bodyDiv w:val="1"/>
      <w:marLeft w:val="0"/>
      <w:marRight w:val="0"/>
      <w:marTop w:val="0"/>
      <w:marBottom w:val="0"/>
      <w:divBdr>
        <w:top w:val="none" w:sz="0" w:space="0" w:color="auto"/>
        <w:left w:val="none" w:sz="0" w:space="0" w:color="auto"/>
        <w:bottom w:val="none" w:sz="0" w:space="0" w:color="auto"/>
        <w:right w:val="none" w:sz="0" w:space="0" w:color="auto"/>
      </w:divBdr>
    </w:div>
    <w:div w:id="1888643513">
      <w:bodyDiv w:val="1"/>
      <w:marLeft w:val="0"/>
      <w:marRight w:val="0"/>
      <w:marTop w:val="0"/>
      <w:marBottom w:val="0"/>
      <w:divBdr>
        <w:top w:val="none" w:sz="0" w:space="0" w:color="auto"/>
        <w:left w:val="none" w:sz="0" w:space="0" w:color="auto"/>
        <w:bottom w:val="none" w:sz="0" w:space="0" w:color="auto"/>
        <w:right w:val="none" w:sz="0" w:space="0" w:color="auto"/>
      </w:divBdr>
    </w:div>
    <w:div w:id="203098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145A5-5BC3-4219-98A9-FFB2F0097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Harrison</dc:creator>
  <cp:keywords/>
  <dc:description/>
  <cp:lastModifiedBy>Christopher Walton</cp:lastModifiedBy>
  <cp:revision>2</cp:revision>
  <cp:lastPrinted>2018-03-07T09:36:00Z</cp:lastPrinted>
  <dcterms:created xsi:type="dcterms:W3CDTF">2018-12-11T16:49:00Z</dcterms:created>
  <dcterms:modified xsi:type="dcterms:W3CDTF">2018-12-11T16:49:00Z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52de4a33-27d5-3caa-b744-f135db9bec5f</vt:lpwstr>
  </property>
  <property fmtid="{D5CDD505-2E9C-101B-9397-08002B2CF9AE}" pid="4" name="Mendeley Citation Style_1">
    <vt:lpwstr>http://www.zotero.org/styles/cytotherapy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http://www.zotero.org/styles/biotechnology-advances</vt:lpwstr>
  </property>
  <property fmtid="{D5CDD505-2E9C-101B-9397-08002B2CF9AE}" pid="10" name="Mendeley Recent Style Name 2_1">
    <vt:lpwstr>Biotechnology Advances</vt:lpwstr>
  </property>
  <property fmtid="{D5CDD505-2E9C-101B-9397-08002B2CF9AE}" pid="11" name="Mendeley Recent Style Id 3_1">
    <vt:lpwstr>http://www.zotero.org/styles/cytotherapy</vt:lpwstr>
  </property>
  <property fmtid="{D5CDD505-2E9C-101B-9397-08002B2CF9AE}" pid="12" name="Mendeley Recent Style Name 3_1">
    <vt:lpwstr>Cytotherapy</vt:lpwstr>
  </property>
  <property fmtid="{D5CDD505-2E9C-101B-9397-08002B2CF9AE}" pid="13" name="Mendeley Recent Style Id 4_1">
    <vt:lpwstr>http://www.zotero.org/styles/future-science-journals</vt:lpwstr>
  </property>
  <property fmtid="{D5CDD505-2E9C-101B-9397-08002B2CF9AE}" pid="14" name="Mendeley Recent Style Name 4_1">
    <vt:lpwstr>Future Science journals</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http://www.zotero.org/styles/nano-letters</vt:lpwstr>
  </property>
  <property fmtid="{D5CDD505-2E9C-101B-9397-08002B2CF9AE}" pid="20" name="Mendeley Recent Style Name 7_1">
    <vt:lpwstr>Nano Letters</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http://www.zotero.org/styles/stem-cell-research-and-therapy</vt:lpwstr>
  </property>
  <property fmtid="{D5CDD505-2E9C-101B-9397-08002B2CF9AE}" pid="24" name="Mendeley Recent Style Name 9_1">
    <vt:lpwstr>Stem Cell Research &amp; Therapy</vt:lpwstr>
  </property>
</Properties>
</file>