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19C7" w14:textId="2395DA09" w:rsidR="00CD3203" w:rsidRPr="003030D2" w:rsidRDefault="00C7764C" w:rsidP="00CD3203">
      <w:pPr>
        <w:pStyle w:val="MDPI12title"/>
        <w:spacing w:line="240" w:lineRule="atLeast"/>
      </w:pPr>
      <w:bookmarkStart w:id="0" w:name="_GoBack"/>
      <w:bookmarkEnd w:id="0"/>
      <w:r w:rsidRPr="00C7764C">
        <w:t>Supplementary Material for “Analysis of attributes for industrial food waste management” - List of attributes</w:t>
      </w:r>
    </w:p>
    <w:p w14:paraId="66112F31" w14:textId="77777777" w:rsidR="00C7764C" w:rsidRPr="00C7764C" w:rsidRDefault="00C7764C" w:rsidP="00C7764C">
      <w:pPr>
        <w:adjustRightInd w:val="0"/>
        <w:snapToGrid w:val="0"/>
        <w:spacing w:after="120" w:line="260" w:lineRule="atLeast"/>
        <w:jc w:val="left"/>
        <w:rPr>
          <w:rFonts w:ascii="Palatino Linotype" w:hAnsi="Palatino Linotype"/>
          <w:b/>
          <w:sz w:val="20"/>
          <w:szCs w:val="22"/>
          <w:lang w:val="en-GB" w:bidi="en-US"/>
        </w:rPr>
      </w:pPr>
      <w:r w:rsidRPr="00C7764C">
        <w:rPr>
          <w:rFonts w:ascii="Palatino Linotype" w:hAnsi="Palatino Linotype"/>
          <w:b/>
          <w:sz w:val="20"/>
          <w:szCs w:val="22"/>
          <w:lang w:val="en-GB" w:bidi="en-US"/>
        </w:rPr>
        <w:t xml:space="preserve">Guillermo Garcia-Garcia </w:t>
      </w:r>
      <w:r w:rsidRPr="00C7764C">
        <w:rPr>
          <w:rFonts w:ascii="Palatino Linotype" w:hAnsi="Palatino Linotype"/>
          <w:b/>
          <w:sz w:val="20"/>
          <w:szCs w:val="22"/>
          <w:vertAlign w:val="superscript"/>
          <w:lang w:val="en-GB" w:bidi="en-US"/>
        </w:rPr>
        <w:t>1</w:t>
      </w:r>
      <w:r w:rsidRPr="00C7764C">
        <w:rPr>
          <w:rFonts w:ascii="Palatino Linotype" w:hAnsi="Palatino Linotype"/>
          <w:b/>
          <w:sz w:val="20"/>
          <w:szCs w:val="22"/>
          <w:lang w:val="en-GB" w:bidi="en-US"/>
        </w:rPr>
        <w:t xml:space="preserve">, Elliot Woolley </w:t>
      </w:r>
      <w:proofErr w:type="gramStart"/>
      <w:r w:rsidRPr="00C7764C">
        <w:rPr>
          <w:rFonts w:ascii="Palatino Linotype" w:hAnsi="Palatino Linotype"/>
          <w:b/>
          <w:sz w:val="20"/>
          <w:szCs w:val="22"/>
          <w:vertAlign w:val="superscript"/>
          <w:lang w:val="en-GB" w:bidi="en-US"/>
        </w:rPr>
        <w:t>2,*</w:t>
      </w:r>
      <w:proofErr w:type="gramEnd"/>
      <w:r w:rsidRPr="00C7764C">
        <w:rPr>
          <w:rFonts w:ascii="Palatino Linotype" w:hAnsi="Palatino Linotype"/>
          <w:b/>
          <w:sz w:val="20"/>
          <w:szCs w:val="22"/>
          <w:lang w:val="en-GB" w:bidi="en-US"/>
        </w:rPr>
        <w:t xml:space="preserve"> and Shahin Rahimifard</w:t>
      </w:r>
      <w:r w:rsidRPr="00C7764C">
        <w:rPr>
          <w:rFonts w:ascii="Palatino Linotype" w:hAnsi="Palatino Linotype"/>
          <w:b/>
          <w:sz w:val="20"/>
          <w:szCs w:val="22"/>
          <w:vertAlign w:val="superscript"/>
          <w:lang w:val="en-GB" w:bidi="en-US"/>
        </w:rPr>
        <w:t>1</w:t>
      </w:r>
    </w:p>
    <w:p w14:paraId="3C4C5D38" w14:textId="77777777" w:rsidR="00C7764C" w:rsidRPr="00C7764C" w:rsidRDefault="00C7764C" w:rsidP="00C7764C">
      <w:pPr>
        <w:adjustRightInd w:val="0"/>
        <w:snapToGrid w:val="0"/>
        <w:spacing w:line="200" w:lineRule="atLeast"/>
        <w:ind w:left="311" w:hanging="198"/>
        <w:jc w:val="left"/>
        <w:rPr>
          <w:rFonts w:ascii="Palatino Linotype" w:hAnsi="Palatino Linotype"/>
          <w:sz w:val="18"/>
          <w:szCs w:val="18"/>
          <w:lang w:bidi="en-US"/>
        </w:rPr>
      </w:pPr>
      <w:r w:rsidRPr="00C7764C">
        <w:rPr>
          <w:rFonts w:ascii="Palatino Linotype" w:hAnsi="Palatino Linotype"/>
          <w:sz w:val="18"/>
          <w:szCs w:val="18"/>
          <w:vertAlign w:val="superscript"/>
          <w:lang w:bidi="en-US"/>
        </w:rPr>
        <w:t>1</w:t>
      </w:r>
      <w:r w:rsidRPr="00C7764C">
        <w:rPr>
          <w:rFonts w:ascii="Palatino Linotype" w:hAnsi="Palatino Linotype"/>
          <w:sz w:val="18"/>
          <w:szCs w:val="18"/>
          <w:lang w:bidi="en-US"/>
        </w:rPr>
        <w:tab/>
        <w:t xml:space="preserve">Centre for Sustainable Manufacturing and Recycling Technologies (SMART), Loughborough University, </w:t>
      </w:r>
      <w:proofErr w:type="spellStart"/>
      <w:r w:rsidRPr="00C7764C">
        <w:rPr>
          <w:rFonts w:ascii="Palatino Linotype" w:hAnsi="Palatino Linotype"/>
          <w:sz w:val="18"/>
          <w:szCs w:val="18"/>
          <w:lang w:bidi="en-US"/>
        </w:rPr>
        <w:t>Epinal</w:t>
      </w:r>
      <w:proofErr w:type="spellEnd"/>
      <w:r w:rsidRPr="00C7764C">
        <w:rPr>
          <w:rFonts w:ascii="Palatino Linotype" w:hAnsi="Palatino Linotype"/>
          <w:sz w:val="18"/>
          <w:szCs w:val="18"/>
          <w:lang w:bidi="en-US"/>
        </w:rPr>
        <w:t xml:space="preserve"> Way, Loughborough, Leicestershire, LE11 3TU, United Kingdom; G.Garcia-Garcia@lboro.ac.uk (G.G.G.); S.Rahimifard@lboro.ac.uk (S.R.)</w:t>
      </w:r>
    </w:p>
    <w:p w14:paraId="58A0EED4" w14:textId="77777777" w:rsidR="00C7764C" w:rsidRPr="00C7764C" w:rsidRDefault="00C7764C" w:rsidP="00C7764C">
      <w:pPr>
        <w:adjustRightInd w:val="0"/>
        <w:snapToGrid w:val="0"/>
        <w:spacing w:line="200" w:lineRule="atLeast"/>
        <w:ind w:left="311" w:hanging="198"/>
        <w:jc w:val="left"/>
        <w:rPr>
          <w:rFonts w:ascii="Palatino Linotype" w:hAnsi="Palatino Linotype"/>
          <w:sz w:val="18"/>
          <w:szCs w:val="18"/>
          <w:lang w:bidi="en-US"/>
        </w:rPr>
      </w:pPr>
      <w:r w:rsidRPr="00C7764C">
        <w:rPr>
          <w:rFonts w:ascii="Palatino Linotype" w:hAnsi="Palatino Linotype"/>
          <w:sz w:val="18"/>
          <w:vertAlign w:val="superscript"/>
          <w:lang w:bidi="en-US"/>
        </w:rPr>
        <w:t>2</w:t>
      </w:r>
      <w:r w:rsidRPr="00C7764C">
        <w:rPr>
          <w:rFonts w:ascii="Palatino Linotype" w:hAnsi="Palatino Linotype"/>
          <w:sz w:val="18"/>
          <w:lang w:bidi="en-US"/>
        </w:rPr>
        <w:tab/>
        <w:t xml:space="preserve">Wolfson School of Mechanical, Electrical and Manufacturing Engineering, Loughborough University, </w:t>
      </w:r>
      <w:proofErr w:type="spellStart"/>
      <w:r w:rsidRPr="00C7764C">
        <w:rPr>
          <w:rFonts w:ascii="Palatino Linotype" w:hAnsi="Palatino Linotype"/>
          <w:sz w:val="18"/>
          <w:lang w:bidi="en-US"/>
        </w:rPr>
        <w:t>Epinal</w:t>
      </w:r>
      <w:proofErr w:type="spellEnd"/>
      <w:r w:rsidRPr="00C7764C">
        <w:rPr>
          <w:rFonts w:ascii="Palatino Linotype" w:hAnsi="Palatino Linotype"/>
          <w:sz w:val="18"/>
          <w:lang w:bidi="en-US"/>
        </w:rPr>
        <w:t xml:space="preserve"> Way, Loughborough, Leicestershire, LE11 3TU, United Kingdom</w:t>
      </w:r>
    </w:p>
    <w:p w14:paraId="30F731C7" w14:textId="77777777" w:rsidR="00C7764C" w:rsidRPr="00C7764C" w:rsidRDefault="00C7764C" w:rsidP="00C7764C">
      <w:pPr>
        <w:adjustRightInd w:val="0"/>
        <w:snapToGrid w:val="0"/>
        <w:spacing w:line="200" w:lineRule="atLeast"/>
        <w:ind w:left="311" w:hanging="198"/>
        <w:jc w:val="left"/>
        <w:rPr>
          <w:rFonts w:ascii="Palatino Linotype" w:hAnsi="Palatino Linotype"/>
          <w:sz w:val="18"/>
          <w:lang w:bidi="en-US"/>
        </w:rPr>
      </w:pPr>
      <w:r w:rsidRPr="00C7764C">
        <w:rPr>
          <w:rFonts w:ascii="Palatino Linotype" w:hAnsi="Palatino Linotype"/>
          <w:b/>
          <w:sz w:val="18"/>
          <w:lang w:bidi="en-US"/>
        </w:rPr>
        <w:t>*</w:t>
      </w:r>
      <w:r w:rsidRPr="00C7764C">
        <w:rPr>
          <w:rFonts w:ascii="Palatino Linotype" w:hAnsi="Palatino Linotype"/>
          <w:sz w:val="18"/>
          <w:lang w:bidi="en-US"/>
        </w:rPr>
        <w:tab/>
        <w:t>Correspondence: E.B.Woolley@lboro.ac.uk; Tel.: +44 (0)1509 225410</w:t>
      </w:r>
    </w:p>
    <w:p w14:paraId="2091472F" w14:textId="42073198" w:rsidR="00632077" w:rsidRDefault="00632077" w:rsidP="00F4061C">
      <w:pPr>
        <w:pStyle w:val="MDPI71References"/>
        <w:numPr>
          <w:ilvl w:val="0"/>
          <w:numId w:val="0"/>
        </w:numPr>
        <w:spacing w:after="240"/>
        <w:ind w:left="425"/>
      </w:pPr>
    </w:p>
    <w:p w14:paraId="40D2FA1C" w14:textId="77777777" w:rsidR="00C7764C" w:rsidRPr="00C7764C" w:rsidRDefault="00C7764C" w:rsidP="00C7764C">
      <w:pPr>
        <w:spacing w:after="160" w:line="259" w:lineRule="auto"/>
        <w:rPr>
          <w:rFonts w:eastAsia="Calibri"/>
          <w:b/>
          <w:color w:val="auto"/>
          <w:sz w:val="28"/>
          <w:szCs w:val="28"/>
          <w:lang w:val="en-GB" w:eastAsia="en-US"/>
        </w:rPr>
      </w:pPr>
      <w:r w:rsidRPr="00C7764C">
        <w:rPr>
          <w:rFonts w:eastAsia="Calibri"/>
          <w:b/>
          <w:color w:val="auto"/>
          <w:sz w:val="28"/>
          <w:szCs w:val="28"/>
          <w:lang w:val="en-GB" w:eastAsia="en-US"/>
        </w:rPr>
        <w:t>Abbreviations</w:t>
      </w:r>
    </w:p>
    <w:tbl>
      <w:tblPr>
        <w:tblW w:w="0" w:type="auto"/>
        <w:tblLook w:val="04A0" w:firstRow="1" w:lastRow="0" w:firstColumn="1" w:lastColumn="0" w:noHBand="0" w:noVBand="1"/>
      </w:tblPr>
      <w:tblGrid>
        <w:gridCol w:w="1696"/>
        <w:gridCol w:w="7320"/>
      </w:tblGrid>
      <w:tr w:rsidR="008301D9" w:rsidRPr="00C81B1E" w14:paraId="2664AECE" w14:textId="77777777" w:rsidTr="00C81B1E">
        <w:tc>
          <w:tcPr>
            <w:tcW w:w="1696" w:type="dxa"/>
            <w:shd w:val="clear" w:color="auto" w:fill="auto"/>
          </w:tcPr>
          <w:p w14:paraId="5F5B59B6" w14:textId="4F4E0F71" w:rsidR="008301D9" w:rsidRPr="00C81B1E" w:rsidRDefault="003C4887" w:rsidP="00C7764C">
            <w:pPr>
              <w:pStyle w:val="MDPI31text"/>
              <w:rPr>
                <w:rFonts w:eastAsia="Calibri"/>
                <w:lang w:val="en-GB" w:eastAsia="en-US"/>
              </w:rPr>
            </w:pPr>
            <w:r>
              <w:rPr>
                <w:rFonts w:eastAsia="Calibri"/>
                <w:lang w:val="en-GB" w:eastAsia="en-US"/>
              </w:rPr>
              <w:t>ABP</w:t>
            </w:r>
          </w:p>
        </w:tc>
        <w:tc>
          <w:tcPr>
            <w:tcW w:w="7320" w:type="dxa"/>
            <w:shd w:val="clear" w:color="auto" w:fill="auto"/>
          </w:tcPr>
          <w:p w14:paraId="4E8D8644" w14:textId="00DEA2F5" w:rsidR="008301D9" w:rsidRPr="00C81B1E" w:rsidRDefault="00562CFC" w:rsidP="00C7764C">
            <w:pPr>
              <w:pStyle w:val="MDPI31text"/>
              <w:rPr>
                <w:rFonts w:eastAsia="Calibri"/>
                <w:lang w:val="en-GB" w:eastAsia="en-US"/>
              </w:rPr>
            </w:pPr>
            <w:r>
              <w:rPr>
                <w:rFonts w:eastAsia="Calibri"/>
                <w:lang w:val="en-GB" w:eastAsia="en-US"/>
              </w:rPr>
              <w:t>Animal By-Products</w:t>
            </w:r>
          </w:p>
        </w:tc>
      </w:tr>
      <w:tr w:rsidR="00C7764C" w:rsidRPr="00C81B1E" w14:paraId="160BDC90" w14:textId="77777777" w:rsidTr="00C81B1E">
        <w:tc>
          <w:tcPr>
            <w:tcW w:w="1696" w:type="dxa"/>
            <w:shd w:val="clear" w:color="auto" w:fill="auto"/>
          </w:tcPr>
          <w:p w14:paraId="78D1D2EB" w14:textId="77777777" w:rsidR="00C7764C" w:rsidRPr="00C81B1E" w:rsidRDefault="00C7764C" w:rsidP="00C7764C">
            <w:pPr>
              <w:pStyle w:val="MDPI31text"/>
              <w:rPr>
                <w:rFonts w:eastAsia="Calibri"/>
                <w:lang w:val="en-GB" w:eastAsia="en-US"/>
              </w:rPr>
            </w:pPr>
            <w:r w:rsidRPr="00C81B1E">
              <w:rPr>
                <w:rFonts w:eastAsia="Calibri"/>
                <w:lang w:val="en-GB" w:eastAsia="en-US"/>
              </w:rPr>
              <w:t>AD</w:t>
            </w:r>
          </w:p>
        </w:tc>
        <w:tc>
          <w:tcPr>
            <w:tcW w:w="7320" w:type="dxa"/>
            <w:shd w:val="clear" w:color="auto" w:fill="auto"/>
          </w:tcPr>
          <w:p w14:paraId="24957DE7" w14:textId="77777777" w:rsidR="00C7764C" w:rsidRPr="00C81B1E" w:rsidRDefault="00C7764C" w:rsidP="00C7764C">
            <w:pPr>
              <w:pStyle w:val="MDPI31text"/>
              <w:rPr>
                <w:rFonts w:eastAsia="Calibri"/>
                <w:lang w:val="en-GB" w:eastAsia="en-US"/>
              </w:rPr>
            </w:pPr>
            <w:r w:rsidRPr="00C81B1E">
              <w:rPr>
                <w:rFonts w:eastAsia="Calibri"/>
                <w:lang w:val="en-GB" w:eastAsia="en-US"/>
              </w:rPr>
              <w:t>Anaerobic Digestion</w:t>
            </w:r>
          </w:p>
        </w:tc>
      </w:tr>
      <w:tr w:rsidR="00C7764C" w:rsidRPr="00C81B1E" w14:paraId="2B34A409" w14:textId="77777777" w:rsidTr="00C81B1E">
        <w:tc>
          <w:tcPr>
            <w:tcW w:w="1696" w:type="dxa"/>
            <w:shd w:val="clear" w:color="auto" w:fill="auto"/>
          </w:tcPr>
          <w:p w14:paraId="60194B64" w14:textId="77777777" w:rsidR="00C7764C" w:rsidRPr="00C81B1E" w:rsidRDefault="00C7764C" w:rsidP="00C7764C">
            <w:pPr>
              <w:pStyle w:val="MDPI31text"/>
              <w:rPr>
                <w:rFonts w:eastAsia="Calibri"/>
                <w:lang w:val="en-GB" w:eastAsia="en-US"/>
              </w:rPr>
            </w:pPr>
            <w:r w:rsidRPr="00C81B1E">
              <w:rPr>
                <w:rFonts w:eastAsia="Calibri"/>
                <w:lang w:val="en-GB" w:eastAsia="en-US"/>
              </w:rPr>
              <w:t>AF</w:t>
            </w:r>
          </w:p>
        </w:tc>
        <w:tc>
          <w:tcPr>
            <w:tcW w:w="7320" w:type="dxa"/>
            <w:shd w:val="clear" w:color="auto" w:fill="auto"/>
          </w:tcPr>
          <w:p w14:paraId="456E1551" w14:textId="77777777" w:rsidR="00C7764C" w:rsidRPr="00C81B1E" w:rsidRDefault="00C7764C" w:rsidP="00C7764C">
            <w:pPr>
              <w:pStyle w:val="MDPI31text"/>
              <w:rPr>
                <w:rFonts w:eastAsia="Calibri"/>
                <w:lang w:val="en-GB" w:eastAsia="en-US"/>
              </w:rPr>
            </w:pPr>
            <w:r w:rsidRPr="00C81B1E">
              <w:rPr>
                <w:rFonts w:eastAsia="Calibri"/>
                <w:lang w:val="en-GB" w:eastAsia="en-US"/>
              </w:rPr>
              <w:t>Animal Feeding</w:t>
            </w:r>
          </w:p>
        </w:tc>
      </w:tr>
      <w:tr w:rsidR="00C7764C" w:rsidRPr="00C81B1E" w14:paraId="69D9928A" w14:textId="77777777" w:rsidTr="00C81B1E">
        <w:tc>
          <w:tcPr>
            <w:tcW w:w="1696" w:type="dxa"/>
            <w:shd w:val="clear" w:color="auto" w:fill="auto"/>
          </w:tcPr>
          <w:p w14:paraId="1D85BE6B" w14:textId="77777777" w:rsidR="00C7764C" w:rsidRPr="00C81B1E" w:rsidRDefault="00C7764C" w:rsidP="00C7764C">
            <w:pPr>
              <w:pStyle w:val="MDPI31text"/>
              <w:rPr>
                <w:rFonts w:eastAsia="Calibri"/>
                <w:lang w:val="en-GB" w:eastAsia="en-US"/>
              </w:rPr>
            </w:pPr>
            <w:r w:rsidRPr="00C81B1E">
              <w:rPr>
                <w:rFonts w:eastAsia="Calibri"/>
                <w:lang w:val="en-GB" w:eastAsia="en-US"/>
              </w:rPr>
              <w:t>C</w:t>
            </w:r>
          </w:p>
        </w:tc>
        <w:tc>
          <w:tcPr>
            <w:tcW w:w="7320" w:type="dxa"/>
            <w:shd w:val="clear" w:color="auto" w:fill="auto"/>
          </w:tcPr>
          <w:p w14:paraId="2EE6DDD9" w14:textId="77777777" w:rsidR="00C7764C" w:rsidRPr="00C81B1E" w:rsidRDefault="00C7764C" w:rsidP="00C7764C">
            <w:pPr>
              <w:pStyle w:val="MDPI31text"/>
              <w:rPr>
                <w:rFonts w:eastAsia="Calibri"/>
                <w:lang w:val="en-GB" w:eastAsia="en-US"/>
              </w:rPr>
            </w:pPr>
            <w:r w:rsidRPr="00C81B1E">
              <w:rPr>
                <w:rFonts w:eastAsia="Calibri"/>
                <w:lang w:val="en-GB" w:eastAsia="en-US"/>
              </w:rPr>
              <w:t>Composting</w:t>
            </w:r>
          </w:p>
        </w:tc>
      </w:tr>
      <w:tr w:rsidR="003C4887" w:rsidRPr="00C81B1E" w14:paraId="43D8F1F5" w14:textId="77777777" w:rsidTr="00C81B1E">
        <w:tc>
          <w:tcPr>
            <w:tcW w:w="1696" w:type="dxa"/>
            <w:shd w:val="clear" w:color="auto" w:fill="auto"/>
          </w:tcPr>
          <w:p w14:paraId="79D6DF63" w14:textId="47BE06B4" w:rsidR="003C4887" w:rsidRPr="00C81B1E" w:rsidRDefault="003C4887" w:rsidP="00C7764C">
            <w:pPr>
              <w:pStyle w:val="MDPI31text"/>
              <w:rPr>
                <w:rFonts w:eastAsia="Calibri"/>
                <w:lang w:val="en-GB" w:eastAsia="en-US"/>
              </w:rPr>
            </w:pPr>
            <w:r>
              <w:rPr>
                <w:rFonts w:eastAsia="Calibri"/>
                <w:lang w:val="en-GB" w:eastAsia="en-US"/>
              </w:rPr>
              <w:t>CFU</w:t>
            </w:r>
            <w:r w:rsidR="00AB5AA1">
              <w:rPr>
                <w:rFonts w:eastAsia="Calibri"/>
                <w:lang w:val="en-GB" w:eastAsia="en-US"/>
              </w:rPr>
              <w:t>s</w:t>
            </w:r>
          </w:p>
        </w:tc>
        <w:tc>
          <w:tcPr>
            <w:tcW w:w="7320" w:type="dxa"/>
            <w:shd w:val="clear" w:color="auto" w:fill="auto"/>
          </w:tcPr>
          <w:p w14:paraId="4344DCD7" w14:textId="6013FD2F" w:rsidR="003C4887" w:rsidRPr="00C81B1E" w:rsidRDefault="00562CFC" w:rsidP="00C7764C">
            <w:pPr>
              <w:pStyle w:val="MDPI31text"/>
              <w:rPr>
                <w:rFonts w:eastAsia="Calibri"/>
                <w:lang w:val="en-GB" w:eastAsia="en-US"/>
              </w:rPr>
            </w:pPr>
            <w:r w:rsidRPr="00562CFC">
              <w:rPr>
                <w:rFonts w:eastAsia="Calibri"/>
                <w:lang w:val="en-GB" w:eastAsia="en-US"/>
              </w:rPr>
              <w:t>Colony-Forming Unit</w:t>
            </w:r>
            <w:r w:rsidR="00AB5AA1">
              <w:rPr>
                <w:rFonts w:eastAsia="Calibri"/>
                <w:lang w:val="en-GB" w:eastAsia="en-US"/>
              </w:rPr>
              <w:t>s</w:t>
            </w:r>
          </w:p>
        </w:tc>
      </w:tr>
      <w:tr w:rsidR="00565509" w:rsidRPr="00C81B1E" w14:paraId="080ACCCE" w14:textId="77777777" w:rsidTr="00C81B1E">
        <w:tc>
          <w:tcPr>
            <w:tcW w:w="1696" w:type="dxa"/>
            <w:shd w:val="clear" w:color="auto" w:fill="auto"/>
          </w:tcPr>
          <w:p w14:paraId="42A40118" w14:textId="53F03A55" w:rsidR="00565509" w:rsidRPr="00C81B1E" w:rsidRDefault="00565509" w:rsidP="00C7764C">
            <w:pPr>
              <w:pStyle w:val="MDPI31text"/>
              <w:rPr>
                <w:rFonts w:eastAsia="Calibri"/>
                <w:lang w:val="en-GB" w:eastAsia="en-US"/>
              </w:rPr>
            </w:pPr>
            <w:r>
              <w:rPr>
                <w:rFonts w:eastAsia="Calibri"/>
                <w:lang w:val="en-GB" w:eastAsia="en-US"/>
              </w:rPr>
              <w:t>COD</w:t>
            </w:r>
          </w:p>
        </w:tc>
        <w:tc>
          <w:tcPr>
            <w:tcW w:w="7320" w:type="dxa"/>
            <w:shd w:val="clear" w:color="auto" w:fill="auto"/>
          </w:tcPr>
          <w:p w14:paraId="28CAD2EE" w14:textId="49465D0C" w:rsidR="00565509" w:rsidRPr="00C81B1E" w:rsidRDefault="007516DB" w:rsidP="00C7764C">
            <w:pPr>
              <w:pStyle w:val="MDPI31text"/>
              <w:rPr>
                <w:rFonts w:eastAsia="Calibri"/>
                <w:lang w:val="en-GB" w:eastAsia="en-US"/>
              </w:rPr>
            </w:pPr>
            <w:r>
              <w:rPr>
                <w:rFonts w:eastAsia="Calibri"/>
                <w:lang w:val="en-GB" w:eastAsia="en-US"/>
              </w:rPr>
              <w:t>Chemical Oxygen Demand</w:t>
            </w:r>
          </w:p>
        </w:tc>
      </w:tr>
      <w:tr w:rsidR="00C7764C" w:rsidRPr="00C81B1E" w14:paraId="131F88C8" w14:textId="77777777" w:rsidTr="00C81B1E">
        <w:tc>
          <w:tcPr>
            <w:tcW w:w="1696" w:type="dxa"/>
            <w:shd w:val="clear" w:color="auto" w:fill="auto"/>
          </w:tcPr>
          <w:p w14:paraId="5AD7A7A0" w14:textId="77777777" w:rsidR="00C7764C" w:rsidRPr="00C81B1E" w:rsidRDefault="00C7764C" w:rsidP="00C7764C">
            <w:pPr>
              <w:pStyle w:val="MDPI31text"/>
              <w:rPr>
                <w:rFonts w:eastAsia="Calibri"/>
                <w:lang w:val="en-GB" w:eastAsia="en-US"/>
              </w:rPr>
            </w:pPr>
            <w:r w:rsidRPr="00C81B1E">
              <w:rPr>
                <w:rFonts w:eastAsia="Calibri"/>
                <w:lang w:val="en-GB" w:eastAsia="en-US"/>
              </w:rPr>
              <w:t>FW</w:t>
            </w:r>
          </w:p>
        </w:tc>
        <w:tc>
          <w:tcPr>
            <w:tcW w:w="7320" w:type="dxa"/>
            <w:shd w:val="clear" w:color="auto" w:fill="auto"/>
          </w:tcPr>
          <w:p w14:paraId="1E4689C2" w14:textId="77777777" w:rsidR="00C7764C" w:rsidRPr="00C81B1E" w:rsidRDefault="00C7764C" w:rsidP="00C7764C">
            <w:pPr>
              <w:pStyle w:val="MDPI31text"/>
              <w:rPr>
                <w:rFonts w:eastAsia="Calibri"/>
                <w:lang w:val="en-GB" w:eastAsia="en-US"/>
              </w:rPr>
            </w:pPr>
            <w:r w:rsidRPr="00C81B1E">
              <w:rPr>
                <w:rFonts w:eastAsia="Calibri"/>
                <w:lang w:val="en-GB" w:eastAsia="en-US"/>
              </w:rPr>
              <w:t>Food Waste</w:t>
            </w:r>
          </w:p>
        </w:tc>
      </w:tr>
      <w:tr w:rsidR="00C7764C" w:rsidRPr="00C81B1E" w14:paraId="71D07C7C" w14:textId="77777777" w:rsidTr="00C81B1E">
        <w:tc>
          <w:tcPr>
            <w:tcW w:w="1696" w:type="dxa"/>
            <w:shd w:val="clear" w:color="auto" w:fill="auto"/>
          </w:tcPr>
          <w:p w14:paraId="3BCF2810" w14:textId="77777777" w:rsidR="00C7764C" w:rsidRPr="00C81B1E" w:rsidRDefault="00C7764C" w:rsidP="00C7764C">
            <w:pPr>
              <w:pStyle w:val="MDPI31text"/>
              <w:rPr>
                <w:rFonts w:eastAsia="Calibri"/>
                <w:lang w:val="en-GB" w:eastAsia="en-US"/>
              </w:rPr>
            </w:pPr>
            <w:r w:rsidRPr="00C81B1E">
              <w:rPr>
                <w:rFonts w:eastAsia="Calibri"/>
                <w:lang w:val="en-GB" w:eastAsia="en-US"/>
              </w:rPr>
              <w:t>FWM</w:t>
            </w:r>
          </w:p>
        </w:tc>
        <w:tc>
          <w:tcPr>
            <w:tcW w:w="7320" w:type="dxa"/>
            <w:shd w:val="clear" w:color="auto" w:fill="auto"/>
          </w:tcPr>
          <w:p w14:paraId="1540CBA0" w14:textId="77777777" w:rsidR="00C7764C" w:rsidRPr="00C81B1E" w:rsidRDefault="00C7764C" w:rsidP="00C7764C">
            <w:pPr>
              <w:pStyle w:val="MDPI31text"/>
              <w:rPr>
                <w:rFonts w:eastAsia="Calibri"/>
                <w:lang w:val="en-GB" w:eastAsia="en-US"/>
              </w:rPr>
            </w:pPr>
            <w:r w:rsidRPr="00C81B1E">
              <w:rPr>
                <w:rFonts w:eastAsia="Calibri"/>
                <w:lang w:val="en-GB" w:eastAsia="en-US"/>
              </w:rPr>
              <w:t>Food Waste Management</w:t>
            </w:r>
          </w:p>
        </w:tc>
      </w:tr>
      <w:tr w:rsidR="00C7764C" w:rsidRPr="00C81B1E" w14:paraId="5A3DD556" w14:textId="77777777" w:rsidTr="00C81B1E">
        <w:tc>
          <w:tcPr>
            <w:tcW w:w="1696" w:type="dxa"/>
            <w:shd w:val="clear" w:color="auto" w:fill="auto"/>
          </w:tcPr>
          <w:p w14:paraId="66448633" w14:textId="77777777" w:rsidR="00C7764C" w:rsidRPr="00C81B1E" w:rsidRDefault="00C7764C" w:rsidP="00C7764C">
            <w:pPr>
              <w:pStyle w:val="MDPI31text"/>
              <w:rPr>
                <w:rFonts w:eastAsia="Calibri"/>
                <w:lang w:val="en-GB" w:eastAsia="en-US"/>
              </w:rPr>
            </w:pPr>
            <w:r w:rsidRPr="00C81B1E">
              <w:rPr>
                <w:rFonts w:eastAsia="Calibri"/>
                <w:lang w:val="en-GB" w:eastAsia="en-US"/>
              </w:rPr>
              <w:t>FWMS</w:t>
            </w:r>
          </w:p>
        </w:tc>
        <w:tc>
          <w:tcPr>
            <w:tcW w:w="7320" w:type="dxa"/>
            <w:shd w:val="clear" w:color="auto" w:fill="auto"/>
          </w:tcPr>
          <w:p w14:paraId="6DDD34C2" w14:textId="77777777" w:rsidR="00C7764C" w:rsidRPr="00C81B1E" w:rsidRDefault="00C7764C" w:rsidP="00C7764C">
            <w:pPr>
              <w:pStyle w:val="MDPI31text"/>
              <w:rPr>
                <w:rFonts w:eastAsia="Calibri"/>
                <w:lang w:val="en-GB" w:eastAsia="en-US"/>
              </w:rPr>
            </w:pPr>
            <w:r w:rsidRPr="00C81B1E">
              <w:rPr>
                <w:rFonts w:eastAsia="Calibri"/>
                <w:lang w:val="en-GB" w:eastAsia="en-US"/>
              </w:rPr>
              <w:t>Food Waste Management Solution</w:t>
            </w:r>
          </w:p>
        </w:tc>
      </w:tr>
      <w:tr w:rsidR="007516DB" w:rsidRPr="00C81B1E" w14:paraId="20A57406" w14:textId="77777777" w:rsidTr="00C81B1E">
        <w:tc>
          <w:tcPr>
            <w:tcW w:w="1696" w:type="dxa"/>
            <w:shd w:val="clear" w:color="auto" w:fill="auto"/>
          </w:tcPr>
          <w:p w14:paraId="74063DF7" w14:textId="0B4FD825" w:rsidR="007516DB" w:rsidRDefault="007516DB" w:rsidP="00C7764C">
            <w:pPr>
              <w:pStyle w:val="MDPI31text"/>
              <w:rPr>
                <w:rFonts w:eastAsia="Calibri"/>
                <w:lang w:val="en-GB" w:eastAsia="en-US"/>
              </w:rPr>
            </w:pPr>
            <w:r w:rsidRPr="007516DB">
              <w:rPr>
                <w:rFonts w:eastAsia="Calibri"/>
                <w:lang w:val="en-GB" w:eastAsia="en-US"/>
              </w:rPr>
              <w:t>I-TEQ</w:t>
            </w:r>
          </w:p>
        </w:tc>
        <w:tc>
          <w:tcPr>
            <w:tcW w:w="7320" w:type="dxa"/>
            <w:shd w:val="clear" w:color="auto" w:fill="auto"/>
          </w:tcPr>
          <w:p w14:paraId="2E843301" w14:textId="51C61DA4" w:rsidR="007516DB" w:rsidRPr="00562CFC" w:rsidRDefault="007516DB" w:rsidP="00C7764C">
            <w:pPr>
              <w:pStyle w:val="MDPI31text"/>
              <w:rPr>
                <w:rFonts w:eastAsia="Calibri"/>
                <w:lang w:val="en-GB" w:eastAsia="en-US"/>
              </w:rPr>
            </w:pPr>
            <w:r w:rsidRPr="007516DB">
              <w:rPr>
                <w:rFonts w:eastAsia="Calibri"/>
                <w:lang w:val="en-GB" w:eastAsia="en-US"/>
              </w:rPr>
              <w:t>International Toxic Equivalents</w:t>
            </w:r>
          </w:p>
        </w:tc>
      </w:tr>
      <w:tr w:rsidR="003C4887" w:rsidRPr="00C81B1E" w14:paraId="38210138" w14:textId="77777777" w:rsidTr="00C81B1E">
        <w:tc>
          <w:tcPr>
            <w:tcW w:w="1696" w:type="dxa"/>
            <w:shd w:val="clear" w:color="auto" w:fill="auto"/>
          </w:tcPr>
          <w:p w14:paraId="5A1B9852" w14:textId="154AC4B4" w:rsidR="003C4887" w:rsidRDefault="003C4887" w:rsidP="00C7764C">
            <w:pPr>
              <w:pStyle w:val="MDPI31text"/>
              <w:rPr>
                <w:rFonts w:eastAsia="Calibri"/>
                <w:lang w:val="en-GB" w:eastAsia="en-US"/>
              </w:rPr>
            </w:pPr>
            <w:r>
              <w:rPr>
                <w:rFonts w:eastAsia="Calibri"/>
                <w:lang w:val="en-GB" w:eastAsia="en-US"/>
              </w:rPr>
              <w:t>NIMBY</w:t>
            </w:r>
          </w:p>
        </w:tc>
        <w:tc>
          <w:tcPr>
            <w:tcW w:w="7320" w:type="dxa"/>
            <w:shd w:val="clear" w:color="auto" w:fill="auto"/>
          </w:tcPr>
          <w:p w14:paraId="6FAF6E22" w14:textId="3F230127" w:rsidR="003C4887" w:rsidRPr="00C81B1E" w:rsidRDefault="00562CFC" w:rsidP="00C7764C">
            <w:pPr>
              <w:pStyle w:val="MDPI31text"/>
              <w:rPr>
                <w:rFonts w:eastAsia="Calibri"/>
                <w:lang w:val="en-GB" w:eastAsia="en-US"/>
              </w:rPr>
            </w:pPr>
            <w:r w:rsidRPr="00562CFC">
              <w:rPr>
                <w:rFonts w:eastAsia="Calibri"/>
                <w:lang w:val="en-GB" w:eastAsia="en-US"/>
              </w:rPr>
              <w:t xml:space="preserve">Not </w:t>
            </w:r>
            <w:proofErr w:type="gramStart"/>
            <w:r w:rsidRPr="00562CFC">
              <w:rPr>
                <w:rFonts w:eastAsia="Calibri"/>
                <w:lang w:val="en-GB" w:eastAsia="en-US"/>
              </w:rPr>
              <w:t>In</w:t>
            </w:r>
            <w:proofErr w:type="gramEnd"/>
            <w:r w:rsidRPr="00562CFC">
              <w:rPr>
                <w:rFonts w:eastAsia="Calibri"/>
                <w:lang w:val="en-GB" w:eastAsia="en-US"/>
              </w:rPr>
              <w:t xml:space="preserve"> My Back Yard</w:t>
            </w:r>
            <w:r>
              <w:rPr>
                <w:rFonts w:eastAsia="Calibri"/>
                <w:lang w:val="en-GB" w:eastAsia="en-US"/>
              </w:rPr>
              <w:t xml:space="preserve"> phenomenon</w:t>
            </w:r>
          </w:p>
        </w:tc>
      </w:tr>
      <w:tr w:rsidR="003C4887" w:rsidRPr="00C81B1E" w14:paraId="40A3D5C5" w14:textId="77777777" w:rsidTr="00C81B1E">
        <w:tc>
          <w:tcPr>
            <w:tcW w:w="1696" w:type="dxa"/>
            <w:shd w:val="clear" w:color="auto" w:fill="auto"/>
          </w:tcPr>
          <w:p w14:paraId="5F2760C8" w14:textId="1B48315A" w:rsidR="003C4887" w:rsidRPr="00C81B1E" w:rsidRDefault="003C4887" w:rsidP="00C7764C">
            <w:pPr>
              <w:pStyle w:val="MDPI31text"/>
              <w:rPr>
                <w:rFonts w:eastAsia="Calibri"/>
                <w:lang w:val="en-GB" w:eastAsia="en-US"/>
              </w:rPr>
            </w:pPr>
            <w:r>
              <w:rPr>
                <w:rFonts w:eastAsia="Calibri"/>
                <w:lang w:val="en-GB" w:eastAsia="en-US"/>
              </w:rPr>
              <w:t>PAH</w:t>
            </w:r>
          </w:p>
        </w:tc>
        <w:tc>
          <w:tcPr>
            <w:tcW w:w="7320" w:type="dxa"/>
            <w:shd w:val="clear" w:color="auto" w:fill="auto"/>
          </w:tcPr>
          <w:p w14:paraId="04B8CD2C" w14:textId="78111A25" w:rsidR="003C4887" w:rsidRPr="00C81B1E" w:rsidRDefault="00562CFC" w:rsidP="00C7764C">
            <w:pPr>
              <w:pStyle w:val="MDPI31text"/>
              <w:rPr>
                <w:rFonts w:eastAsia="Calibri"/>
                <w:lang w:val="en-GB" w:eastAsia="en-US"/>
              </w:rPr>
            </w:pPr>
            <w:r w:rsidRPr="00562CFC">
              <w:rPr>
                <w:rFonts w:eastAsia="Calibri"/>
                <w:lang w:val="en-GB" w:eastAsia="en-US"/>
              </w:rPr>
              <w:t>Polycyclic Aromatic Hydrocarbons</w:t>
            </w:r>
          </w:p>
        </w:tc>
      </w:tr>
      <w:tr w:rsidR="003C4887" w:rsidRPr="00C81B1E" w14:paraId="5DE51651" w14:textId="77777777" w:rsidTr="00C81B1E">
        <w:tc>
          <w:tcPr>
            <w:tcW w:w="1696" w:type="dxa"/>
            <w:shd w:val="clear" w:color="auto" w:fill="auto"/>
          </w:tcPr>
          <w:p w14:paraId="4BFDE79F" w14:textId="289CB8F3" w:rsidR="003C4887" w:rsidRPr="00C81B1E" w:rsidRDefault="003C4887" w:rsidP="00C7764C">
            <w:pPr>
              <w:pStyle w:val="MDPI31text"/>
              <w:rPr>
                <w:rFonts w:eastAsia="Calibri"/>
                <w:lang w:val="en-GB" w:eastAsia="en-US"/>
              </w:rPr>
            </w:pPr>
            <w:r>
              <w:rPr>
                <w:rFonts w:eastAsia="Calibri"/>
                <w:lang w:val="en-GB" w:eastAsia="en-US"/>
              </w:rPr>
              <w:t>PCBs</w:t>
            </w:r>
          </w:p>
        </w:tc>
        <w:tc>
          <w:tcPr>
            <w:tcW w:w="7320" w:type="dxa"/>
            <w:shd w:val="clear" w:color="auto" w:fill="auto"/>
          </w:tcPr>
          <w:p w14:paraId="66AB8A4A" w14:textId="40DA8FCF" w:rsidR="003C4887" w:rsidRPr="00C81B1E" w:rsidRDefault="00562CFC" w:rsidP="00C7764C">
            <w:pPr>
              <w:pStyle w:val="MDPI31text"/>
              <w:rPr>
                <w:rFonts w:eastAsia="Calibri"/>
                <w:lang w:val="en-GB" w:eastAsia="en-US"/>
              </w:rPr>
            </w:pPr>
            <w:r w:rsidRPr="00562CFC">
              <w:rPr>
                <w:rFonts w:eastAsia="Calibri"/>
                <w:lang w:val="en-GB" w:eastAsia="en-US"/>
              </w:rPr>
              <w:t>Polychlorinated Biphenyl</w:t>
            </w:r>
            <w:r>
              <w:rPr>
                <w:rFonts w:eastAsia="Calibri"/>
                <w:lang w:val="en-GB" w:eastAsia="en-US"/>
              </w:rPr>
              <w:t>s</w:t>
            </w:r>
          </w:p>
        </w:tc>
      </w:tr>
      <w:tr w:rsidR="00C7764C" w:rsidRPr="00C81B1E" w14:paraId="1C6A668D" w14:textId="77777777" w:rsidTr="00C81B1E">
        <w:tc>
          <w:tcPr>
            <w:tcW w:w="1696" w:type="dxa"/>
            <w:shd w:val="clear" w:color="auto" w:fill="auto"/>
          </w:tcPr>
          <w:p w14:paraId="112E1C96" w14:textId="77777777" w:rsidR="00C7764C" w:rsidRPr="00C81B1E" w:rsidRDefault="00C7764C" w:rsidP="00C7764C">
            <w:pPr>
              <w:pStyle w:val="MDPI31text"/>
              <w:rPr>
                <w:rFonts w:eastAsia="Calibri"/>
                <w:lang w:val="en-GB" w:eastAsia="en-US"/>
              </w:rPr>
            </w:pPr>
            <w:r w:rsidRPr="00C81B1E">
              <w:rPr>
                <w:rFonts w:eastAsia="Calibri"/>
                <w:lang w:val="en-GB" w:eastAsia="en-US"/>
              </w:rPr>
              <w:t>R</w:t>
            </w:r>
          </w:p>
        </w:tc>
        <w:tc>
          <w:tcPr>
            <w:tcW w:w="7320" w:type="dxa"/>
            <w:shd w:val="clear" w:color="auto" w:fill="auto"/>
          </w:tcPr>
          <w:p w14:paraId="310B5FE3" w14:textId="77777777" w:rsidR="00C7764C" w:rsidRPr="00C81B1E" w:rsidRDefault="00C7764C" w:rsidP="00C7764C">
            <w:pPr>
              <w:pStyle w:val="MDPI31text"/>
              <w:rPr>
                <w:rFonts w:eastAsia="Calibri"/>
                <w:lang w:val="en-GB" w:eastAsia="en-US"/>
              </w:rPr>
            </w:pPr>
            <w:r w:rsidRPr="00C81B1E">
              <w:rPr>
                <w:rFonts w:eastAsia="Calibri"/>
                <w:lang w:val="en-GB" w:eastAsia="en-US"/>
              </w:rPr>
              <w:t>Redistribution</w:t>
            </w:r>
          </w:p>
        </w:tc>
      </w:tr>
      <w:tr w:rsidR="00C7764C" w:rsidRPr="00C81B1E" w14:paraId="426E0051" w14:textId="77777777" w:rsidTr="00C81B1E">
        <w:tc>
          <w:tcPr>
            <w:tcW w:w="1696" w:type="dxa"/>
            <w:shd w:val="clear" w:color="auto" w:fill="auto"/>
          </w:tcPr>
          <w:p w14:paraId="38ECF5F5" w14:textId="77777777" w:rsidR="00C7764C" w:rsidRPr="00C81B1E" w:rsidRDefault="00C7764C" w:rsidP="00C7764C">
            <w:pPr>
              <w:pStyle w:val="MDPI31text"/>
              <w:rPr>
                <w:rFonts w:eastAsia="Calibri"/>
                <w:lang w:val="en-GB" w:eastAsia="en-US"/>
              </w:rPr>
            </w:pPr>
            <w:r w:rsidRPr="00C81B1E">
              <w:rPr>
                <w:rFonts w:eastAsia="Calibri"/>
                <w:lang w:val="en-GB" w:eastAsia="en-US"/>
              </w:rPr>
              <w:t>T</w:t>
            </w:r>
          </w:p>
        </w:tc>
        <w:tc>
          <w:tcPr>
            <w:tcW w:w="7320" w:type="dxa"/>
            <w:shd w:val="clear" w:color="auto" w:fill="auto"/>
          </w:tcPr>
          <w:p w14:paraId="75A47D76" w14:textId="77777777" w:rsidR="00C7764C" w:rsidRPr="00C81B1E" w:rsidRDefault="00C7764C" w:rsidP="00C7764C">
            <w:pPr>
              <w:pStyle w:val="MDPI31text"/>
              <w:rPr>
                <w:rFonts w:eastAsia="Calibri"/>
                <w:lang w:val="en-GB" w:eastAsia="en-US"/>
              </w:rPr>
            </w:pPr>
            <w:r w:rsidRPr="00C81B1E">
              <w:rPr>
                <w:rFonts w:eastAsia="Calibri"/>
                <w:lang w:val="en-GB" w:eastAsia="en-US"/>
              </w:rPr>
              <w:t>Transport</w:t>
            </w:r>
          </w:p>
        </w:tc>
      </w:tr>
      <w:tr w:rsidR="00AB5AA1" w:rsidRPr="00C81B1E" w14:paraId="30E95D00" w14:textId="77777777" w:rsidTr="00C81B1E">
        <w:tc>
          <w:tcPr>
            <w:tcW w:w="1696" w:type="dxa"/>
            <w:shd w:val="clear" w:color="auto" w:fill="auto"/>
          </w:tcPr>
          <w:p w14:paraId="16100664" w14:textId="291AE16E" w:rsidR="00AB5AA1" w:rsidRPr="00C81B1E" w:rsidRDefault="007516DB" w:rsidP="00C7764C">
            <w:pPr>
              <w:pStyle w:val="MDPI31text"/>
              <w:rPr>
                <w:rFonts w:eastAsia="Calibri"/>
                <w:lang w:val="en-GB" w:eastAsia="en-US"/>
              </w:rPr>
            </w:pPr>
            <w:r w:rsidRPr="007516DB">
              <w:rPr>
                <w:rFonts w:eastAsia="Calibri"/>
                <w:lang w:val="en-GB" w:eastAsia="en-US"/>
              </w:rPr>
              <w:t>TOC</w:t>
            </w:r>
          </w:p>
        </w:tc>
        <w:tc>
          <w:tcPr>
            <w:tcW w:w="7320" w:type="dxa"/>
            <w:shd w:val="clear" w:color="auto" w:fill="auto"/>
          </w:tcPr>
          <w:p w14:paraId="7FD1DBC7" w14:textId="3A3978FD" w:rsidR="00AB5AA1" w:rsidRPr="00C81B1E" w:rsidRDefault="007516DB" w:rsidP="00C7764C">
            <w:pPr>
              <w:pStyle w:val="MDPI31text"/>
              <w:rPr>
                <w:rFonts w:eastAsia="Calibri"/>
                <w:lang w:val="en-GB" w:eastAsia="en-US"/>
              </w:rPr>
            </w:pPr>
            <w:r w:rsidRPr="007516DB">
              <w:rPr>
                <w:rFonts w:eastAsia="Calibri"/>
                <w:lang w:val="en-GB" w:eastAsia="en-US"/>
              </w:rPr>
              <w:t>Total Organic Carbon</w:t>
            </w:r>
          </w:p>
        </w:tc>
      </w:tr>
      <w:tr w:rsidR="00AB5AA1" w:rsidRPr="00C81B1E" w14:paraId="1ADE24E2" w14:textId="77777777" w:rsidTr="00C81B1E">
        <w:tc>
          <w:tcPr>
            <w:tcW w:w="1696" w:type="dxa"/>
            <w:shd w:val="clear" w:color="auto" w:fill="auto"/>
          </w:tcPr>
          <w:p w14:paraId="638A1FC8" w14:textId="7AEA5131" w:rsidR="00AB5AA1" w:rsidRPr="00C81B1E" w:rsidRDefault="007516DB" w:rsidP="00C7764C">
            <w:pPr>
              <w:pStyle w:val="MDPI31text"/>
              <w:rPr>
                <w:rFonts w:eastAsia="Calibri"/>
                <w:lang w:val="en-GB" w:eastAsia="en-US"/>
              </w:rPr>
            </w:pPr>
            <w:r w:rsidRPr="007516DB">
              <w:rPr>
                <w:rFonts w:eastAsia="Calibri"/>
                <w:lang w:val="en-GB" w:eastAsia="en-US"/>
              </w:rPr>
              <w:t>TS</w:t>
            </w:r>
          </w:p>
        </w:tc>
        <w:tc>
          <w:tcPr>
            <w:tcW w:w="7320" w:type="dxa"/>
            <w:shd w:val="clear" w:color="auto" w:fill="auto"/>
          </w:tcPr>
          <w:p w14:paraId="44F234BE" w14:textId="419A49E4" w:rsidR="00AB5AA1" w:rsidRPr="00C81B1E" w:rsidRDefault="007516DB" w:rsidP="00C7764C">
            <w:pPr>
              <w:pStyle w:val="MDPI31text"/>
              <w:rPr>
                <w:rFonts w:eastAsia="Calibri"/>
                <w:lang w:val="en-GB" w:eastAsia="en-US"/>
              </w:rPr>
            </w:pPr>
            <w:r>
              <w:rPr>
                <w:rFonts w:eastAsia="Calibri"/>
                <w:lang w:val="en-GB" w:eastAsia="en-US"/>
              </w:rPr>
              <w:t>Total Solids</w:t>
            </w:r>
          </w:p>
        </w:tc>
      </w:tr>
      <w:tr w:rsidR="00C7764C" w:rsidRPr="00C81B1E" w14:paraId="1B054775" w14:textId="77777777" w:rsidTr="00C81B1E">
        <w:tc>
          <w:tcPr>
            <w:tcW w:w="1696" w:type="dxa"/>
            <w:shd w:val="clear" w:color="auto" w:fill="auto"/>
          </w:tcPr>
          <w:p w14:paraId="110F055C" w14:textId="77777777" w:rsidR="00C7764C" w:rsidRPr="00C81B1E" w:rsidRDefault="00C7764C" w:rsidP="00C7764C">
            <w:pPr>
              <w:pStyle w:val="MDPI31text"/>
              <w:rPr>
                <w:rFonts w:eastAsia="Calibri"/>
                <w:lang w:val="en-GB" w:eastAsia="en-US"/>
              </w:rPr>
            </w:pPr>
            <w:r w:rsidRPr="00C81B1E">
              <w:rPr>
                <w:rFonts w:eastAsia="Calibri"/>
                <w:lang w:val="en-GB" w:eastAsia="en-US"/>
              </w:rPr>
              <w:t>TT</w:t>
            </w:r>
          </w:p>
        </w:tc>
        <w:tc>
          <w:tcPr>
            <w:tcW w:w="7320" w:type="dxa"/>
            <w:shd w:val="clear" w:color="auto" w:fill="auto"/>
          </w:tcPr>
          <w:p w14:paraId="084D5D69" w14:textId="77777777" w:rsidR="00C7764C" w:rsidRPr="00C81B1E" w:rsidRDefault="00C7764C" w:rsidP="00C7764C">
            <w:pPr>
              <w:pStyle w:val="MDPI31text"/>
              <w:rPr>
                <w:rFonts w:eastAsia="Calibri"/>
                <w:lang w:val="en-GB" w:eastAsia="en-US"/>
              </w:rPr>
            </w:pPr>
            <w:r w:rsidRPr="00C81B1E">
              <w:rPr>
                <w:rFonts w:eastAsia="Calibri"/>
                <w:lang w:val="en-GB" w:eastAsia="en-US"/>
              </w:rPr>
              <w:t>Thermal Treatment with energy recovery</w:t>
            </w:r>
          </w:p>
        </w:tc>
      </w:tr>
      <w:tr w:rsidR="003C4887" w:rsidRPr="00C81B1E" w14:paraId="7ADC8054" w14:textId="77777777" w:rsidTr="00C81B1E">
        <w:tc>
          <w:tcPr>
            <w:tcW w:w="1696" w:type="dxa"/>
            <w:shd w:val="clear" w:color="auto" w:fill="auto"/>
          </w:tcPr>
          <w:p w14:paraId="688625F1" w14:textId="5C3B7043" w:rsidR="003C4887" w:rsidRDefault="003C4887" w:rsidP="00C7764C">
            <w:pPr>
              <w:pStyle w:val="MDPI31text"/>
              <w:rPr>
                <w:rFonts w:eastAsia="Calibri"/>
                <w:lang w:val="en-GB" w:eastAsia="en-US"/>
              </w:rPr>
            </w:pPr>
            <w:r>
              <w:rPr>
                <w:rFonts w:eastAsia="Calibri"/>
                <w:lang w:val="en-GB" w:eastAsia="en-US"/>
              </w:rPr>
              <w:t>VFAs</w:t>
            </w:r>
          </w:p>
        </w:tc>
        <w:tc>
          <w:tcPr>
            <w:tcW w:w="7320" w:type="dxa"/>
            <w:shd w:val="clear" w:color="auto" w:fill="auto"/>
          </w:tcPr>
          <w:p w14:paraId="7D6A877B" w14:textId="027B6443" w:rsidR="003C4887" w:rsidRPr="00C81B1E" w:rsidRDefault="00562CFC" w:rsidP="00C7764C">
            <w:pPr>
              <w:pStyle w:val="MDPI31text"/>
              <w:rPr>
                <w:rFonts w:eastAsia="Calibri"/>
                <w:lang w:val="en-GB" w:eastAsia="en-US"/>
              </w:rPr>
            </w:pPr>
            <w:r w:rsidRPr="00562CFC">
              <w:rPr>
                <w:rFonts w:eastAsia="Calibri"/>
                <w:lang w:val="en-GB" w:eastAsia="en-US"/>
              </w:rPr>
              <w:t>Volatile Fatty Acids</w:t>
            </w:r>
          </w:p>
        </w:tc>
      </w:tr>
      <w:tr w:rsidR="003C4887" w:rsidRPr="00C81B1E" w14:paraId="2C2E772B" w14:textId="77777777" w:rsidTr="00C81B1E">
        <w:tc>
          <w:tcPr>
            <w:tcW w:w="1696" w:type="dxa"/>
            <w:shd w:val="clear" w:color="auto" w:fill="auto"/>
          </w:tcPr>
          <w:p w14:paraId="657E6EE9" w14:textId="477ADEF0" w:rsidR="003C4887" w:rsidRPr="00C81B1E" w:rsidRDefault="003C4887" w:rsidP="00C7764C">
            <w:pPr>
              <w:pStyle w:val="MDPI31text"/>
              <w:rPr>
                <w:rFonts w:eastAsia="Calibri"/>
                <w:lang w:val="en-GB" w:eastAsia="en-US"/>
              </w:rPr>
            </w:pPr>
            <w:r>
              <w:rPr>
                <w:rFonts w:eastAsia="Calibri"/>
                <w:lang w:val="en-GB" w:eastAsia="en-US"/>
              </w:rPr>
              <w:t>VS</w:t>
            </w:r>
          </w:p>
        </w:tc>
        <w:tc>
          <w:tcPr>
            <w:tcW w:w="7320" w:type="dxa"/>
            <w:shd w:val="clear" w:color="auto" w:fill="auto"/>
          </w:tcPr>
          <w:p w14:paraId="3E71BB62" w14:textId="2BD23E68" w:rsidR="003C4887" w:rsidRPr="00C81B1E" w:rsidRDefault="00562CFC" w:rsidP="00C7764C">
            <w:pPr>
              <w:pStyle w:val="MDPI31text"/>
              <w:rPr>
                <w:rFonts w:eastAsia="Calibri"/>
                <w:lang w:val="en-GB" w:eastAsia="en-US"/>
              </w:rPr>
            </w:pPr>
            <w:r>
              <w:rPr>
                <w:rFonts w:eastAsia="Calibri"/>
                <w:lang w:val="en-GB" w:eastAsia="en-US"/>
              </w:rPr>
              <w:t>Volatile Solids</w:t>
            </w:r>
          </w:p>
        </w:tc>
      </w:tr>
      <w:tr w:rsidR="00C7764C" w:rsidRPr="00C81B1E" w14:paraId="1D9696DB" w14:textId="77777777" w:rsidTr="00C81B1E">
        <w:tc>
          <w:tcPr>
            <w:tcW w:w="1696" w:type="dxa"/>
            <w:shd w:val="clear" w:color="auto" w:fill="auto"/>
          </w:tcPr>
          <w:p w14:paraId="349323D4" w14:textId="77777777" w:rsidR="00C7764C" w:rsidRPr="00C81B1E" w:rsidRDefault="00C7764C" w:rsidP="00C7764C">
            <w:pPr>
              <w:pStyle w:val="MDPI31text"/>
              <w:rPr>
                <w:rFonts w:eastAsia="Calibri"/>
                <w:lang w:val="en-GB" w:eastAsia="en-US"/>
              </w:rPr>
            </w:pPr>
          </w:p>
        </w:tc>
        <w:tc>
          <w:tcPr>
            <w:tcW w:w="7320" w:type="dxa"/>
            <w:shd w:val="clear" w:color="auto" w:fill="auto"/>
          </w:tcPr>
          <w:p w14:paraId="0BD24B12" w14:textId="77777777" w:rsidR="00C7764C" w:rsidRPr="00C81B1E" w:rsidRDefault="00C7764C" w:rsidP="00C7764C">
            <w:pPr>
              <w:pStyle w:val="MDPI31text"/>
              <w:rPr>
                <w:rFonts w:eastAsia="Calibri"/>
                <w:lang w:val="en-GB" w:eastAsia="en-US"/>
              </w:rPr>
            </w:pPr>
          </w:p>
        </w:tc>
      </w:tr>
    </w:tbl>
    <w:p w14:paraId="35261492" w14:textId="77777777" w:rsidR="00C7764C" w:rsidRPr="00C7764C" w:rsidRDefault="00C7764C" w:rsidP="00C7764C">
      <w:pPr>
        <w:pStyle w:val="MDPI31text"/>
        <w:rPr>
          <w:rFonts w:eastAsia="Calibri"/>
          <w:lang w:val="en-GB" w:eastAsia="en-US"/>
        </w:rPr>
      </w:pPr>
      <w:r w:rsidRPr="00C7764C">
        <w:rPr>
          <w:rFonts w:eastAsia="Calibri"/>
          <w:lang w:val="en-GB" w:eastAsia="en-US"/>
        </w:rPr>
        <w:t>The tables are comprised of four columns: the first column shows the attribute considered, the second column gives an example of that type of attribute or a unit commonly used to measure it, the third column presents the FWMSs that need the attribute to be defined, and the last column gives one example of published research where the attribute is used per type of FWMS listed in the third column. Consequently, the references from the fourth column, which include published research and legislation, confirm the need to consider the attribute for the FWMS assessed.</w:t>
      </w:r>
    </w:p>
    <w:p w14:paraId="290678D9" w14:textId="47A35E28" w:rsidR="00F4061C" w:rsidRPr="00C7764C" w:rsidRDefault="00F4061C" w:rsidP="00F4061C">
      <w:pPr>
        <w:pStyle w:val="MDPI71References"/>
        <w:numPr>
          <w:ilvl w:val="0"/>
          <w:numId w:val="0"/>
        </w:numPr>
        <w:spacing w:after="240"/>
        <w:ind w:left="425"/>
        <w:rPr>
          <w:lang w:val="en-GB"/>
        </w:rPr>
      </w:pPr>
    </w:p>
    <w:p w14:paraId="69677E57" w14:textId="77777777" w:rsidR="00C7764C" w:rsidRPr="00C7764C" w:rsidRDefault="00C7764C" w:rsidP="00C7764C">
      <w:pPr>
        <w:pStyle w:val="MDPI41tablecaption"/>
        <w:rPr>
          <w:rFonts w:eastAsia="Calibri"/>
          <w:lang w:val="en-GB" w:eastAsia="en-US"/>
        </w:rPr>
      </w:pPr>
      <w:r w:rsidRPr="00C7764C">
        <w:rPr>
          <w:rFonts w:eastAsia="Calibri"/>
          <w:lang w:val="en-GB" w:eastAsia="en-US"/>
        </w:rPr>
        <w:t xml:space="preserve">Table </w:t>
      </w:r>
      <w:r w:rsidRPr="00C7764C">
        <w:rPr>
          <w:rFonts w:eastAsia="Calibri"/>
          <w:lang w:val="en-GB" w:eastAsia="en-US"/>
        </w:rPr>
        <w:fldChar w:fldCharType="begin"/>
      </w:r>
      <w:r w:rsidRPr="00C7764C">
        <w:rPr>
          <w:rFonts w:eastAsia="Calibri"/>
          <w:lang w:val="en-GB" w:eastAsia="en-US"/>
        </w:rPr>
        <w:instrText xml:space="preserve"> SEQ Table \* ARABIC </w:instrText>
      </w:r>
      <w:r w:rsidRPr="00C7764C">
        <w:rPr>
          <w:rFonts w:eastAsia="Calibri"/>
          <w:lang w:val="en-GB" w:eastAsia="en-US"/>
        </w:rPr>
        <w:fldChar w:fldCharType="separate"/>
      </w:r>
      <w:r w:rsidRPr="00C7764C">
        <w:rPr>
          <w:rFonts w:eastAsia="Calibri"/>
          <w:noProof/>
          <w:lang w:val="en-GB" w:eastAsia="en-US"/>
        </w:rPr>
        <w:t>1</w:t>
      </w:r>
      <w:r w:rsidRPr="00C7764C">
        <w:rPr>
          <w:rFonts w:eastAsia="Calibri"/>
          <w:lang w:val="en-GB" w:eastAsia="en-US"/>
        </w:rPr>
        <w:fldChar w:fldCharType="end"/>
      </w:r>
      <w:r w:rsidRPr="00C7764C">
        <w:rPr>
          <w:rFonts w:eastAsia="Calibri"/>
          <w:lang w:val="en-GB" w:eastAsia="en-US"/>
        </w:rPr>
        <w:t>. Qualitative FW parameters</w:t>
      </w:r>
    </w:p>
    <w:tbl>
      <w:tblPr>
        <w:tblW w:w="9086" w:type="dxa"/>
        <w:tblBorders>
          <w:top w:val="single" w:sz="4" w:space="0" w:color="7F7F7F"/>
          <w:bottom w:val="single" w:sz="4" w:space="0" w:color="7F7F7F"/>
        </w:tblBorders>
        <w:tblLayout w:type="fixed"/>
        <w:tblLook w:val="04A0" w:firstRow="1" w:lastRow="0" w:firstColumn="1" w:lastColumn="0" w:noHBand="0" w:noVBand="1"/>
      </w:tblPr>
      <w:tblGrid>
        <w:gridCol w:w="2142"/>
        <w:gridCol w:w="3118"/>
        <w:gridCol w:w="1275"/>
        <w:gridCol w:w="2551"/>
      </w:tblGrid>
      <w:tr w:rsidR="00C81B1E" w:rsidRPr="00C81B1E" w14:paraId="54E6730F" w14:textId="77777777" w:rsidTr="00C81B1E">
        <w:trPr>
          <w:trHeight w:val="255"/>
        </w:trPr>
        <w:tc>
          <w:tcPr>
            <w:tcW w:w="2142" w:type="dxa"/>
            <w:tcBorders>
              <w:bottom w:val="single" w:sz="4" w:space="0" w:color="7F7F7F"/>
            </w:tcBorders>
            <w:shd w:val="clear" w:color="auto" w:fill="auto"/>
            <w:noWrap/>
            <w:vAlign w:val="center"/>
            <w:hideMark/>
          </w:tcPr>
          <w:p w14:paraId="4266B3DC"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Parameter</w:t>
            </w:r>
          </w:p>
        </w:tc>
        <w:tc>
          <w:tcPr>
            <w:tcW w:w="3118" w:type="dxa"/>
            <w:tcBorders>
              <w:bottom w:val="single" w:sz="4" w:space="0" w:color="7F7F7F"/>
            </w:tcBorders>
            <w:shd w:val="clear" w:color="auto" w:fill="auto"/>
            <w:noWrap/>
            <w:vAlign w:val="center"/>
            <w:hideMark/>
          </w:tcPr>
          <w:p w14:paraId="790EDA1B"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Example or unit</w:t>
            </w:r>
          </w:p>
        </w:tc>
        <w:tc>
          <w:tcPr>
            <w:tcW w:w="1275" w:type="dxa"/>
            <w:tcBorders>
              <w:bottom w:val="single" w:sz="4" w:space="0" w:color="7F7F7F"/>
            </w:tcBorders>
            <w:shd w:val="clear" w:color="auto" w:fill="auto"/>
            <w:noWrap/>
            <w:vAlign w:val="center"/>
            <w:hideMark/>
          </w:tcPr>
          <w:p w14:paraId="49D2402F"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FWMS</w:t>
            </w:r>
          </w:p>
        </w:tc>
        <w:tc>
          <w:tcPr>
            <w:tcW w:w="2551" w:type="dxa"/>
            <w:tcBorders>
              <w:bottom w:val="single" w:sz="4" w:space="0" w:color="7F7F7F"/>
            </w:tcBorders>
            <w:shd w:val="clear" w:color="auto" w:fill="auto"/>
            <w:noWrap/>
            <w:vAlign w:val="center"/>
            <w:hideMark/>
          </w:tcPr>
          <w:p w14:paraId="21F52703"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Reference</w:t>
            </w:r>
          </w:p>
        </w:tc>
      </w:tr>
      <w:tr w:rsidR="00C81B1E" w:rsidRPr="00C81B1E" w14:paraId="4698C76C" w14:textId="77777777" w:rsidTr="00C81B1E">
        <w:trPr>
          <w:trHeight w:val="255"/>
        </w:trPr>
        <w:tc>
          <w:tcPr>
            <w:tcW w:w="2142" w:type="dxa"/>
            <w:tcBorders>
              <w:top w:val="single" w:sz="4" w:space="0" w:color="7F7F7F"/>
              <w:bottom w:val="single" w:sz="4" w:space="0" w:color="7F7F7F"/>
            </w:tcBorders>
            <w:shd w:val="clear" w:color="auto" w:fill="auto"/>
            <w:noWrap/>
            <w:vAlign w:val="center"/>
            <w:hideMark/>
          </w:tcPr>
          <w:p w14:paraId="27D8DF8A"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Edibility</w:t>
            </w:r>
          </w:p>
        </w:tc>
        <w:tc>
          <w:tcPr>
            <w:tcW w:w="3118" w:type="dxa"/>
            <w:tcBorders>
              <w:top w:val="single" w:sz="4" w:space="0" w:color="7F7F7F"/>
              <w:bottom w:val="single" w:sz="4" w:space="0" w:color="7F7F7F"/>
            </w:tcBorders>
            <w:shd w:val="clear" w:color="auto" w:fill="auto"/>
            <w:noWrap/>
            <w:vAlign w:val="center"/>
            <w:hideMark/>
          </w:tcPr>
          <w:p w14:paraId="460489D9"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Edible / Inedible</w:t>
            </w:r>
          </w:p>
        </w:tc>
        <w:tc>
          <w:tcPr>
            <w:tcW w:w="1275" w:type="dxa"/>
            <w:tcBorders>
              <w:top w:val="single" w:sz="4" w:space="0" w:color="7F7F7F"/>
              <w:bottom w:val="single" w:sz="4" w:space="0" w:color="7F7F7F"/>
            </w:tcBorders>
            <w:shd w:val="clear" w:color="auto" w:fill="auto"/>
            <w:noWrap/>
            <w:vAlign w:val="center"/>
            <w:hideMark/>
          </w:tcPr>
          <w:p w14:paraId="37292612"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R, AF</w:t>
            </w:r>
          </w:p>
        </w:tc>
        <w:tc>
          <w:tcPr>
            <w:tcW w:w="2551" w:type="dxa"/>
            <w:vMerge w:val="restart"/>
            <w:tcBorders>
              <w:top w:val="single" w:sz="4" w:space="0" w:color="7F7F7F"/>
              <w:bottom w:val="single" w:sz="4" w:space="0" w:color="7F7F7F"/>
            </w:tcBorders>
            <w:shd w:val="clear" w:color="auto" w:fill="auto"/>
            <w:noWrap/>
            <w:vAlign w:val="center"/>
            <w:hideMark/>
          </w:tcPr>
          <w:p w14:paraId="40A64B05"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fldChar w:fldCharType="begin" w:fldLock="1"/>
            </w:r>
            <w:r w:rsidRPr="00C81B1E">
              <w:rPr>
                <w:rFonts w:eastAsia="Calibri"/>
                <w:szCs w:val="22"/>
                <w:lang w:val="en-GB" w:eastAsia="en-US"/>
              </w:rPr>
              <w:instrText>ADDIN CSL_CITATION {"citationItems":[{"id":"ITEM-1","itemData":{"DOI":"10.1007/s12649-016-9720-0","ISSN":"1877265X","abstract":"As much as one-third of the food intentionally grown for human consumption is never consumed and is therefore wasted, with significant environmental, social and economic ramifications. An increasing number of publications in this area currently consider different aspects of this critical issue, and generally focus on proactive approaches to reduce food waste, or reactive solutions for more efficient waste management. In this context, this paper takes a holistic approach with the aim of achieving a better understanding of the different types of food waste, and using this knowledge to support informed decisions for more sustainable management of food waste. With this aim, existing food waste categorizations are reviewed and their usefulness are analysed. A systematic methodology to identify types of food waste through a nine-stage categorization is used in conjunction with a version of the waste hierarchy applied to food products. For each type of food waste characterized, a set of waste management alternatives are suggested in order to minimize environmental impacts and maximize social and economic benefits. This decision-support process is demonstrated for two case studies from the UK food manufacturing sector. As a result, types of food waste which could be managed in a more sustainable manner are identified and recommendations are given. The applicability of the categorisation process for industrial food waste management is discussed.","author":[{"dropping-particle":"","family":"Garcia-Garcia","given":"Guillermo","non-dropping-particle":"","parse-names":false,"suffix":""},{"dropping-particle":"","family":"Woolley","given":"Elliot","non-dropping-particle":"","parse-names":false,"suffix":""},{"dropping-particle":"","family":"Rahimifard","given":"Shahin","non-dropping-particle":"","parse-names":false,"suffix":""},{"dropping-particle":"","family":"Colwill","given":"James","non-dropping-particle":"","parse-names":false,"suffix":""},{"dropping-particle":"","family":"White","given":"Rod","non-dropping-particle":"","parse-names":false,"suffix":""},{"dropping-particle":"","family":"Needham","given":"Louise","non-dropping-particle":"","parse-names":false,"suffix":""}],"container-title":"Waste and Biomass Valorization","id":"ITEM-1","issue":"6","issued":{"date-parts":[["2017"]]},"page":"2209-2227","publisher":"Springer Netherlands","title":"A methodology for sustainable management of food waste","type":"article-journal","volume":"8"},"uris":["http://www.mendeley.com/documents/?uuid=2b4e59ac-e383-4368-8c01-dbfc4bc5ff05"]}],"mendeley":{"formattedCitation":"(Garcia-Garcia et al., 2017)","manualFormatting":"Garcia-Garcia et al. (2017)","plainTextFormattedCitation":"(Garcia-Garcia et al., 2017)","previouslyFormattedCitation":"(Garcia-Garcia et al., 2017)"},"properties":{"noteIndex":0},"schema":"https://github.com/citation-style-language/schema/raw/master/csl-citation.json"}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Garcia-Garcia et al. (2017)</w:t>
            </w:r>
            <w:r w:rsidRPr="00C81B1E">
              <w:rPr>
                <w:rFonts w:eastAsia="Calibri"/>
                <w:szCs w:val="22"/>
                <w:lang w:val="en-GB" w:eastAsia="en-US"/>
              </w:rPr>
              <w:fldChar w:fldCharType="end"/>
            </w:r>
          </w:p>
        </w:tc>
      </w:tr>
      <w:tr w:rsidR="00C81B1E" w:rsidRPr="00C81B1E" w14:paraId="449115D1" w14:textId="77777777" w:rsidTr="00C81B1E">
        <w:trPr>
          <w:trHeight w:val="255"/>
        </w:trPr>
        <w:tc>
          <w:tcPr>
            <w:tcW w:w="2142" w:type="dxa"/>
            <w:shd w:val="clear" w:color="auto" w:fill="auto"/>
            <w:noWrap/>
            <w:vAlign w:val="center"/>
            <w:hideMark/>
          </w:tcPr>
          <w:p w14:paraId="6E275472"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State</w:t>
            </w:r>
          </w:p>
        </w:tc>
        <w:tc>
          <w:tcPr>
            <w:tcW w:w="3118" w:type="dxa"/>
            <w:shd w:val="clear" w:color="auto" w:fill="auto"/>
            <w:noWrap/>
            <w:vAlign w:val="center"/>
            <w:hideMark/>
          </w:tcPr>
          <w:p w14:paraId="75DF8DED"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Eatable / Not eatable / Uneatable for humans, eatable for animals</w:t>
            </w:r>
          </w:p>
        </w:tc>
        <w:tc>
          <w:tcPr>
            <w:tcW w:w="1275" w:type="dxa"/>
            <w:shd w:val="clear" w:color="auto" w:fill="auto"/>
            <w:noWrap/>
            <w:vAlign w:val="center"/>
            <w:hideMark/>
          </w:tcPr>
          <w:p w14:paraId="1C54A853"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R, AF</w:t>
            </w:r>
          </w:p>
        </w:tc>
        <w:tc>
          <w:tcPr>
            <w:tcW w:w="2551" w:type="dxa"/>
            <w:vMerge/>
            <w:shd w:val="clear" w:color="auto" w:fill="auto"/>
            <w:noWrap/>
            <w:vAlign w:val="center"/>
          </w:tcPr>
          <w:p w14:paraId="76CA28ED" w14:textId="77777777" w:rsidR="00C7764C" w:rsidRPr="00C81B1E" w:rsidRDefault="00C7764C" w:rsidP="00C7764C">
            <w:pPr>
              <w:pStyle w:val="MDPI42tablebody"/>
              <w:rPr>
                <w:rFonts w:eastAsia="Calibri"/>
                <w:szCs w:val="22"/>
                <w:lang w:val="en-GB" w:eastAsia="en-US"/>
              </w:rPr>
            </w:pPr>
          </w:p>
        </w:tc>
      </w:tr>
      <w:tr w:rsidR="00C81B1E" w:rsidRPr="00C81B1E" w14:paraId="3DFFC425" w14:textId="77777777" w:rsidTr="00C81B1E">
        <w:trPr>
          <w:trHeight w:val="255"/>
        </w:trPr>
        <w:tc>
          <w:tcPr>
            <w:tcW w:w="2142" w:type="dxa"/>
            <w:tcBorders>
              <w:top w:val="single" w:sz="4" w:space="0" w:color="7F7F7F"/>
              <w:bottom w:val="single" w:sz="4" w:space="0" w:color="7F7F7F"/>
            </w:tcBorders>
            <w:shd w:val="clear" w:color="auto" w:fill="auto"/>
            <w:noWrap/>
            <w:vAlign w:val="center"/>
            <w:hideMark/>
          </w:tcPr>
          <w:p w14:paraId="0CFEC760"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lastRenderedPageBreak/>
              <w:t>Origin</w:t>
            </w:r>
          </w:p>
        </w:tc>
        <w:tc>
          <w:tcPr>
            <w:tcW w:w="3118" w:type="dxa"/>
            <w:tcBorders>
              <w:top w:val="single" w:sz="4" w:space="0" w:color="7F7F7F"/>
              <w:bottom w:val="single" w:sz="4" w:space="0" w:color="7F7F7F"/>
            </w:tcBorders>
            <w:shd w:val="clear" w:color="auto" w:fill="auto"/>
            <w:noWrap/>
            <w:vAlign w:val="center"/>
            <w:hideMark/>
          </w:tcPr>
          <w:p w14:paraId="25335630"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Animal based / Plant based</w:t>
            </w:r>
          </w:p>
        </w:tc>
        <w:tc>
          <w:tcPr>
            <w:tcW w:w="1275" w:type="dxa"/>
            <w:tcBorders>
              <w:top w:val="single" w:sz="4" w:space="0" w:color="7F7F7F"/>
              <w:bottom w:val="single" w:sz="4" w:space="0" w:color="7F7F7F"/>
            </w:tcBorders>
            <w:shd w:val="clear" w:color="auto" w:fill="auto"/>
            <w:noWrap/>
            <w:vAlign w:val="center"/>
            <w:hideMark/>
          </w:tcPr>
          <w:p w14:paraId="3D7E3EA3"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AF, AD, C</w:t>
            </w:r>
          </w:p>
        </w:tc>
        <w:tc>
          <w:tcPr>
            <w:tcW w:w="2551" w:type="dxa"/>
            <w:vMerge/>
            <w:tcBorders>
              <w:top w:val="single" w:sz="4" w:space="0" w:color="7F7F7F"/>
              <w:bottom w:val="single" w:sz="4" w:space="0" w:color="7F7F7F"/>
            </w:tcBorders>
            <w:shd w:val="clear" w:color="auto" w:fill="auto"/>
            <w:noWrap/>
            <w:vAlign w:val="center"/>
          </w:tcPr>
          <w:p w14:paraId="2F35CCD5" w14:textId="77777777" w:rsidR="00C7764C" w:rsidRPr="00C81B1E" w:rsidRDefault="00C7764C" w:rsidP="00C7764C">
            <w:pPr>
              <w:pStyle w:val="MDPI42tablebody"/>
              <w:rPr>
                <w:rFonts w:eastAsia="Calibri"/>
                <w:szCs w:val="22"/>
                <w:lang w:val="en-GB" w:eastAsia="en-US"/>
              </w:rPr>
            </w:pPr>
          </w:p>
        </w:tc>
      </w:tr>
      <w:tr w:rsidR="00C81B1E" w:rsidRPr="00C81B1E" w14:paraId="3DB72E26" w14:textId="77777777" w:rsidTr="00C81B1E">
        <w:trPr>
          <w:trHeight w:val="255"/>
        </w:trPr>
        <w:tc>
          <w:tcPr>
            <w:tcW w:w="2142" w:type="dxa"/>
            <w:shd w:val="clear" w:color="auto" w:fill="auto"/>
            <w:noWrap/>
            <w:vAlign w:val="center"/>
            <w:hideMark/>
          </w:tcPr>
          <w:p w14:paraId="1814A532"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Complexity</w:t>
            </w:r>
          </w:p>
        </w:tc>
        <w:tc>
          <w:tcPr>
            <w:tcW w:w="3118" w:type="dxa"/>
            <w:shd w:val="clear" w:color="auto" w:fill="auto"/>
            <w:noWrap/>
            <w:vAlign w:val="center"/>
            <w:hideMark/>
          </w:tcPr>
          <w:p w14:paraId="6B123C43"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Single / Mixed</w:t>
            </w:r>
          </w:p>
        </w:tc>
        <w:tc>
          <w:tcPr>
            <w:tcW w:w="1275" w:type="dxa"/>
            <w:shd w:val="clear" w:color="auto" w:fill="auto"/>
            <w:noWrap/>
            <w:vAlign w:val="center"/>
            <w:hideMark/>
          </w:tcPr>
          <w:p w14:paraId="359ED305"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AF, AD, C</w:t>
            </w:r>
          </w:p>
        </w:tc>
        <w:tc>
          <w:tcPr>
            <w:tcW w:w="2551" w:type="dxa"/>
            <w:vMerge/>
            <w:shd w:val="clear" w:color="auto" w:fill="auto"/>
            <w:noWrap/>
            <w:vAlign w:val="center"/>
          </w:tcPr>
          <w:p w14:paraId="29124A3F" w14:textId="77777777" w:rsidR="00C7764C" w:rsidRPr="00C81B1E" w:rsidRDefault="00C7764C" w:rsidP="00C7764C">
            <w:pPr>
              <w:pStyle w:val="MDPI42tablebody"/>
              <w:rPr>
                <w:rFonts w:eastAsia="Calibri"/>
                <w:szCs w:val="22"/>
                <w:lang w:val="en-GB" w:eastAsia="en-US"/>
              </w:rPr>
            </w:pPr>
          </w:p>
        </w:tc>
      </w:tr>
      <w:tr w:rsidR="00C81B1E" w:rsidRPr="00C81B1E" w14:paraId="04CBEC93" w14:textId="77777777" w:rsidTr="00C81B1E">
        <w:trPr>
          <w:trHeight w:val="255"/>
        </w:trPr>
        <w:tc>
          <w:tcPr>
            <w:tcW w:w="2142" w:type="dxa"/>
            <w:tcBorders>
              <w:top w:val="single" w:sz="4" w:space="0" w:color="7F7F7F"/>
              <w:bottom w:val="single" w:sz="4" w:space="0" w:color="7F7F7F"/>
            </w:tcBorders>
            <w:shd w:val="clear" w:color="auto" w:fill="auto"/>
            <w:noWrap/>
            <w:vAlign w:val="center"/>
            <w:hideMark/>
          </w:tcPr>
          <w:p w14:paraId="37724AC9"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Animal-material presence</w:t>
            </w:r>
          </w:p>
        </w:tc>
        <w:tc>
          <w:tcPr>
            <w:tcW w:w="3118" w:type="dxa"/>
            <w:tcBorders>
              <w:top w:val="single" w:sz="4" w:space="0" w:color="7F7F7F"/>
              <w:bottom w:val="single" w:sz="4" w:space="0" w:color="7F7F7F"/>
            </w:tcBorders>
            <w:shd w:val="clear" w:color="auto" w:fill="auto"/>
            <w:noWrap/>
            <w:vAlign w:val="center"/>
            <w:hideMark/>
          </w:tcPr>
          <w:p w14:paraId="36ABD8D6"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Meat / Animal product / By-product from animal bodies / In contact with ABP / Not in contact with ABP</w:t>
            </w:r>
          </w:p>
        </w:tc>
        <w:tc>
          <w:tcPr>
            <w:tcW w:w="1275" w:type="dxa"/>
            <w:tcBorders>
              <w:top w:val="single" w:sz="4" w:space="0" w:color="7F7F7F"/>
              <w:bottom w:val="single" w:sz="4" w:space="0" w:color="7F7F7F"/>
            </w:tcBorders>
            <w:shd w:val="clear" w:color="auto" w:fill="auto"/>
            <w:noWrap/>
            <w:vAlign w:val="center"/>
            <w:hideMark/>
          </w:tcPr>
          <w:p w14:paraId="79AA5F15"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AF, AD, C</w:t>
            </w:r>
          </w:p>
        </w:tc>
        <w:tc>
          <w:tcPr>
            <w:tcW w:w="2551" w:type="dxa"/>
            <w:vMerge/>
            <w:tcBorders>
              <w:top w:val="single" w:sz="4" w:space="0" w:color="7F7F7F"/>
              <w:bottom w:val="single" w:sz="4" w:space="0" w:color="7F7F7F"/>
            </w:tcBorders>
            <w:shd w:val="clear" w:color="auto" w:fill="auto"/>
            <w:noWrap/>
            <w:vAlign w:val="center"/>
          </w:tcPr>
          <w:p w14:paraId="180EA490" w14:textId="77777777" w:rsidR="00C7764C" w:rsidRPr="00C81B1E" w:rsidRDefault="00C7764C" w:rsidP="00C7764C">
            <w:pPr>
              <w:pStyle w:val="MDPI42tablebody"/>
              <w:rPr>
                <w:rFonts w:eastAsia="Calibri"/>
                <w:szCs w:val="22"/>
                <w:lang w:val="en-GB" w:eastAsia="en-US"/>
              </w:rPr>
            </w:pPr>
          </w:p>
        </w:tc>
      </w:tr>
      <w:tr w:rsidR="00C81B1E" w:rsidRPr="00C81B1E" w14:paraId="0A45520F" w14:textId="77777777" w:rsidTr="00C81B1E">
        <w:trPr>
          <w:trHeight w:val="255"/>
        </w:trPr>
        <w:tc>
          <w:tcPr>
            <w:tcW w:w="2142" w:type="dxa"/>
            <w:shd w:val="clear" w:color="auto" w:fill="auto"/>
            <w:noWrap/>
            <w:vAlign w:val="center"/>
            <w:hideMark/>
          </w:tcPr>
          <w:p w14:paraId="1E3F8917"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Treatment</w:t>
            </w:r>
          </w:p>
        </w:tc>
        <w:tc>
          <w:tcPr>
            <w:tcW w:w="3118" w:type="dxa"/>
            <w:shd w:val="clear" w:color="auto" w:fill="auto"/>
            <w:noWrap/>
            <w:vAlign w:val="center"/>
            <w:hideMark/>
          </w:tcPr>
          <w:p w14:paraId="067AE7FD"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Processed / Unprocessed</w:t>
            </w:r>
          </w:p>
        </w:tc>
        <w:tc>
          <w:tcPr>
            <w:tcW w:w="1275" w:type="dxa"/>
            <w:shd w:val="clear" w:color="auto" w:fill="auto"/>
            <w:noWrap/>
            <w:vAlign w:val="center"/>
            <w:hideMark/>
          </w:tcPr>
          <w:p w14:paraId="342283F7"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R</w:t>
            </w:r>
          </w:p>
        </w:tc>
        <w:tc>
          <w:tcPr>
            <w:tcW w:w="2551" w:type="dxa"/>
            <w:vMerge/>
            <w:shd w:val="clear" w:color="auto" w:fill="auto"/>
            <w:noWrap/>
            <w:vAlign w:val="center"/>
          </w:tcPr>
          <w:p w14:paraId="2B2D7745" w14:textId="77777777" w:rsidR="00C7764C" w:rsidRPr="00C81B1E" w:rsidRDefault="00C7764C" w:rsidP="00C7764C">
            <w:pPr>
              <w:pStyle w:val="MDPI42tablebody"/>
              <w:rPr>
                <w:rFonts w:eastAsia="Calibri"/>
                <w:szCs w:val="22"/>
                <w:lang w:val="en-GB" w:eastAsia="en-US"/>
              </w:rPr>
            </w:pPr>
          </w:p>
        </w:tc>
      </w:tr>
      <w:tr w:rsidR="00C81B1E" w:rsidRPr="00C81B1E" w14:paraId="08BF1011" w14:textId="77777777" w:rsidTr="00C81B1E">
        <w:trPr>
          <w:trHeight w:val="255"/>
        </w:trPr>
        <w:tc>
          <w:tcPr>
            <w:tcW w:w="2142" w:type="dxa"/>
            <w:tcBorders>
              <w:top w:val="single" w:sz="4" w:space="0" w:color="7F7F7F"/>
              <w:bottom w:val="single" w:sz="4" w:space="0" w:color="7F7F7F"/>
            </w:tcBorders>
            <w:shd w:val="clear" w:color="auto" w:fill="auto"/>
            <w:noWrap/>
            <w:vAlign w:val="center"/>
            <w:hideMark/>
          </w:tcPr>
          <w:p w14:paraId="2069C193"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Packaging</w:t>
            </w:r>
          </w:p>
        </w:tc>
        <w:tc>
          <w:tcPr>
            <w:tcW w:w="3118" w:type="dxa"/>
            <w:tcBorders>
              <w:top w:val="single" w:sz="4" w:space="0" w:color="7F7F7F"/>
              <w:bottom w:val="single" w:sz="4" w:space="0" w:color="7F7F7F"/>
            </w:tcBorders>
            <w:shd w:val="clear" w:color="auto" w:fill="auto"/>
            <w:noWrap/>
            <w:vAlign w:val="center"/>
            <w:hideMark/>
          </w:tcPr>
          <w:p w14:paraId="1433D9C1"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Packaged / Unpackaged/separable from packaging</w:t>
            </w:r>
          </w:p>
        </w:tc>
        <w:tc>
          <w:tcPr>
            <w:tcW w:w="1275" w:type="dxa"/>
            <w:tcBorders>
              <w:top w:val="single" w:sz="4" w:space="0" w:color="7F7F7F"/>
              <w:bottom w:val="single" w:sz="4" w:space="0" w:color="7F7F7F"/>
            </w:tcBorders>
            <w:shd w:val="clear" w:color="auto" w:fill="auto"/>
            <w:noWrap/>
            <w:vAlign w:val="center"/>
            <w:hideMark/>
          </w:tcPr>
          <w:p w14:paraId="2435812E"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AF, AD, C</w:t>
            </w:r>
          </w:p>
        </w:tc>
        <w:tc>
          <w:tcPr>
            <w:tcW w:w="2551" w:type="dxa"/>
            <w:vMerge/>
            <w:tcBorders>
              <w:top w:val="single" w:sz="4" w:space="0" w:color="7F7F7F"/>
              <w:bottom w:val="single" w:sz="4" w:space="0" w:color="7F7F7F"/>
            </w:tcBorders>
            <w:shd w:val="clear" w:color="auto" w:fill="auto"/>
            <w:noWrap/>
            <w:vAlign w:val="center"/>
          </w:tcPr>
          <w:p w14:paraId="33A980CD" w14:textId="77777777" w:rsidR="00C7764C" w:rsidRPr="00C81B1E" w:rsidRDefault="00C7764C" w:rsidP="00C7764C">
            <w:pPr>
              <w:pStyle w:val="MDPI42tablebody"/>
              <w:rPr>
                <w:rFonts w:eastAsia="Calibri"/>
                <w:szCs w:val="22"/>
                <w:lang w:val="en-GB" w:eastAsia="en-US"/>
              </w:rPr>
            </w:pPr>
          </w:p>
        </w:tc>
      </w:tr>
      <w:tr w:rsidR="00C81B1E" w:rsidRPr="00C81B1E" w14:paraId="0E16D1E1" w14:textId="77777777" w:rsidTr="00C81B1E">
        <w:trPr>
          <w:trHeight w:val="255"/>
        </w:trPr>
        <w:tc>
          <w:tcPr>
            <w:tcW w:w="2142" w:type="dxa"/>
            <w:shd w:val="clear" w:color="auto" w:fill="auto"/>
            <w:noWrap/>
            <w:vAlign w:val="center"/>
            <w:hideMark/>
          </w:tcPr>
          <w:p w14:paraId="24D81C9E"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Packaging biodegradability</w:t>
            </w:r>
          </w:p>
        </w:tc>
        <w:tc>
          <w:tcPr>
            <w:tcW w:w="3118" w:type="dxa"/>
            <w:shd w:val="clear" w:color="auto" w:fill="auto"/>
            <w:noWrap/>
            <w:vAlign w:val="center"/>
            <w:hideMark/>
          </w:tcPr>
          <w:p w14:paraId="11CE94F8"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Biodegradable package / Non-biodegradable package</w:t>
            </w:r>
          </w:p>
        </w:tc>
        <w:tc>
          <w:tcPr>
            <w:tcW w:w="1275" w:type="dxa"/>
            <w:shd w:val="clear" w:color="auto" w:fill="auto"/>
            <w:noWrap/>
            <w:vAlign w:val="center"/>
            <w:hideMark/>
          </w:tcPr>
          <w:p w14:paraId="3D35B115"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AD, C</w:t>
            </w:r>
          </w:p>
        </w:tc>
        <w:tc>
          <w:tcPr>
            <w:tcW w:w="2551" w:type="dxa"/>
            <w:vMerge/>
            <w:shd w:val="clear" w:color="auto" w:fill="auto"/>
            <w:noWrap/>
            <w:vAlign w:val="center"/>
          </w:tcPr>
          <w:p w14:paraId="4FD734F1" w14:textId="77777777" w:rsidR="00C7764C" w:rsidRPr="00C81B1E" w:rsidRDefault="00C7764C" w:rsidP="00C7764C">
            <w:pPr>
              <w:pStyle w:val="MDPI42tablebody"/>
              <w:rPr>
                <w:rFonts w:eastAsia="Calibri"/>
                <w:szCs w:val="22"/>
                <w:lang w:val="en-GB" w:eastAsia="en-US"/>
              </w:rPr>
            </w:pPr>
          </w:p>
        </w:tc>
      </w:tr>
      <w:tr w:rsidR="00C81B1E" w:rsidRPr="00C81B1E" w14:paraId="48DF4F77" w14:textId="77777777" w:rsidTr="00C81B1E">
        <w:trPr>
          <w:trHeight w:val="255"/>
        </w:trPr>
        <w:tc>
          <w:tcPr>
            <w:tcW w:w="2142" w:type="dxa"/>
            <w:tcBorders>
              <w:top w:val="single" w:sz="4" w:space="0" w:color="7F7F7F"/>
              <w:bottom w:val="single" w:sz="4" w:space="0" w:color="7F7F7F"/>
            </w:tcBorders>
            <w:shd w:val="clear" w:color="auto" w:fill="auto"/>
            <w:noWrap/>
            <w:vAlign w:val="center"/>
            <w:hideMark/>
          </w:tcPr>
          <w:p w14:paraId="1C7E4D6D" w14:textId="77777777" w:rsidR="00C7764C" w:rsidRPr="00C81B1E" w:rsidRDefault="00C7764C" w:rsidP="00C7764C">
            <w:pPr>
              <w:pStyle w:val="MDPI42tablebody"/>
              <w:rPr>
                <w:rFonts w:eastAsia="Calibri"/>
                <w:b/>
                <w:bCs/>
                <w:szCs w:val="22"/>
                <w:lang w:val="en-GB" w:eastAsia="en-US"/>
              </w:rPr>
            </w:pPr>
            <w:r w:rsidRPr="00C81B1E">
              <w:rPr>
                <w:rFonts w:eastAsia="Calibri"/>
                <w:b/>
                <w:bCs/>
                <w:szCs w:val="22"/>
                <w:lang w:val="en-GB" w:eastAsia="en-US"/>
              </w:rPr>
              <w:t>Stage of the supply chain</w:t>
            </w:r>
          </w:p>
        </w:tc>
        <w:tc>
          <w:tcPr>
            <w:tcW w:w="3118" w:type="dxa"/>
            <w:tcBorders>
              <w:top w:val="single" w:sz="4" w:space="0" w:color="7F7F7F"/>
              <w:bottom w:val="single" w:sz="4" w:space="0" w:color="7F7F7F"/>
            </w:tcBorders>
            <w:shd w:val="clear" w:color="auto" w:fill="auto"/>
            <w:noWrap/>
            <w:vAlign w:val="center"/>
            <w:hideMark/>
          </w:tcPr>
          <w:p w14:paraId="346D1A47"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Catering waste / Non-catering waste</w:t>
            </w:r>
          </w:p>
        </w:tc>
        <w:tc>
          <w:tcPr>
            <w:tcW w:w="1275" w:type="dxa"/>
            <w:tcBorders>
              <w:top w:val="single" w:sz="4" w:space="0" w:color="7F7F7F"/>
              <w:bottom w:val="single" w:sz="4" w:space="0" w:color="7F7F7F"/>
            </w:tcBorders>
            <w:shd w:val="clear" w:color="auto" w:fill="auto"/>
            <w:noWrap/>
            <w:vAlign w:val="center"/>
            <w:hideMark/>
          </w:tcPr>
          <w:p w14:paraId="5895DACD" w14:textId="77777777" w:rsidR="00C7764C" w:rsidRPr="00C81B1E" w:rsidRDefault="00C7764C" w:rsidP="00C7764C">
            <w:pPr>
              <w:pStyle w:val="MDPI42tablebody"/>
              <w:rPr>
                <w:rFonts w:eastAsia="Calibri"/>
                <w:szCs w:val="22"/>
                <w:lang w:val="en-GB" w:eastAsia="en-US"/>
              </w:rPr>
            </w:pPr>
            <w:r w:rsidRPr="00C81B1E">
              <w:rPr>
                <w:rFonts w:eastAsia="Calibri"/>
                <w:szCs w:val="22"/>
                <w:lang w:val="en-GB" w:eastAsia="en-US"/>
              </w:rPr>
              <w:t>AF</w:t>
            </w:r>
          </w:p>
        </w:tc>
        <w:tc>
          <w:tcPr>
            <w:tcW w:w="2551" w:type="dxa"/>
            <w:vMerge/>
            <w:tcBorders>
              <w:top w:val="single" w:sz="4" w:space="0" w:color="7F7F7F"/>
              <w:bottom w:val="single" w:sz="4" w:space="0" w:color="7F7F7F"/>
            </w:tcBorders>
            <w:shd w:val="clear" w:color="auto" w:fill="auto"/>
            <w:noWrap/>
            <w:vAlign w:val="center"/>
          </w:tcPr>
          <w:p w14:paraId="07F7CF7B" w14:textId="77777777" w:rsidR="00C7764C" w:rsidRPr="00C81B1E" w:rsidRDefault="00C7764C" w:rsidP="00C7764C">
            <w:pPr>
              <w:pStyle w:val="MDPI42tablebody"/>
              <w:rPr>
                <w:rFonts w:eastAsia="Calibri"/>
                <w:szCs w:val="22"/>
                <w:lang w:val="en-GB" w:eastAsia="en-US"/>
              </w:rPr>
            </w:pPr>
          </w:p>
        </w:tc>
      </w:tr>
    </w:tbl>
    <w:p w14:paraId="39F86165" w14:textId="77777777" w:rsidR="00C7764C" w:rsidRPr="00C7764C" w:rsidRDefault="00C7764C" w:rsidP="00C7764C">
      <w:pPr>
        <w:spacing w:after="160" w:line="259" w:lineRule="auto"/>
        <w:rPr>
          <w:rFonts w:eastAsia="Calibri"/>
          <w:color w:val="auto"/>
          <w:sz w:val="16"/>
          <w:szCs w:val="16"/>
          <w:lang w:val="en-GB" w:eastAsia="en-US"/>
        </w:rPr>
      </w:pPr>
    </w:p>
    <w:p w14:paraId="5F351DFD" w14:textId="77777777" w:rsidR="00C7764C" w:rsidRPr="00C7764C" w:rsidRDefault="00C7764C" w:rsidP="00BA2E09">
      <w:pPr>
        <w:pStyle w:val="MDPI41tablecaption"/>
        <w:rPr>
          <w:rFonts w:eastAsia="Calibri"/>
          <w:lang w:val="en-GB" w:eastAsia="en-US"/>
        </w:rPr>
      </w:pPr>
      <w:r w:rsidRPr="00C7764C">
        <w:rPr>
          <w:rFonts w:eastAsia="Calibri"/>
          <w:b/>
          <w:lang w:val="en-GB" w:eastAsia="en-US"/>
        </w:rPr>
        <w:t xml:space="preserve">Table </w:t>
      </w:r>
      <w:r w:rsidRPr="00C7764C">
        <w:rPr>
          <w:rFonts w:eastAsia="Calibri"/>
          <w:b/>
          <w:lang w:val="en-GB" w:eastAsia="en-US"/>
        </w:rPr>
        <w:fldChar w:fldCharType="begin"/>
      </w:r>
      <w:r w:rsidRPr="00C7764C">
        <w:rPr>
          <w:rFonts w:eastAsia="Calibri"/>
          <w:b/>
          <w:lang w:val="en-GB" w:eastAsia="en-US"/>
        </w:rPr>
        <w:instrText xml:space="preserve"> SEQ Table \* ARABIC </w:instrText>
      </w:r>
      <w:r w:rsidRPr="00C7764C">
        <w:rPr>
          <w:rFonts w:eastAsia="Calibri"/>
          <w:b/>
          <w:lang w:val="en-GB" w:eastAsia="en-US"/>
        </w:rPr>
        <w:fldChar w:fldCharType="separate"/>
      </w:r>
      <w:r w:rsidRPr="00C7764C">
        <w:rPr>
          <w:rFonts w:eastAsia="Calibri"/>
          <w:b/>
          <w:noProof/>
          <w:lang w:val="en-GB" w:eastAsia="en-US"/>
        </w:rPr>
        <w:t>2</w:t>
      </w:r>
      <w:r w:rsidRPr="00C7764C">
        <w:rPr>
          <w:rFonts w:eastAsia="Calibri"/>
          <w:b/>
          <w:lang w:val="en-GB" w:eastAsia="en-US"/>
        </w:rPr>
        <w:fldChar w:fldCharType="end"/>
      </w:r>
      <w:r w:rsidRPr="00C7764C">
        <w:rPr>
          <w:rFonts w:eastAsia="Calibri"/>
          <w:lang w:val="en-GB" w:eastAsia="en-US"/>
        </w:rPr>
        <w:t>. Quantitative primary FW parameters</w:t>
      </w:r>
    </w:p>
    <w:tbl>
      <w:tblPr>
        <w:tblW w:w="9112" w:type="dxa"/>
        <w:tblBorders>
          <w:top w:val="single" w:sz="4" w:space="0" w:color="7F7F7F"/>
          <w:bottom w:val="single" w:sz="4" w:space="0" w:color="7F7F7F"/>
        </w:tblBorders>
        <w:tblLook w:val="04A0" w:firstRow="1" w:lastRow="0" w:firstColumn="1" w:lastColumn="0" w:noHBand="0" w:noVBand="1"/>
      </w:tblPr>
      <w:tblGrid>
        <w:gridCol w:w="2235"/>
        <w:gridCol w:w="1066"/>
        <w:gridCol w:w="1134"/>
        <w:gridCol w:w="4677"/>
      </w:tblGrid>
      <w:tr w:rsidR="00C81B1E" w:rsidRPr="00C81B1E" w14:paraId="0906B294" w14:textId="77777777" w:rsidTr="00C81B1E">
        <w:trPr>
          <w:trHeight w:val="285"/>
        </w:trPr>
        <w:tc>
          <w:tcPr>
            <w:tcW w:w="2235" w:type="dxa"/>
            <w:tcBorders>
              <w:bottom w:val="single" w:sz="4" w:space="0" w:color="7F7F7F"/>
            </w:tcBorders>
            <w:shd w:val="clear" w:color="auto" w:fill="auto"/>
            <w:noWrap/>
            <w:vAlign w:val="center"/>
          </w:tcPr>
          <w:p w14:paraId="13CC6421"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Parameter</w:t>
            </w:r>
          </w:p>
        </w:tc>
        <w:tc>
          <w:tcPr>
            <w:tcW w:w="1066" w:type="dxa"/>
            <w:tcBorders>
              <w:bottom w:val="single" w:sz="4" w:space="0" w:color="7F7F7F"/>
            </w:tcBorders>
            <w:shd w:val="clear" w:color="auto" w:fill="auto"/>
            <w:noWrap/>
            <w:vAlign w:val="center"/>
          </w:tcPr>
          <w:p w14:paraId="232A0B1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Example or unit</w:t>
            </w:r>
          </w:p>
        </w:tc>
        <w:tc>
          <w:tcPr>
            <w:tcW w:w="1134" w:type="dxa"/>
            <w:tcBorders>
              <w:bottom w:val="single" w:sz="4" w:space="0" w:color="7F7F7F"/>
            </w:tcBorders>
            <w:shd w:val="clear" w:color="auto" w:fill="auto"/>
            <w:noWrap/>
            <w:vAlign w:val="center"/>
          </w:tcPr>
          <w:p w14:paraId="1EF79D8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FWMS</w:t>
            </w:r>
          </w:p>
        </w:tc>
        <w:tc>
          <w:tcPr>
            <w:tcW w:w="4677" w:type="dxa"/>
            <w:tcBorders>
              <w:bottom w:val="single" w:sz="4" w:space="0" w:color="7F7F7F"/>
            </w:tcBorders>
            <w:shd w:val="clear" w:color="auto" w:fill="auto"/>
            <w:noWrap/>
            <w:vAlign w:val="center"/>
          </w:tcPr>
          <w:p w14:paraId="1C627A9E"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Reference</w:t>
            </w:r>
          </w:p>
        </w:tc>
      </w:tr>
      <w:tr w:rsidR="00C81B1E" w:rsidRPr="00C81B1E" w14:paraId="769302C0" w14:textId="77777777" w:rsidTr="00C81B1E">
        <w:trPr>
          <w:trHeight w:val="285"/>
        </w:trPr>
        <w:tc>
          <w:tcPr>
            <w:tcW w:w="2235" w:type="dxa"/>
            <w:tcBorders>
              <w:top w:val="single" w:sz="4" w:space="0" w:color="7F7F7F"/>
              <w:bottom w:val="single" w:sz="4" w:space="0" w:color="7F7F7F"/>
            </w:tcBorders>
            <w:shd w:val="clear" w:color="auto" w:fill="auto"/>
            <w:noWrap/>
            <w:vAlign w:val="center"/>
            <w:hideMark/>
          </w:tcPr>
          <w:p w14:paraId="60FD8D9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Production or flow rate</w:t>
            </w:r>
          </w:p>
        </w:tc>
        <w:tc>
          <w:tcPr>
            <w:tcW w:w="1066" w:type="dxa"/>
            <w:tcBorders>
              <w:top w:val="single" w:sz="4" w:space="0" w:color="7F7F7F"/>
              <w:bottom w:val="single" w:sz="4" w:space="0" w:color="7F7F7F"/>
            </w:tcBorders>
            <w:shd w:val="clear" w:color="auto" w:fill="auto"/>
            <w:noWrap/>
            <w:vAlign w:val="center"/>
            <w:hideMark/>
          </w:tcPr>
          <w:p w14:paraId="7A2CB72F" w14:textId="77777777" w:rsidR="00C7764C" w:rsidRPr="00C81B1E" w:rsidRDefault="00C7764C" w:rsidP="00C81B1E">
            <w:pPr>
              <w:pStyle w:val="MDPI42tablebody"/>
              <w:rPr>
                <w:rFonts w:eastAsia="Calibri"/>
                <w:lang w:val="en-GB" w:eastAsia="en-US"/>
              </w:rPr>
            </w:pPr>
            <w:r w:rsidRPr="00C81B1E">
              <w:rPr>
                <w:rFonts w:eastAsia="Calibri"/>
                <w:lang w:val="en-GB" w:eastAsia="en-US"/>
              </w:rPr>
              <w:t>kg or m</w:t>
            </w:r>
            <w:r w:rsidRPr="00C81B1E">
              <w:rPr>
                <w:rFonts w:eastAsia="Calibri"/>
                <w:vertAlign w:val="superscript"/>
                <w:lang w:val="en-GB" w:eastAsia="en-US"/>
              </w:rPr>
              <w:t>3</w:t>
            </w:r>
            <w:r w:rsidRPr="00C81B1E">
              <w:rPr>
                <w:rFonts w:eastAsia="Calibri"/>
                <w:lang w:val="en-GB" w:eastAsia="en-US"/>
              </w:rPr>
              <w:t xml:space="preserve"> / day</w:t>
            </w:r>
          </w:p>
        </w:tc>
        <w:tc>
          <w:tcPr>
            <w:tcW w:w="1134" w:type="dxa"/>
            <w:tcBorders>
              <w:top w:val="single" w:sz="4" w:space="0" w:color="7F7F7F"/>
              <w:bottom w:val="single" w:sz="4" w:space="0" w:color="7F7F7F"/>
            </w:tcBorders>
            <w:shd w:val="clear" w:color="auto" w:fill="auto"/>
            <w:noWrap/>
            <w:vAlign w:val="center"/>
            <w:hideMark/>
          </w:tcPr>
          <w:p w14:paraId="207C792B" w14:textId="77777777" w:rsidR="00C7764C" w:rsidRPr="00C81B1E" w:rsidRDefault="00C7764C" w:rsidP="00C81B1E">
            <w:pPr>
              <w:pStyle w:val="MDPI42tablebody"/>
              <w:rPr>
                <w:rFonts w:eastAsia="Calibri"/>
                <w:lang w:val="en-GB" w:eastAsia="en-US"/>
              </w:rPr>
            </w:pPr>
            <w:r w:rsidRPr="00C81B1E">
              <w:rPr>
                <w:rFonts w:eastAsia="Calibri"/>
                <w:lang w:val="en-GB" w:eastAsia="en-US"/>
              </w:rPr>
              <w:t>R, AF, AD, C, TT</w:t>
            </w:r>
          </w:p>
        </w:tc>
        <w:tc>
          <w:tcPr>
            <w:tcW w:w="4677" w:type="dxa"/>
            <w:tcBorders>
              <w:top w:val="single" w:sz="4" w:space="0" w:color="7F7F7F"/>
              <w:bottom w:val="single" w:sz="4" w:space="0" w:color="7F7F7F"/>
            </w:tcBorders>
            <w:shd w:val="clear" w:color="auto" w:fill="auto"/>
            <w:noWrap/>
            <w:vAlign w:val="center"/>
            <w:hideMark/>
          </w:tcPr>
          <w:p w14:paraId="62411A18"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R: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{"citationItems":[{"id":"ITEM-1","itemData":{"author":[{"dropping-particle":"","family":"The Commission of the European Communities","given":"","non-dropping-particle":"","parse-names":false,"suffix":""}],"container-title":"Official Journal of the European Communities","id":"ITEM-1","issued":{"date-parts":[["2005"]]},"page":"1-26","title":"Commission Regulation (EC) No. 2073/2005 of 15 November 2005 on microbiological criteria for foodstuffs","type":"article-journal","volume":"L 338"},"uris":["http://www.mendeley.com/documents/?uuid=5cb0e148-0014-4bf5-b43b-68cacdbd211b"]}],"mendeley":{"formattedCitation":"(The Commission of the European Communities, 2005)","manualFormatting":"The Commission of the European Communities (2005)","plainTextFormattedCitation":"(The Commission of the European Communities, 2005)","previouslyFormattedCitation":"(The Commission of the European Communities, 2005)"},"properties":{"noteIndex":0},"schema":"https://github.com/citation-style-language/schema/raw/master/csl-citation.json"}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The Commission of the European Communities (2005)</w:t>
            </w:r>
            <w:r w:rsidRPr="00C81B1E">
              <w:rPr>
                <w:rFonts w:eastAsia="Calibri"/>
                <w:lang w:val="en-GB" w:eastAsia="en-US"/>
              </w:rPr>
              <w:fldChar w:fldCharType="end"/>
            </w:r>
            <w:r w:rsidRPr="00C81B1E">
              <w:rPr>
                <w:rFonts w:eastAsia="Calibri"/>
                <w:lang w:val="en-GB" w:eastAsia="en-US"/>
              </w:rPr>
              <w:t xml:space="preserve">, AF: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{"citationItems":[{"id":"ITEM-1","itemData":{"author":[{"dropping-particle":"","family":"European Commission","given":"","non-dropping-particle":"","parse-names":false,"suffix":""}],"container-title":"Official Journal of the European Union","id":"ITEM-1","issue":"February","issued":{"date-parts":[["2005"]]},"page":"L 35/1-22","title":"Regulation (EC) No 183/2005 of the European Parliament and of the Council of 12 January 2005 laying down requirements for feed hygiene. (Text with EEA relevance)","type":"article-journal"},"uris":["http://www.mendeley.com/documents/?uuid=19fa3b35-86c2-4f70-8b87-8ef1413dcac7"]}],"mendeley":{"formattedCitation":"(European Commission, 2005)","manualFormatting":"European Commission 2005b)","plainTextFormattedCitation":"(European Commission, 2005)","previouslyFormattedCitation":"(European Commission, 2005)"},"properties":{"noteIndex":0},"schema":"https://github.com/citation-style-language/schema/raw/master/csl-citation.json"}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2005b)</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{"citationItems":[{"id":"ITEM-1","itemData":{"DOI":"10.1016/j.wasman.2014.02.003","ISBN":"1879-2456 (Electronic)\\r0956-053X (Linking)","ISSN":"18792456","PMID":"24630214","abstract":"Human activities inevitably result in wastes. The higher the material turnover, and the more complex and divers the materials produced, the more challenging it is for waste management to reach the goals of \"protection of men and environment\" and \"resource conservation\". Waste incineration, introduced originally for volume reduction and hygienic reasons, went through a long and intense development. Together with prevention and recycling measures, waste to energy (WTE) facilities contribute significantly to reaching the goals of waste management. Sophisticated air pollution control (APC) devices ensure that emissions are environmentally safe. Incinerators are crucial and unique for the complete destruction of hazardous organic materials, to reduce risks due to pathogenic microorganisms and viruses, and for concentrating valuable as well as toxic metals in certain fractions. Bottom ash and APC residues have become new sources of secondary metals, hence incineration has become a materials recycling facility, too. WTE plants are supporting decisions about waste and environmental management: They can routinely and cost effectively supply information about chemical waste composition as well as about the ratio of biogenic to fossil carbon in MSW and off-gas.","author":[{"dropping-particle":"","family":"Brunner","given":"Paul H.","non-dropping-particle":"","parse-names":false,"suffix":""},{"dropping-particle":"","family":"Rechberger","given":"Helmut","non-dropping-particle":"","parse-names":false,"suffix":""}],"container-title":"Waste Management","id":"ITEM-1","issued":{"date-parts":[["2015"]]},"page":"3-12","publisher":"Elsevier Ltd","title":"Waste to energy - key element for sustainable waste management","type":"article-journal","volume":"37"},"uris":["http://www.mendeley.com/documents/?uuid=b7b2fc36-539b-442f-bf1a-805fffcd0d17"]}],"mendeley":{"formattedCitation":"(Brunner and Rechberger, 2015)","manualFormatting":"Brunner &amp; Rechberger (2014)","plainTextFormattedCitation":"(Brunner and Rechberger, 2015)","previouslyFormattedCitation":"(Brunner and Rechberger,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Brunner &amp; Rechberger (2014)</w:t>
            </w:r>
            <w:r w:rsidRPr="00C81B1E">
              <w:rPr>
                <w:rFonts w:eastAsia="Calibri"/>
                <w:lang w:val="en-GB" w:eastAsia="en-US"/>
              </w:rPr>
              <w:fldChar w:fldCharType="end"/>
            </w:r>
          </w:p>
        </w:tc>
      </w:tr>
      <w:tr w:rsidR="00C81B1E" w:rsidRPr="00C81B1E" w14:paraId="2964011B" w14:textId="77777777" w:rsidTr="00C81B1E">
        <w:trPr>
          <w:trHeight w:val="255"/>
        </w:trPr>
        <w:tc>
          <w:tcPr>
            <w:tcW w:w="2235" w:type="dxa"/>
            <w:shd w:val="clear" w:color="auto" w:fill="auto"/>
            <w:noWrap/>
            <w:vAlign w:val="center"/>
            <w:hideMark/>
          </w:tcPr>
          <w:p w14:paraId="00DD7F82"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Carbohydrate content and composition</w:t>
            </w:r>
          </w:p>
        </w:tc>
        <w:tc>
          <w:tcPr>
            <w:tcW w:w="1066" w:type="dxa"/>
            <w:shd w:val="clear" w:color="auto" w:fill="auto"/>
            <w:noWrap/>
            <w:vAlign w:val="center"/>
            <w:hideMark/>
          </w:tcPr>
          <w:p w14:paraId="4C71462A"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1134" w:type="dxa"/>
            <w:shd w:val="clear" w:color="auto" w:fill="auto"/>
            <w:noWrap/>
            <w:vAlign w:val="center"/>
            <w:hideMark/>
          </w:tcPr>
          <w:p w14:paraId="309D8BFB" w14:textId="77777777" w:rsidR="00C7764C" w:rsidRPr="00C81B1E" w:rsidRDefault="00C7764C" w:rsidP="00C81B1E">
            <w:pPr>
              <w:pStyle w:val="MDPI42tablebody"/>
              <w:rPr>
                <w:rFonts w:eastAsia="Calibri"/>
                <w:lang w:val="en-GB" w:eastAsia="en-US"/>
              </w:rPr>
            </w:pPr>
            <w:r w:rsidRPr="00C81B1E">
              <w:rPr>
                <w:rFonts w:eastAsia="Calibri"/>
                <w:lang w:val="en-GB" w:eastAsia="en-US"/>
              </w:rPr>
              <w:t>AF, AD, C, TT</w:t>
            </w:r>
          </w:p>
        </w:tc>
        <w:tc>
          <w:tcPr>
            <w:tcW w:w="4677" w:type="dxa"/>
            <w:shd w:val="clear" w:color="auto" w:fill="auto"/>
            <w:noWrap/>
            <w:vAlign w:val="center"/>
            <w:hideMark/>
          </w:tcPr>
          <w:p w14:paraId="270FEF81" w14:textId="30480531" w:rsidR="00C7764C" w:rsidRPr="00C81B1E" w:rsidRDefault="00C7764C" w:rsidP="00C81B1E">
            <w:pPr>
              <w:pStyle w:val="MDPI42tablebody"/>
              <w:rPr>
                <w:rFonts w:eastAsia="Calibri"/>
                <w:lang w:val="en-GB" w:eastAsia="en-US"/>
              </w:rPr>
            </w:pPr>
            <w:r w:rsidRPr="00C81B1E">
              <w:rPr>
                <w:rFonts w:eastAsia="Calibri"/>
                <w:lang w:val="en-GB" w:eastAsia="en-US"/>
              </w:rPr>
              <w:t xml:space="preserve">AF: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Parfitt","given":"Julian","non-dropping-particle":"","parse-names":false,"suffix":""},{"dropping-particle":"","family":"Stanley","given":"Chris","non-dropping-particle":"","parse-names":false,"suffix":""},{"dropping-particle":"","family":"Thompson","given":"Laura","non-dropping-particle":"","parse-names":false,"suffix":""}],"id":"ITEM-1","issue":"May","issued":{"date-parts":[["2016"]]},"title":"Guidance for food and drink manufacturers and retailers on the use of food surplus as animal feed. Version 1.0","type":"report"},"uris":["http://www.mendeley.com/documents/?uuid=52a5d25a-b1e1-491e-ba4a-1b95106ef3dc"]}],"mendeley":{"formattedCitation":"(Parfitt et al., 2016)","manualFormatting":"Parfitt, Stanley, et al. (2016)","plainTextFormattedCitation":"(Parfitt et al., 2016)","previouslyFormattedCitation":"(Parfitt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Parfitt, et al. (2016)</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{"citationItems":[{"id":"ITEM-1","itemData":{"DOI":"10.2166/wst.2008.678","ISBN":"1900222787","ISSN":"02731223","PMID":"12188579","abstract":"The IWA Anaerobic Digestion Modelling Task Group was established in 1997 at the 8th World Congress on Anaerobic Digestion (Sendai, Japan) with the goal of developing a generalised anaerobic digestion model. The structured model includes multiple steps describing biochemical as well as physicochemical processes. The biochemical steps include disintegration from homogeneous particulates to carbohydrates, proteins and lipids; extracellular hydrolysis of these particulate substrates to sugars, amino acids, and long chain fatty acids (LCFA), respectively; acidogenesis from sugars and amino acids to volatile fatty acids (VFAs) and hydrogen; acetogenesis of LCFA and VFAs to acetate; and separate methanogenesis steps from acetate and hydrogen/CO2. The physico-chemical equations describe ion association and dissociation, and gas-liquid transfer. Implemented as a differential and algebraic equation (DAE) set, there are 26 dynamic state concentration variables, and 8 implicit algebraic variables per reactor vessel or element. Implemented as differential equations (DE) only, there are 32 dynamic concentration state variables.","author":[{"dropping-particle":"","family":"Batstone","given":"D. J.","non-dropping-particle":"","parse-names":false,"suffix":""},{"dropping-particle":"","family":"Keller","given":"J.","non-dropping-particle":"","parse-names":false,"suffix":""},{"dropping-particle":"","family":"Angelidaki","given":"I.","non-dropping-particle":"","parse-names":false,"suffix":""},{"dropping-particle":"V.","family":"Kalyuzhnyi","given":"S.","non-dropping-particle":"","parse-names":false,"suffix":""},{"dropping-particle":"","family":"Pavlostathis","given":"S. G.","non-dropping-particle":"","parse-names":false,"suffix":""},{"dropping-particle":"","family":"Rozzi","given":"A.","non-dropping-particle":"","parse-names":false,"suffix":""},{"dropping-particle":"","family":"Sanders","given":"W. T.","non-dropping-particle":"","parse-names":false,"suffix":""},{"dropping-particle":"","family":"Siegrist","given":"H.","non-dropping-particle":"","parse-names":false,"suffix":""},{"dropping-particle":"","family":"Vavilin","given":"V. a.","non-dropping-particle":"","parse-names":false,"suffix":""}],"container-title":"Water Science and Technology","id":"ITEM-1","issue":"10","issued":{"date-parts":[["2002"]]},"page":"65-73","title":"The IWA Anaerobic Digestion Model No 1 (ADM1)","type":"article-journal","volume":"45"},"uris":["http://www.mendeley.com/documents/?uuid=5d8a2eda-0b63-410d-a2df-e6966d62ce04"]}],"mendeley":{"formattedCitation":"(Batstone et al., 2002)","manualFormatting":"Batstone et al. (2002)","plainTextFormattedCitation":"(Batstone et al., 2002)","previouslyFormattedCitation":"(Batstone et al.,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Batstone et al. (2002)</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{"citationItems":[{"id":"ITEM-1","itemData":{"DOI":"10.1016/j.biortech.2008.03.043","ISSN":"09608524","PMID":"18467092","abstract":"The objective of this work was to provide a method of predicting important parameters (composting time, highest temperature, final and lowest pH values, cumulative CO2 evolution, and percentages of material losses) that characterized the composting process of synthetic food waste in terms of weight fractions of protein and fat. Experimental results showed that final products of all 12 experimental runs passed multiple maturity tests. Quadratic equations obtained by the multi-regression analysis were also developed for quick estimation. The models were tested for real kitchen waste and the agreements between experimental and predicted results were fair. ?? 2008 Elsevier Ltd. All rights reserved.","author":[{"dropping-particle":"","family":"Chang","given":"James I.","non-dropping-particle":"","parse-names":false,"suffix":""},{"dropping-particle":"","family":"Hsu","given":"Tin En","non-dropping-particle":"","parse-names":false,"suffix":""}],"container-title":"Bioresource Technology","id":"ITEM-1","issue":"17","issued":{"date-parts":[["2008"]]},"page":"8068-8074","title":"Effects of compositions on food waste composting","type":"article-journal","volume":"99"},"uris":["http://www.mendeley.com/documents/?uuid=55378c77-4198-40c4-b078-6f1a2a034157"]}],"mendeley":{"formattedCitation":"(Chang and Hsu, 2008)","manualFormatting":"Chang &amp; Hsu (2008)","plainTextFormattedCitation":"(Chang and Hsu, 2008)","previouslyFormattedCitation":"(Chang and Hsu, 2008)"},"properties":{"noteIndex":0},"schema":"https://github.com/citation-style-language/schema/raw/master/csl-citation.json"}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Chang &amp; Hsu (2008)</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Caton et al. (2010)</w:t>
            </w:r>
            <w:r w:rsidRPr="00C81B1E">
              <w:rPr>
                <w:rFonts w:eastAsia="Calibri"/>
                <w:lang w:val="en-GB" w:eastAsia="en-US"/>
              </w:rPr>
              <w:fldChar w:fldCharType="end"/>
            </w:r>
          </w:p>
        </w:tc>
      </w:tr>
      <w:tr w:rsidR="00C81B1E" w:rsidRPr="00C81B1E" w14:paraId="279E2248" w14:textId="77777777" w:rsidTr="00C81B1E">
        <w:trPr>
          <w:trHeight w:val="255"/>
        </w:trPr>
        <w:tc>
          <w:tcPr>
            <w:tcW w:w="2235" w:type="dxa"/>
            <w:tcBorders>
              <w:top w:val="single" w:sz="4" w:space="0" w:color="7F7F7F"/>
              <w:bottom w:val="single" w:sz="4" w:space="0" w:color="7F7F7F"/>
            </w:tcBorders>
            <w:shd w:val="clear" w:color="auto" w:fill="auto"/>
            <w:noWrap/>
            <w:vAlign w:val="center"/>
            <w:hideMark/>
          </w:tcPr>
          <w:p w14:paraId="7C8B291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Fat content and composition</w:t>
            </w:r>
          </w:p>
        </w:tc>
        <w:tc>
          <w:tcPr>
            <w:tcW w:w="1066" w:type="dxa"/>
            <w:tcBorders>
              <w:top w:val="single" w:sz="4" w:space="0" w:color="7F7F7F"/>
              <w:bottom w:val="single" w:sz="4" w:space="0" w:color="7F7F7F"/>
            </w:tcBorders>
            <w:shd w:val="clear" w:color="auto" w:fill="auto"/>
            <w:noWrap/>
            <w:vAlign w:val="center"/>
            <w:hideMark/>
          </w:tcPr>
          <w:p w14:paraId="01B47815"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1134" w:type="dxa"/>
            <w:tcBorders>
              <w:top w:val="single" w:sz="4" w:space="0" w:color="7F7F7F"/>
              <w:bottom w:val="single" w:sz="4" w:space="0" w:color="7F7F7F"/>
            </w:tcBorders>
            <w:shd w:val="clear" w:color="auto" w:fill="auto"/>
            <w:noWrap/>
            <w:vAlign w:val="center"/>
            <w:hideMark/>
          </w:tcPr>
          <w:p w14:paraId="036F6293" w14:textId="77777777" w:rsidR="00C7764C" w:rsidRPr="00C81B1E" w:rsidRDefault="00C7764C" w:rsidP="00C81B1E">
            <w:pPr>
              <w:pStyle w:val="MDPI42tablebody"/>
              <w:rPr>
                <w:rFonts w:eastAsia="Calibri"/>
                <w:lang w:val="en-GB" w:eastAsia="en-US"/>
              </w:rPr>
            </w:pPr>
            <w:r w:rsidRPr="00C81B1E">
              <w:rPr>
                <w:rFonts w:eastAsia="Calibri"/>
                <w:lang w:val="en-GB" w:eastAsia="en-US"/>
              </w:rPr>
              <w:t>AF, AD, C, TT</w:t>
            </w:r>
          </w:p>
        </w:tc>
        <w:tc>
          <w:tcPr>
            <w:tcW w:w="4677" w:type="dxa"/>
            <w:vMerge w:val="restart"/>
            <w:tcBorders>
              <w:top w:val="single" w:sz="4" w:space="0" w:color="7F7F7F"/>
              <w:bottom w:val="single" w:sz="4" w:space="0" w:color="7F7F7F"/>
            </w:tcBorders>
            <w:shd w:val="clear" w:color="auto" w:fill="auto"/>
            <w:noWrap/>
            <w:vAlign w:val="center"/>
            <w:hideMark/>
          </w:tcPr>
          <w:p w14:paraId="63254392"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AF: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{"citationItems":[{"id":"ITEM-1","itemData":{"DOI":"10.1016/j.foodchem.2015.11.035","ISSN":"03088146","abstract":"This study assesses the suitability of vegetable waste produced by food industry for use as a raw material for animal feed. It includes safety and nutritional viability, technical feasibility and environmental evaluation. Vegetable by-products were found to be nutritionally and sanitarily appropriate for use in animal feed. The drying technologies tested for making vegetable waste suitable for use in the animal feed market were pulse combustion drying, oven and microwave. The different meal prototypes obtained were found to comply with all the requirements of the animal feed market. An action plan that takes into account all the stages of the valorisation process was subsequently defined in agreement with local stakeholders. This plan was validated in a pilot-scale demonstration trial. Finally, the technical feasibility was studied and environmental improvement was performed. This project was funded by the European LIFE+ program (LIFE09 ENV/ES/000473).","author":[{"dropping-particle":"","family":"San Martin","given":"D.","non-dropping-particle":"","parse-names":false,"suffix":""},{"dropping-particle":"","family":"Ramos","given":"S.","non-dropping-particle":"","parse-names":false,"suffix":""},{"dropping-particle":"","family":"Zufía","given":"J.","non-dropping-particle":"","parse-names":false,"suffix":""}],"container-title":"Food Chemistry","id":"ITEM-1","issued":{"date-parts":[["2015"]]},"page":"68-74","publisher":"Elsevier Ltd","title":"Valorisation of food waste to produce new raw materials for animal feed","type":"article-journal","volume":"198"},"uris":["http://www.mendeley.com/documents/?uuid=50118d8b-27a2-4c13-824b-216d1b46c4fe"]}],"mendeley":{"formattedCitation":"(San Martin et al., 2015)","manualFormatting":"San Martin et al. (2015)","plainTextFormattedCitation":"(San Martin et al., 2015)","previouslyFormattedCitation":"(San Martin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San Martin et al. (2015)</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{"citationItems":[{"id":"ITEM-1","itemData":{"DOI":"10.2166/wst.2008.678","ISBN":"1900222787","ISSN":"02731223","PMID":"12188579","abstract":"The IWA Anaerobic Digestion Modelling Task Group was established in 1997 at the 8th World Congress on Anaerobic Digestion (Sendai, Japan) with the goal of developing a generalised anaerobic digestion model. The structured model includes multiple steps describing biochemical as well as physicochemical processes. The biochemical steps include disintegration from homogeneous particulates to carbohydrates, proteins and lipids; extracellular hydrolysis of these particulate substrates to sugars, amino acids, and long chain fatty acids (LCFA), respectively; acidogenesis from sugars and amino acids to volatile fatty acids (VFAs) and hydrogen; acetogenesis of LCFA and VFAs to acetate; and separate methanogenesis steps from acetate and hydrogen/CO2. The physico-chemical equations describe ion association and dissociation, and gas-liquid transfer. Implemented as a differential and algebraic equation (DAE) set, there are 26 dynamic state concentration variables, and 8 implicit algebraic variables per reactor vessel or element. Implemented as differential equations (DE) only, there are 32 dynamic concentration state variables.","author":[{"dropping-particle":"","family":"Batstone","given":"D. J.","non-dropping-particle":"","parse-names":false,"suffix":""},{"dropping-particle":"","family":"Keller","given":"J.","non-dropping-particle":"","parse-names":false,"suffix":""},{"dropping-particle":"","family":"Angelidaki","given":"I.","non-dropping-particle":"","parse-names":false,"suffix":""},{"dropping-particle":"V.","family":"Kalyuzhnyi","given":"S.","non-dropping-particle":"","parse-names":false,"suffix":""},{"dropping-particle":"","family":"Pavlostathis","given":"S. G.","non-dropping-particle":"","parse-names":false,"suffix":""},{"dropping-particle":"","family":"Rozzi","given":"A.","non-dropping-particle":"","parse-names":false,"suffix":""},{"dropping-particle":"","family":"Sanders","given":"W. T.","non-dropping-particle":"","parse-names":false,"suffix":""},{"dropping-particle":"","family":"Siegrist","given":"H.","non-dropping-particle":"","parse-names":false,"suffix":""},{"dropping-particle":"","family":"Vavilin","given":"V. a.","non-dropping-particle":"","parse-names":false,"suffix":""}],"container-title":"Water Science and Technology","id":"ITEM-1","issue":"10","issued":{"date-parts":[["2002"]]},"page":"65-73","title":"The IWA Anaerobic Digestion Model No 1 (ADM1)","type":"article-journal","volume":"45"},"uris":["http://www.mendeley.com/documents/?uuid=5d8a2eda-0b63-410d-a2df-e6966d62ce04"]}],"mendeley":{"formattedCitation":"(Batstone et al., 2002)","manualFormatting":"Batstone et al. (2002)","plainTextFormattedCitation":"(Batstone et al., 2002)","previouslyFormattedCitation":"(Batstone et al.,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Batstone et al. (2002)</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{"citationItems":[{"id":"ITEM-1","itemData":{"DOI":"10.1016/j.biortech.2008.03.043","ISSN":"09608524","PMID":"18467092","abstract":"The objective of this work was to provide a method of predicting important parameters (composting time, highest temperature, final and lowest pH values, cumulative CO2 evolution, and percentages of material losses) that characterized the composting process of synthetic food waste in terms of weight fractions of protein and fat. Experimental results showed that final products of all 12 experimental runs passed multiple maturity tests. Quadratic equations obtained by the multi-regression analysis were also developed for quick estimation. The models were tested for real kitchen waste and the agreements between experimental and predicted results were fair. ?? 2008 Elsevier Ltd. All rights reserved.","author":[{"dropping-particle":"","family":"Chang","given":"James I.","non-dropping-particle":"","parse-names":false,"suffix":""},{"dropping-particle":"","family":"Hsu","given":"Tin En","non-dropping-particle":"","parse-names":false,"suffix":""}],"container-title":"Bioresource Technology","id":"ITEM-1","issue":"17","issued":{"date-parts":[["2008"]]},"page":"8068-8074","title":"Effects of compositions on food waste composting","type":"article-journal","volume":"99"},"uris":["http://www.mendeley.com/documents/?uuid=55378c77-4198-40c4-b078-6f1a2a034157"]}],"mendeley":{"formattedCitation":"(Chang and Hsu, 2008)","manualFormatting":"Chang &amp; Hsu (2008)","plainTextFormattedCitation":"(Chang and Hsu, 2008)","previouslyFormattedCitation":"(Chang and Hsu, 2008)"},"properties":{"noteIndex":0},"schema":"https://github.com/citation-style-language/schema/raw/master/csl-citation.json"}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Chang &amp; Hsu (2008)</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Caton et al. (2010)</w:t>
            </w:r>
            <w:r w:rsidRPr="00C81B1E">
              <w:rPr>
                <w:rFonts w:eastAsia="Calibri"/>
                <w:lang w:val="en-GB" w:eastAsia="en-US"/>
              </w:rPr>
              <w:fldChar w:fldCharType="end"/>
            </w:r>
          </w:p>
        </w:tc>
      </w:tr>
      <w:tr w:rsidR="00C81B1E" w:rsidRPr="00C81B1E" w14:paraId="0BB3E1B1" w14:textId="77777777" w:rsidTr="00C81B1E">
        <w:trPr>
          <w:trHeight w:val="255"/>
        </w:trPr>
        <w:tc>
          <w:tcPr>
            <w:tcW w:w="2235" w:type="dxa"/>
            <w:shd w:val="clear" w:color="auto" w:fill="auto"/>
            <w:noWrap/>
            <w:vAlign w:val="center"/>
            <w:hideMark/>
          </w:tcPr>
          <w:p w14:paraId="7895DE1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Protein content and composition</w:t>
            </w:r>
          </w:p>
        </w:tc>
        <w:tc>
          <w:tcPr>
            <w:tcW w:w="1066" w:type="dxa"/>
            <w:shd w:val="clear" w:color="auto" w:fill="auto"/>
            <w:noWrap/>
            <w:vAlign w:val="center"/>
            <w:hideMark/>
          </w:tcPr>
          <w:p w14:paraId="28756867"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1134" w:type="dxa"/>
            <w:shd w:val="clear" w:color="auto" w:fill="auto"/>
            <w:noWrap/>
            <w:vAlign w:val="center"/>
            <w:hideMark/>
          </w:tcPr>
          <w:p w14:paraId="3B3307AB" w14:textId="77777777" w:rsidR="00C7764C" w:rsidRPr="00C81B1E" w:rsidRDefault="00C7764C" w:rsidP="00C81B1E">
            <w:pPr>
              <w:pStyle w:val="MDPI42tablebody"/>
              <w:rPr>
                <w:rFonts w:eastAsia="Calibri"/>
                <w:lang w:val="en-GB" w:eastAsia="en-US"/>
              </w:rPr>
            </w:pPr>
            <w:r w:rsidRPr="00C81B1E">
              <w:rPr>
                <w:rFonts w:eastAsia="Calibri"/>
                <w:lang w:val="en-GB" w:eastAsia="en-US"/>
              </w:rPr>
              <w:t>AF, AD, C, TT</w:t>
            </w:r>
          </w:p>
        </w:tc>
        <w:tc>
          <w:tcPr>
            <w:tcW w:w="4677" w:type="dxa"/>
            <w:vMerge/>
            <w:shd w:val="clear" w:color="auto" w:fill="auto"/>
            <w:noWrap/>
            <w:vAlign w:val="center"/>
          </w:tcPr>
          <w:p w14:paraId="2FB9F334" w14:textId="77777777" w:rsidR="00C7764C" w:rsidRPr="00C81B1E" w:rsidRDefault="00C7764C" w:rsidP="00C81B1E">
            <w:pPr>
              <w:pStyle w:val="MDPI42tablebody"/>
              <w:rPr>
                <w:rFonts w:eastAsia="Calibri"/>
                <w:lang w:val="en-GB" w:eastAsia="en-US"/>
              </w:rPr>
            </w:pPr>
          </w:p>
        </w:tc>
      </w:tr>
      <w:tr w:rsidR="00C81B1E" w:rsidRPr="00C81B1E" w14:paraId="229D7FBD" w14:textId="77777777" w:rsidTr="00C81B1E">
        <w:trPr>
          <w:trHeight w:val="255"/>
        </w:trPr>
        <w:tc>
          <w:tcPr>
            <w:tcW w:w="2235" w:type="dxa"/>
            <w:tcBorders>
              <w:top w:val="single" w:sz="4" w:space="0" w:color="7F7F7F"/>
              <w:bottom w:val="single" w:sz="4" w:space="0" w:color="7F7F7F"/>
            </w:tcBorders>
            <w:shd w:val="clear" w:color="auto" w:fill="auto"/>
            <w:noWrap/>
            <w:vAlign w:val="center"/>
            <w:hideMark/>
          </w:tcPr>
          <w:p w14:paraId="0EE607F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Vitamin content and composition</w:t>
            </w:r>
          </w:p>
        </w:tc>
        <w:tc>
          <w:tcPr>
            <w:tcW w:w="1066" w:type="dxa"/>
            <w:tcBorders>
              <w:top w:val="single" w:sz="4" w:space="0" w:color="7F7F7F"/>
              <w:bottom w:val="single" w:sz="4" w:space="0" w:color="7F7F7F"/>
            </w:tcBorders>
            <w:shd w:val="clear" w:color="auto" w:fill="auto"/>
            <w:noWrap/>
            <w:vAlign w:val="center"/>
            <w:hideMark/>
          </w:tcPr>
          <w:p w14:paraId="29CB445A"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1134" w:type="dxa"/>
            <w:tcBorders>
              <w:top w:val="single" w:sz="4" w:space="0" w:color="7F7F7F"/>
              <w:bottom w:val="single" w:sz="4" w:space="0" w:color="7F7F7F"/>
            </w:tcBorders>
            <w:shd w:val="clear" w:color="auto" w:fill="auto"/>
            <w:noWrap/>
            <w:vAlign w:val="center"/>
            <w:hideMark/>
          </w:tcPr>
          <w:p w14:paraId="7609F314"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677" w:type="dxa"/>
            <w:tcBorders>
              <w:top w:val="single" w:sz="4" w:space="0" w:color="7F7F7F"/>
              <w:bottom w:val="single" w:sz="4" w:space="0" w:color="7F7F7F"/>
            </w:tcBorders>
            <w:shd w:val="clear" w:color="auto" w:fill="auto"/>
            <w:noWrap/>
            <w:vAlign w:val="center"/>
            <w:hideMark/>
          </w:tcPr>
          <w:p w14:paraId="76BF43EB"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research addresses gaps in current knowledge regarding process issues associated with long term semi-continuous digestion of food waste as a sole substrate, and the role of trace elements and biomass retention in digestion of food wastes. Source segregated food wastes were collected from a university catering facility and found, in characterisation studies, to have a total solids (TS) content of 28.1±0.25 %, a volatile solids (VS) content of 95.5±0.06% of TS and a chemical oxygen demand (COD) of 422±16 g kgwet weight -1. The total Kjeldahl nitrogen (TKN) and total lipid content were 22±1% and 3.8±0.24% of TS, respectively. The substrate was then processed during a number of digestion trials using mesophilic continuously-stirred tank reactors (CSTRs), to establish the suitability of this substrate for CSTR digestion. It was found that although good specific methane production of 0.36 l gVSadded -1 was obtained from the substrate, the process was unstable at a hydraulic retention time (HRT) of 25 days, with methanogenic failure occurring after 80 days or when the organic loading rate (OLR) was increased. Further digestion trials were initiated, therefore, to investigate the effects of trace element supplementation and extending HRT on process stability, areas for which there is little information in existing literature. Reactors with hydraulic retention times of 25, 30, 50, 100, and 180 days supplemented with a trace element solution showed stable digestion for longer periods than duplicate control digesters without supplementation. The time points of failure in the control digesters were shown to be related to washout time, as calculated using the HRT. Trace element supplementation allowed stable operation at an OLR up to 3.5 gVS l-1d-1, with specific methane production ranging from 0.41-0.47 l gVSadded -1 and VS destruction of 63-77%. Supplementation with trace elements did not, however, guarantee indefinite stable operation, as digesters at the shortest (25 days) and longest (180 days) retention time eventually showed methanogenic failure. A slow methanogenic biomass growth rate and accumulation of inhibitory substances, respectively, were hypothesised as possible reasons for these failures. Analysis of metal concentrations in the digestate showed that cobalt was the metal most likely to be responsible for the observed benefits of the mixed trace metal supplementation as the concentration of this increased in the supplemented digester whilst decre…","author":[{"dropping-particle":"","family":"Climenhaga","given":"Martha Anne","non-dropping-particle":"","parse-names":false,"suffix":""}],"id":"ITEM-1","issue":"October","issued":{"date-parts":[["2008"]]},"publisher":"University of Southampton","title":"Anaerobic digestion of catering wastes","type":"thesis"},"uris":["http://www.mendeley.com/documents/?uuid=2e0f97c3-2cc9-40ee-9390-2126e4387f39"]}],"mendeley":{"formattedCitation":"(Climenhaga, 2008)","manualFormatting":"Climenhaga (2008)","plainTextFormattedCitation":"(Climenhaga, 2008)","previouslyFormattedCitation":"(Climenhaga, 2008)"},"properties":{"noteIndex":0},"schema":"https://github.com/citation-style-language/schema/raw/master/csl-citation.json"}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Climenhaga (2008)</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{"citationItems":[{"id":"ITEM-1","itemData":{"DOI":"10.1016/j.procbio.2004.01.050","ISBN":"9042421819","ISSN":"00329592","abstract":"The vitamin levels of organic manure such as compost applied to soil are important for plants and soil ecology. For this reason, a knowledge of the variations at the vitamin levels of the material during the recycling of the wastes is necessary to protect or to increase the vitamin content of the materials after biological processing. Vitamin losses during the recycling process and how much vitamin the final products contain are not usually determined. For this purpose, various wastes were composted and vitamin variations during composting determined. Vitamins A and E concentrations of the final product decrease and Vitamin C concentration increases according to the raw vitamin concentrations of the materials. The final product contained Vitamins A, E and C at concentrations of 0.91, 0.31 and 13.15 ??g/g, respectively. The degradation of Vitamins A and E during composting could be expressed as first-order kinetics. The reaction rate constants of the degradation of Vitamins A and E were determined as k=0.0466 and 0.068 per day, respectively. ?? 2004 Elsevier Ltd. All rights reserved.","author":[{"dropping-particle":"","family":"Ipek","given":"U.","non-dropping-particle":"","parse-names":false,"suffix":""},{"dropping-particle":"","family":"Arslan","given":"E. I.","non-dropping-particle":"","parse-names":false,"suffix":""},{"dropping-particle":"","family":"Öbek","given":"E.","non-dropping-particle":"","parse-names":false,"suffix":""},{"dropping-particle":"","family":"Karataş","given":"F.","non-dropping-particle":"","parse-names":false,"suffix":""},{"dropping-particle":"","family":"Erulaş","given":"F. A.","non-dropping-particle":"","parse-names":false,"suffix":""}],"container-title":"Process Biochemistry","id":"ITEM-1","issue":"2","issued":{"date-parts":[["2005"]]},"page":"621-624","title":"Determination of vitamin losses and degradation kinetics during composting","type":"article-journal","volume":"40"},"uris":["http://www.mendeley.com/documents/?uuid=5cf1312b-24a3-42bd-8087-aa2970f3de1b"]}],"mendeley":{"formattedCitation":"(Ipek et al., 2005)","manualFormatting":"Ipek et al. (2005)","plainTextFormattedCitation":"(Ipek et al., 2005)","previouslyFormattedCitation":"(Ipek et al., 2005)"},"properties":{"noteIndex":0},"schema":"https://github.com/citation-style-language/schema/raw/master/csl-citation.json"}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Ipek et al. (2005)</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Caton et al. (2010)</w:t>
            </w:r>
            <w:r w:rsidRPr="00C81B1E">
              <w:rPr>
                <w:rFonts w:eastAsia="Calibri"/>
                <w:lang w:val="en-GB" w:eastAsia="en-US"/>
              </w:rPr>
              <w:fldChar w:fldCharType="end"/>
            </w:r>
          </w:p>
        </w:tc>
      </w:tr>
      <w:tr w:rsidR="00C81B1E" w:rsidRPr="00C81B1E" w14:paraId="605FFEFD" w14:textId="77777777" w:rsidTr="00C81B1E">
        <w:trPr>
          <w:trHeight w:val="255"/>
        </w:trPr>
        <w:tc>
          <w:tcPr>
            <w:tcW w:w="2235" w:type="dxa"/>
            <w:shd w:val="clear" w:color="auto" w:fill="auto"/>
            <w:noWrap/>
            <w:vAlign w:val="center"/>
            <w:hideMark/>
          </w:tcPr>
          <w:p w14:paraId="0F3A48C2"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Other organic compounds</w:t>
            </w:r>
          </w:p>
        </w:tc>
        <w:tc>
          <w:tcPr>
            <w:tcW w:w="1066" w:type="dxa"/>
            <w:shd w:val="clear" w:color="auto" w:fill="auto"/>
            <w:noWrap/>
            <w:vAlign w:val="center"/>
            <w:hideMark/>
          </w:tcPr>
          <w:p w14:paraId="4A05FED0"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1134" w:type="dxa"/>
            <w:shd w:val="clear" w:color="auto" w:fill="auto"/>
            <w:noWrap/>
            <w:vAlign w:val="center"/>
            <w:hideMark/>
          </w:tcPr>
          <w:p w14:paraId="630D3E36" w14:textId="77777777" w:rsidR="00C7764C" w:rsidRPr="00C81B1E" w:rsidRDefault="00C7764C" w:rsidP="00C81B1E">
            <w:pPr>
              <w:pStyle w:val="MDPI42tablebody"/>
              <w:rPr>
                <w:rFonts w:eastAsia="Calibri"/>
                <w:lang w:val="en-GB" w:eastAsia="en-US"/>
              </w:rPr>
            </w:pPr>
            <w:r w:rsidRPr="00C81B1E">
              <w:rPr>
                <w:rFonts w:eastAsia="Calibri"/>
                <w:lang w:val="en-GB" w:eastAsia="en-US"/>
              </w:rPr>
              <w:t>R, AF, AD, C, TT</w:t>
            </w:r>
          </w:p>
        </w:tc>
        <w:tc>
          <w:tcPr>
            <w:tcW w:w="4677" w:type="dxa"/>
            <w:shd w:val="clear" w:color="auto" w:fill="auto"/>
            <w:noWrap/>
            <w:vAlign w:val="center"/>
            <w:hideMark/>
          </w:tcPr>
          <w:p w14:paraId="0E1896DB"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R: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{"citationItems":[{"id":"ITEM-1","itemData":{"author":[{"dropping-particle":"","family":"The Commission of the European Communities","given":"","non-dropping-particle":"","parse-names":false,"suffix":""}],"container-title":"Official Journal of the European Communities","id":"ITEM-1","issued":{"date-parts":[["2006"]]},"page":"5-24","title":"Commission Regulation (EC) No 1881/2006 of 19 December 2006 setting maximum levels for certain contaminants in foodstuffs","type":"article-journal","volume":"L 364"},"uris":["http://www.mendeley.com/documents/?uuid=edd9b676-f1d9-47d9-8e87-d2a88aa13752"]}],"mendeley":{"formattedCitation":"(The Commission of the European Communities, 2006)","manualFormatting":"The Commission of the European Communities (2006)","plainTextFormattedCitation":"(The Commission of the European Communities, 2006)","previouslyFormattedCitation":"(The Commission of the European Communities, 2006)"},"properties":{"noteIndex":0},"schema":"https://github.com/citation-style-language/schema/raw/master/csl-citation.json"}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The Commission of the European Communities (2006)</w:t>
            </w:r>
            <w:r w:rsidRPr="00C81B1E">
              <w:rPr>
                <w:rFonts w:eastAsia="Calibri"/>
                <w:lang w:val="en-GB" w:eastAsia="en-US"/>
              </w:rPr>
              <w:fldChar w:fldCharType="end"/>
            </w:r>
            <w:r w:rsidRPr="00C81B1E">
              <w:rPr>
                <w:rFonts w:eastAsia="Calibri"/>
                <w:lang w:val="en-GB" w:eastAsia="en-US"/>
              </w:rPr>
              <w:t xml:space="preserve">, AF: </w:t>
            </w:r>
            <w:r w:rsidRPr="00C81B1E">
              <w:rPr>
                <w:rFonts w:eastAsia="Calibri"/>
                <w:lang w:val="en-GB" w:eastAsia="en-US"/>
              </w:rPr>
              <w:fldChar w:fldCharType="begin" w:fldLock="1"/>
            </w:r>
            <w:r w:rsidRPr="00C81B1E">
              <w:rPr>
                <w:rFonts w:eastAsia="Calibri"/>
                <w:lang w:val="en-GB" w:eastAsia="en-US"/>
              </w:rPr>
              <w:instrText>ADDIN CSL_CITATION {"citationItems":[{"id":"ITEM-1","itemData":{"ISBN":"9789279122552","abstract":"Livestock production occupies a very important place in\\nfarming in the Community and satisfactory results in\\nterms of public and animal health, animal welfare, the\\nenvironment and the livestock producers' finances\\ndepend to a large extent on the use of appropriate good\\nquality feedingstuffs.","author":[{"dropping-particle":"","family":"European Commission (EC)","given":"","non-dropping-particle":"","parse-names":false,"suffix":""}],"container-title":"Official Journal of the European Union","id":"ITEM-1","issued":{"date-parts":[["2002"]]},"page":"10-21","title":"Directive 2002/32/EC of the European Parliament and of the Council of 7 May 2002 on undesirable substances in animal feed","type":"article-journal","volume":"L140"},"uris":["http://www.mendeley.com/documents/?uuid=07265358-703f-4657-abdd-9570bc0fc9da"]}],"mendeley":{"formattedCitation":"(European Commission (EC), 2002)","manualFormatting":"European Commission (2002)","plainTextFormattedCitation":"(European Commission (EC), 2002)","previouslyFormattedCitation":"(European Commission (EC),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(2002)</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Caton et al. (2010)</w:t>
            </w:r>
            <w:r w:rsidRPr="00C81B1E">
              <w:rPr>
                <w:rFonts w:eastAsia="Calibri"/>
                <w:lang w:val="en-GB" w:eastAsia="en-US"/>
              </w:rPr>
              <w:fldChar w:fldCharType="end"/>
            </w:r>
          </w:p>
        </w:tc>
      </w:tr>
      <w:tr w:rsidR="00C81B1E" w:rsidRPr="00C81B1E" w14:paraId="2C054377" w14:textId="77777777" w:rsidTr="00C81B1E">
        <w:trPr>
          <w:trHeight w:val="255"/>
        </w:trPr>
        <w:tc>
          <w:tcPr>
            <w:tcW w:w="2235" w:type="dxa"/>
            <w:tcBorders>
              <w:top w:val="single" w:sz="4" w:space="0" w:color="7F7F7F"/>
              <w:bottom w:val="single" w:sz="4" w:space="0" w:color="7F7F7F"/>
            </w:tcBorders>
            <w:shd w:val="clear" w:color="auto" w:fill="auto"/>
            <w:noWrap/>
            <w:vAlign w:val="center"/>
            <w:hideMark/>
          </w:tcPr>
          <w:p w14:paraId="5DC608EC"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Inorganic content and composition</w:t>
            </w:r>
          </w:p>
        </w:tc>
        <w:tc>
          <w:tcPr>
            <w:tcW w:w="1066" w:type="dxa"/>
            <w:tcBorders>
              <w:top w:val="single" w:sz="4" w:space="0" w:color="7F7F7F"/>
              <w:bottom w:val="single" w:sz="4" w:space="0" w:color="7F7F7F"/>
            </w:tcBorders>
            <w:shd w:val="clear" w:color="auto" w:fill="auto"/>
            <w:noWrap/>
            <w:vAlign w:val="center"/>
            <w:hideMark/>
          </w:tcPr>
          <w:p w14:paraId="11513DD9"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1134" w:type="dxa"/>
            <w:tcBorders>
              <w:top w:val="single" w:sz="4" w:space="0" w:color="7F7F7F"/>
              <w:bottom w:val="single" w:sz="4" w:space="0" w:color="7F7F7F"/>
            </w:tcBorders>
            <w:shd w:val="clear" w:color="auto" w:fill="auto"/>
            <w:noWrap/>
            <w:vAlign w:val="center"/>
            <w:hideMark/>
          </w:tcPr>
          <w:p w14:paraId="74BE67D3" w14:textId="77777777" w:rsidR="00C7764C" w:rsidRPr="00C81B1E" w:rsidRDefault="00C7764C" w:rsidP="00C81B1E">
            <w:pPr>
              <w:pStyle w:val="MDPI42tablebody"/>
              <w:rPr>
                <w:rFonts w:eastAsia="Calibri"/>
                <w:lang w:val="en-GB" w:eastAsia="en-US"/>
              </w:rPr>
            </w:pPr>
            <w:r w:rsidRPr="00C81B1E">
              <w:rPr>
                <w:rFonts w:eastAsia="Calibri"/>
                <w:lang w:val="en-GB" w:eastAsia="en-US"/>
              </w:rPr>
              <w:t>R, AF, AD, C, TT</w:t>
            </w:r>
          </w:p>
        </w:tc>
        <w:tc>
          <w:tcPr>
            <w:tcW w:w="4677" w:type="dxa"/>
            <w:tcBorders>
              <w:top w:val="single" w:sz="4" w:space="0" w:color="7F7F7F"/>
              <w:bottom w:val="single" w:sz="4" w:space="0" w:color="7F7F7F"/>
            </w:tcBorders>
            <w:shd w:val="clear" w:color="auto" w:fill="auto"/>
            <w:noWrap/>
            <w:vAlign w:val="center"/>
            <w:hideMark/>
          </w:tcPr>
          <w:p w14:paraId="47A1FA1F"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R: </w:t>
            </w:r>
            <w:r w:rsidRPr="00C81B1E">
              <w:rPr>
                <w:rFonts w:eastAsia="Calibri"/>
                <w:lang w:val="en-GB" w:eastAsia="en-US"/>
              </w:rPr>
              <w:fldChar w:fldCharType="begin" w:fldLock="1"/>
            </w:r>
            <w:r w:rsidRPr="00C81B1E">
              <w:rPr>
                <w:rFonts w:eastAsia="Calibri"/>
                <w:lang w:val="en-GB" w:eastAsia="en-US"/>
              </w:rPr>
              <w:instrText>ADDIN CSL_CITATION {"citationItems":[{"id":"ITEM-1","itemData":{"DOI":"10.1007/s13398-014-0173-7.2","ISBN":"9780874216561","ISSN":"0717-6163","PMID":"15003161","abstract":"This Standard contains the main principles which are recommended by the Codex Alimentarius in dealing with contaminants and toxins in food and feed, and lists the maximum levels and associated sampling plans of contaminants and natural toxicants in food and feed which are recommended by the CAC to be applied to commodities moving in international trade. This Standard includes only maximum levels of contaminants and natural toxicants in feed in cases where the contaminant in feed can be transferred to food of animal origin and can be relevant for public health.","author":[{"dropping-particle":"","family":"WHO","given":"","non-dropping-particle":"","parse-names":false,"suffix":""},{"dropping-particle":"","family":"FAO","given":"","non-dropping-particle":"","parse-names":false,"suffix":""}],"container-title":"Codex Standard","id":"ITEM-1","issued":{"date-parts":[["1995"]]},"title":"Codex general standard for contaminants and toxins in food and feed","type":"report","volume":"193"},"uris":["http://www.mendeley.com/documents/?uuid=2ddc058e-0e14-4323-97ae-8a0b83e5704f"]}],"mendeley":{"formattedCitation":"(WHO and FAO, 1995)","manualFormatting":"WHO/FAO (1995)","plainTextFormattedCitation":"(WHO and FAO, 1995)","previouslyFormattedCitation":"(WHO and FAO, 1995)"},"properties":{"noteIndex":0},"schema":"https://github.com/citation-style-language/schema/raw/master/csl-citation.json"}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WHO/FAO (1995)</w:t>
            </w:r>
            <w:r w:rsidRPr="00C81B1E">
              <w:rPr>
                <w:rFonts w:eastAsia="Calibri"/>
                <w:lang w:val="en-GB" w:eastAsia="en-US"/>
              </w:rPr>
              <w:fldChar w:fldCharType="end"/>
            </w:r>
            <w:r w:rsidRPr="00C81B1E">
              <w:rPr>
                <w:rFonts w:eastAsia="Calibri"/>
                <w:lang w:val="en-GB" w:eastAsia="en-US"/>
              </w:rPr>
              <w:t xml:space="preserve">, AF: </w:t>
            </w:r>
            <w:r w:rsidRPr="00C81B1E">
              <w:rPr>
                <w:rFonts w:eastAsia="Calibri"/>
                <w:lang w:val="en-GB" w:eastAsia="en-US"/>
              </w:rPr>
              <w:fldChar w:fldCharType="begin" w:fldLock="1"/>
            </w:r>
            <w:r w:rsidRPr="00C81B1E">
              <w:rPr>
                <w:rFonts w:eastAsia="Calibri"/>
                <w:lang w:val="en-GB" w:eastAsia="en-US"/>
              </w:rPr>
              <w:instrText>ADDIN CSL_CITATION {"citationItems":[{"id":"ITEM-1","itemData":{"ISBN":"9789279122552","abstract":"Livestock production occupies a very important place in\\nfarming in the Community and satisfactory results in\\nterms of public and animal health, animal welfare, the\\nenvironment and the livestock producers' finances\\ndepend to a large extent on the use of appropriate good\\nquality feedingstuffs.","author":[{"dropping-particle":"","family":"European Commission (EC)","given":"","non-dropping-particle":"","parse-names":false,"suffix":""}],"container-title":"Official Journal of the European Union","id":"ITEM-1","issued":{"date-parts":[["2002"]]},"page":"10-21","title":"Directive 2002/32/EC of the European Parliament and of the Council of 7 May 2002 on undesirable substances in animal feed","type":"article-journal","volume":"L140"},"uris":["http://www.mendeley.com/documents/?uuid=07265358-703f-4657-abdd-9570bc0fc9da"]}],"mendeley":{"formattedCitation":"(European Commission (EC), 2002)","manualFormatting":"European Commission (2002)","plainTextFormattedCitation":"(European Commission (EC), 2002)","previouslyFormattedCitation":"(European Commission (EC),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(2002)</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{"citationItems":[{"id":"ITEM-1","itemData":{"DOI":"10.1016/j.wasman.2016.01.041","ISBN":"0956-053X","ISSN":"18792456","PMID":"26868845","abstract":"In order to determine the variability of food waste (FW) characteristics and the influence of these variable values on the anaerobic digestion (AD) process, FW characteristics from 70 papers were compiled and analysed statistically. Results indicated that FW characteristics values are effectively very variable and that 24% of these variations may be explained by the geographical origin, the type of collection source and the season of the collection. Considering the whole range of values for physicochemical characteristics (especially volatile solids (VS), chemical oxygen demand (COD) and biomethane potential (BMP)), FW show good potential for AD treatment. However, the high carbohydrates contents (36.4%VS) and the low pH (5.1) might cause inhibitions by the rapid acidification of the digesters. As regards the variation of FW characteristics, FW categories were proposed. Moreover, the adequacy of FW characteristics with AD treatment was discussed. Four FW categories were identified with critical characteristics values for AD performance: (1) the high dry matter (DM) and total ammonia nitrogen (TAN) content of FW collected with green waste, (2) the high cellulose (CEL) content of FW from the organic fraction of municipal solid waste, (3) the low carbon-to-nitrogen (C/N) ratio of FW collected during summer, (4) the high value of TAN and Na of FW from Asia. For these cases, an aerobic pre-treatment or a corrective treatment seems to be advised to avoid instabilities along the digestion. Finally, the results of this review-paper provide a data basis of values for FW characteristics that could be used for AD process design and environmental assessment.","author":[{"dropping-particle":"","family":"Fisgativa","given":"Henry","non-dropping-particle":"","parse-names":false,"suffix":""},{"dropping-particle":"","family":"Tremier","given":"Anne","non-dropping-particle":"","parse-names":false,"suffix":""},{"dropping-particle":"","family":"Dabert","given":"Patrick","non-dropping-particle":"","parse-names":false,"suffix":""}],"container-title":"Waste Management","id":"ITEM-1","issued":{"date-parts":[["2016"]]},"page":"264-274","publisher":"Elsevier Ltd","title":"Characterizing the variability of food waste quality: A need for efficient valorisation through anaerobic digestion","type":"article-journal","volume":"50"},"uris":["http://www.mendeley.com/documents/?uuid=eddf645d-7bb2-494e-9a3b-d738938181e5"]}],"mendeley":{"formattedCitation":"(Fisgativa et al., 2016)","manualFormatting":"Fisgativa et al. (2015)","plainTextFormattedCitation":"(Fisgativa et al., 2016)","previouslyFormattedCitation":"(Fisgativa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Fisgativa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{"citationItems":[{"id":"ITEM-1","itemData":{"DOI":"10.1016/j.wasman.2009.03.016","ISSN":"0956053X","PMID":"19380220","abstract":"The effectiveness of two commercial additives meant to improve the composting process was studied in a laboratory-scale experiment. Improver A (sulphates and oxides of iron, magnesium, manganese, and zinc mixed with clay) and B (mixture of calcium hydroxide, peroxide, and oxide) were added to source-separated biowaste:peat mixture (1:1, v/v) in proportions recommended by the producers. The composting process (T, emissions of CO2, NH3, and CH4) and the quality of the compost (pH, conductivity, C/N ratio, water-soluble NH4-N and NO3-N, water- and NaOH-soluble low-weight carboxylic acids, nutrients, heavy metals and phytotoxicity to Lepidium sarivum) were monitored during one year. Compared with the control, the addition of improver B increased pH by two units, led to an earlier elimination of water-soluble ammonia, an increase in nitrates, a 10-fold increase in concentrations of acetic acid, and shortened phytotoxicity period by half; as negative aspect it led to volatilization of ammonia. The addition of improver A led to a longer thermophilic stage by one week and lower concentrations of low-weight carboxylic acids (both water- and NaOH-extractable) with formic and acetic of similar amounts, however, most of the aspects claimed by the improver's producer were not confirmed in this trial. ?? 2009 Elsevier Ltd. All rights reserved.","author":[{"dropping-particle":"","family":"Himanen","given":"M.","non-dropping-particle":"","parse-names":false,"suffix":""},{"dropping-particle":"","family":"Hänninen","given":"K.","non-dropping-particle":"","parse-names":false,"suffix":""}],"container-title":"Waste Management","id":"ITEM-1","issue":"8","issued":{"date-parts":[["2009"]]},"page":"2265-2273","publisher":"Elsevier Ltd","title":"Effect of commercial mineral-based additives on composting and compost quality","type":"article-journal","volume":"29"},"uris":["http://www.mendeley.com/documents/?uuid=f403f8e4-dde5-4fdb-8b69-35325f731f0d"]}],"mendeley":{"formattedCitation":"(Himanen and Hänninen, 2009)","manualFormatting":"Himanen &amp; Hänninen (2009)","plainTextFormattedCitation":"(Himanen and Hänninen, 2009)","previouslyFormattedCitation":"(Himanen and Hänninen,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Himanen &amp; Hänninen (2009)</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Caton et al. (2010)</w:t>
            </w:r>
            <w:r w:rsidRPr="00C81B1E">
              <w:rPr>
                <w:rFonts w:eastAsia="Calibri"/>
                <w:lang w:val="en-GB" w:eastAsia="en-US"/>
              </w:rPr>
              <w:fldChar w:fldCharType="end"/>
            </w:r>
          </w:p>
        </w:tc>
      </w:tr>
      <w:tr w:rsidR="00C81B1E" w:rsidRPr="00C81B1E" w14:paraId="46D550D8" w14:textId="77777777" w:rsidTr="00C81B1E">
        <w:trPr>
          <w:trHeight w:val="255"/>
        </w:trPr>
        <w:tc>
          <w:tcPr>
            <w:tcW w:w="2235" w:type="dxa"/>
            <w:shd w:val="clear" w:color="auto" w:fill="auto"/>
            <w:noWrap/>
            <w:vAlign w:val="center"/>
            <w:hideMark/>
          </w:tcPr>
          <w:p w14:paraId="60F9FBA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Moisture content</w:t>
            </w:r>
          </w:p>
        </w:tc>
        <w:tc>
          <w:tcPr>
            <w:tcW w:w="1066" w:type="dxa"/>
            <w:shd w:val="clear" w:color="auto" w:fill="auto"/>
            <w:noWrap/>
            <w:vAlign w:val="center"/>
            <w:hideMark/>
          </w:tcPr>
          <w:p w14:paraId="7138242F"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1134" w:type="dxa"/>
            <w:shd w:val="clear" w:color="auto" w:fill="auto"/>
            <w:noWrap/>
            <w:vAlign w:val="center"/>
            <w:hideMark/>
          </w:tcPr>
          <w:p w14:paraId="11D11C35"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677" w:type="dxa"/>
            <w:shd w:val="clear" w:color="auto" w:fill="auto"/>
            <w:noWrap/>
            <w:vAlign w:val="center"/>
            <w:hideMark/>
          </w:tcPr>
          <w:p w14:paraId="1E33DDEB"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{"citationItems":[{"id":"ITEM-1","itemData":{"DOI":"10.1016/j.biortech.2006.02.039","ISBN":"0960-8524","ISSN":"09608524","PMID":"16635571","abstract":"Food waste collected in the City of San Francisco, California, was characterized for its potential for use as a feedstock for anaerobic digestion processes. The daily and weekly variations of food waste composition over a two-month period were measured. The anaerobic digestibility and biogas and methane yields of the food waste were evaluated using batch anaerobic digestion tests performed at 50 ??C. The daily average moisture content (MC) and the ratio of volatile solids to total solids (VS/TS) determined from a week-long sampling were 70% and 83%, respectively, while the weekly average MC and VS/TS were 74% and 87%, respectively. The nutrient content analysis showed that the food waste contained well balanced nutrients for anaerobic microorganisms. The methane yield was determined to be 348 and 435 mL/g VS, respectively, after 10 and 28 days of digestion. The average methane content of biogas was 73%. The average VS destruction was 81% at the end of the 28-day digestion test. The results of this study indicate that the food waste is a highly desirable substrate for anaerobic digesters with regards to its high biodegradability and methane yield. ?? 2006 Elsevier Ltd. All rights reserved.","author":[{"dropping-particle":"","family":"Zhang","given":"Ruihong","non-dropping-particle":"","parse-names":false,"suffix":""},{"dropping-particle":"","family":"El-Mashad","given":"Hamed M.","non-dropping-particle":"","parse-names":false,"suffix":""},{"dropping-particle":"","family":"Hartman","given":"Karl","non-dropping-particle":"","parse-names":false,"suffix":""},{"dropping-particle":"","family":"Wang","given":"Fengyu","non-dropping-particle":"","parse-names":false,"suffix":""},{"dropping-particle":"","family":"Liu","given":"Guangqing","non-dropping-particle":"","parse-names":false,"suffix":""},{"dropping-particle":"","family":"Choate","given":"Chris","non-dropping-particle":"","parse-names":false,"suffix":""},{"dropping-particle":"","family":"Gamble","given":"Paul","non-dropping-particle":"","parse-names":false,"suffix":""}],"container-title":"Bioresource Technology","id":"ITEM-1","issue":"4","issued":{"date-parts":[["2007"]]},"page":"929-935","title":"Characterization of food waste as feedstock for anaerobic digestion","type":"article-journal","volume":"98"},"uris":["http://www.mendeley.com/documents/?uuid=b05e0489-42be-426e-a402-a0aa8f9e8ebf"]}],"mendeley":{"formattedCitation":"(Zhang et al., 2007)","manualFormatting":"Zhang et al. (2007)","plainTextFormattedCitation":"(Zhang et al., 2007)","previouslyFormattedCitation":"(Zhang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Zhang et al. (2007)</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{"citationItems":[{"id":"ITEM-1","itemData":{"DOI":"10.1016/j.biortech.2008.03.043","ISSN":"09608524","PMID":"18467092","abstract":"The objective of this work was to provide a method of predicting important parameters (composting time, highest temperature, final and lowest pH values, cumulative CO2 evolution, and percentages of material losses) that characterized the composting process of synthetic food waste in terms of weight fractions of protein and fat. Experimental results showed that final products of all 12 experimental runs passed multiple maturity tests. Quadratic equations obtained by the multi-regression analysis were also developed for quick estimation. The models were tested for real kitchen waste and the agreements between experimental and predicted results were fair. ?? 2008 Elsevier Ltd. All rights reserved.","author":[{"dropping-particle":"","family":"Chang","given":"James I.","non-dropping-particle":"","parse-names":false,"suffix":""},{"dropping-particle":"","family":"Hsu","given":"Tin En","non-dropping-particle":"","parse-names":false,"suffix":""}],"container-title":"Bioresource Technology","id":"ITEM-1","issue":"17","issued":{"date-parts":[["2008"]]},"page":"8068-8074","title":"Effects of compositions on food waste composting","type":"article-journal","volume":"99"},"uris":["http://www.mendeley.com/documents/?uuid=55378c77-4198-40c4-b078-6f1a2a034157"]}],"mendeley":{"formattedCitation":"(Chang and Hsu, 2008)","manualFormatting":"Chang &amp; Hsu (2008)","plainTextFormattedCitation":"(Chang and Hsu, 2008)","previouslyFormattedCitation":"(Chang and Hsu, 2008)"},"properties":{"noteIndex":0},"schema":"https://github.com/citation-style-language/schema/raw/master/csl-citation.json"}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Chang &amp; Hsu (2008)</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Caton et al. (2010)</w:t>
            </w:r>
            <w:r w:rsidRPr="00C81B1E">
              <w:rPr>
                <w:rFonts w:eastAsia="Calibri"/>
                <w:lang w:val="en-GB" w:eastAsia="en-US"/>
              </w:rPr>
              <w:fldChar w:fldCharType="end"/>
            </w:r>
          </w:p>
        </w:tc>
      </w:tr>
      <w:tr w:rsidR="00C81B1E" w:rsidRPr="00C81B1E" w14:paraId="4DA301A5" w14:textId="77777777" w:rsidTr="00C81B1E">
        <w:trPr>
          <w:trHeight w:val="255"/>
        </w:trPr>
        <w:tc>
          <w:tcPr>
            <w:tcW w:w="2235" w:type="dxa"/>
            <w:tcBorders>
              <w:top w:val="single" w:sz="4" w:space="0" w:color="7F7F7F"/>
              <w:bottom w:val="single" w:sz="4" w:space="0" w:color="7F7F7F"/>
            </w:tcBorders>
            <w:shd w:val="clear" w:color="auto" w:fill="auto"/>
            <w:noWrap/>
            <w:vAlign w:val="center"/>
            <w:hideMark/>
          </w:tcPr>
          <w:p w14:paraId="008B4B7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Biological hazard</w:t>
            </w:r>
          </w:p>
        </w:tc>
        <w:tc>
          <w:tcPr>
            <w:tcW w:w="1066" w:type="dxa"/>
            <w:tcBorders>
              <w:top w:val="single" w:sz="4" w:space="0" w:color="7F7F7F"/>
              <w:bottom w:val="single" w:sz="4" w:space="0" w:color="7F7F7F"/>
            </w:tcBorders>
            <w:shd w:val="clear" w:color="auto" w:fill="auto"/>
            <w:noWrap/>
            <w:vAlign w:val="center"/>
            <w:hideMark/>
          </w:tcPr>
          <w:p w14:paraId="7ADA8AF0" w14:textId="22021AD4" w:rsidR="00C7764C" w:rsidRPr="00C81B1E" w:rsidRDefault="00C7764C" w:rsidP="00C81B1E">
            <w:pPr>
              <w:pStyle w:val="MDPI42tablebody"/>
              <w:rPr>
                <w:rFonts w:eastAsia="Calibri"/>
                <w:lang w:val="en-GB" w:eastAsia="en-US"/>
              </w:rPr>
            </w:pPr>
            <w:r w:rsidRPr="00C81B1E">
              <w:rPr>
                <w:rFonts w:eastAsia="Calibri"/>
                <w:lang w:val="en-GB" w:eastAsia="en-US"/>
              </w:rPr>
              <w:t>CFU</w:t>
            </w:r>
            <w:r w:rsidR="00AB5AA1">
              <w:rPr>
                <w:rFonts w:eastAsia="Calibri"/>
                <w:lang w:val="en-GB" w:eastAsia="en-US"/>
              </w:rPr>
              <w:t>s</w:t>
            </w:r>
            <w:r w:rsidRPr="00C81B1E">
              <w:rPr>
                <w:rFonts w:eastAsia="Calibri"/>
                <w:lang w:val="en-GB" w:eastAsia="en-US"/>
              </w:rPr>
              <w:t>/g fresh matter</w:t>
            </w:r>
          </w:p>
        </w:tc>
        <w:tc>
          <w:tcPr>
            <w:tcW w:w="1134" w:type="dxa"/>
            <w:tcBorders>
              <w:top w:val="single" w:sz="4" w:space="0" w:color="7F7F7F"/>
              <w:bottom w:val="single" w:sz="4" w:space="0" w:color="7F7F7F"/>
            </w:tcBorders>
            <w:shd w:val="clear" w:color="auto" w:fill="auto"/>
            <w:noWrap/>
            <w:vAlign w:val="center"/>
            <w:hideMark/>
          </w:tcPr>
          <w:p w14:paraId="2D110550" w14:textId="77777777" w:rsidR="00C7764C" w:rsidRPr="00C81B1E" w:rsidRDefault="00C7764C" w:rsidP="00C81B1E">
            <w:pPr>
              <w:pStyle w:val="MDPI42tablebody"/>
              <w:rPr>
                <w:rFonts w:eastAsia="Calibri"/>
                <w:lang w:val="en-GB" w:eastAsia="en-US"/>
              </w:rPr>
            </w:pPr>
            <w:r w:rsidRPr="00C81B1E">
              <w:rPr>
                <w:rFonts w:eastAsia="Calibri"/>
                <w:lang w:val="en-GB" w:eastAsia="en-US"/>
              </w:rPr>
              <w:t>R, AF, AD, C, TT</w:t>
            </w:r>
          </w:p>
        </w:tc>
        <w:tc>
          <w:tcPr>
            <w:tcW w:w="4677" w:type="dxa"/>
            <w:tcBorders>
              <w:top w:val="single" w:sz="4" w:space="0" w:color="7F7F7F"/>
              <w:bottom w:val="single" w:sz="4" w:space="0" w:color="7F7F7F"/>
            </w:tcBorders>
            <w:shd w:val="clear" w:color="auto" w:fill="auto"/>
            <w:noWrap/>
            <w:vAlign w:val="center"/>
            <w:hideMark/>
          </w:tcPr>
          <w:p w14:paraId="01059147"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R: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{"citationItems":[{"id":"ITEM-1","itemData":{"author":[{"dropping-particle":"","family":"The Commission of the European Communities","given":"","non-dropping-particle":"","parse-names":false,"suffix":""}],"container-title":"Official Journal of the European Communities","id":"ITEM-1","issued":{"date-parts":[["2005"]]},"page":"1-26","title":"Commission Regulation (EC) No. 2073/2005 of 15 November 2005 on microbiological criteria for foodstuffs","type":"article-journal","volume":"L 338"},"uris":["http://www.mendeley.com/documents/?uuid=5cb0e148-0014-4bf5-b43b-68cacdbd211b"]}],"mendeley":{"formattedCitation":"(The Commission of the European Communities, 2005)","manualFormatting":"The Commission of the European Communities (2005)","plainTextFormattedCitation":"(The Commission of the European Communities, 2005)","previouslyFormattedCitation":"(The Commission of the European Communities, 2005)"},"properties":{"noteIndex":0},"schema":"https://github.com/citation-style-language/schema/raw/master/csl-citation.json"}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The Commission of the European Communities (2005)</w:t>
            </w:r>
            <w:r w:rsidRPr="00C81B1E">
              <w:rPr>
                <w:rFonts w:eastAsia="Calibri"/>
                <w:lang w:val="en-GB" w:eastAsia="en-US"/>
              </w:rPr>
              <w:fldChar w:fldCharType="end"/>
            </w:r>
            <w:r w:rsidRPr="00C81B1E">
              <w:rPr>
                <w:rFonts w:eastAsia="Calibri"/>
                <w:lang w:val="en-GB" w:eastAsia="en-US"/>
              </w:rPr>
              <w:t xml:space="preserve">, AF: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{"citationItems":[{"id":"ITEM-1","itemData":{"author":[{"dropping-particle":"","family":"European Commission","given":"","non-dropping-particle":"","parse-names":false,"suffix":""}],"container-title":"Official Journal of the European Union","id":"ITEM-1","issue":"February","issued":{"date-parts":[["2005"]]},"page":"L 35/1-22","title":"Regulation (EC) No 183/2005 of the European Parliament and of the Council of 12 January 2005 laying down requirements for feed hygiene. (Text with EEA relevance)","type":"article-journal"},"uris":["http://www.mendeley.com/documents/?uuid=19fa3b35-86c2-4f70-8b87-8ef1413dcac7"]}],"mendeley":{"formattedCitation":"(European Commission, 2005)","manualFormatting":"European Commission (2005b)","plainTextFormattedCitation":"(European Commission, 2005)","previouslyFormattedCitation":"(European Commission, 2005)"},"properties":{"noteIndex":0},"schema":"https://github.com/citation-style-language/schema/raw/master/csl-citation.json"}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(2005b)</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{"citationItems":[{"id":"ITEM-1","itemData":{"DOI":"10.1016/j.wasman.2014.02.003","ISBN":"1879-2456 (Electronic)\\r0956-053X (Linking)","ISSN":"18792456","PMID":"24630214","abstract":"Human activities inevitably result in wastes. The higher the material turnover, and the more complex and divers the materials produced, the more challenging it is for waste management to reach the goals of \"protection of men and environment\" and \"resource conservation\". Waste incineration, introduced originally for volume reduction and hygienic reasons, went through a long and intense development. Together with prevention and recycling measures, waste to energy (WTE) facilities contribute significantly to reaching the goals of waste management. Sophisticated air pollution control (APC) devices ensure that emissions are environmentally safe. Incinerators are crucial and unique for the complete destruction of hazardous organic materials, to reduce risks due to pathogenic microorganisms and viruses, and for concentrating valuable as well as toxic metals in certain fractions. Bottom ash and APC residues have become new sources of secondary metals, hence incineration has become a materials recycling facility, too. WTE plants are supporting decisions about waste and environmental management: They can routinely and cost effectively supply information about chemical waste composition as well as about the ratio of biogenic to fossil carbon in MSW and off-gas.","author":[{"dropping-particle":"","family":"Brunner","given":"Paul H.","non-dropping-particle":"","parse-names":false,"suffix":""},{"dropping-particle":"","family":"Rechberger","given":"Helmut","non-dropping-particle":"","parse-names":false,"suffix":""}],"container-title":"Waste Management","id":"ITEM-1","issued":{"date-parts":[["2015"]]},"page":"3-12","publisher":"Elsevier Ltd","title":"Waste to energy - key element for sustainable waste management","type":"article-journal","volume":"37"},"uris":["http://www.mendeley.com/documents/?uuid=b7b2fc36-539b-442f-bf1a-805fffcd0d17"]}],"mendeley":{"formattedCitation":"(Brunner and Rechberger, 2015)","manualFormatting":"Brunner &amp; Rechberger (2014)","plainTextFormattedCitation":"(Brunner and Rechberger, 2015)","previouslyFormattedCitation":"(Brunner and Rechberger,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Brunner &amp; Rechberger (2014)</w:t>
            </w:r>
            <w:r w:rsidRPr="00C81B1E">
              <w:rPr>
                <w:rFonts w:eastAsia="Calibri"/>
                <w:lang w:val="en-GB" w:eastAsia="en-US"/>
              </w:rPr>
              <w:fldChar w:fldCharType="end"/>
            </w:r>
          </w:p>
        </w:tc>
      </w:tr>
      <w:tr w:rsidR="00C81B1E" w:rsidRPr="00C81B1E" w14:paraId="74A99A54" w14:textId="77777777" w:rsidTr="00C81B1E">
        <w:trPr>
          <w:trHeight w:val="255"/>
        </w:trPr>
        <w:tc>
          <w:tcPr>
            <w:tcW w:w="2235" w:type="dxa"/>
            <w:shd w:val="clear" w:color="auto" w:fill="auto"/>
            <w:noWrap/>
            <w:vAlign w:val="center"/>
            <w:hideMark/>
          </w:tcPr>
          <w:p w14:paraId="0183014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pH</w:t>
            </w:r>
          </w:p>
        </w:tc>
        <w:tc>
          <w:tcPr>
            <w:tcW w:w="1066" w:type="dxa"/>
            <w:shd w:val="clear" w:color="auto" w:fill="auto"/>
            <w:noWrap/>
            <w:vAlign w:val="center"/>
            <w:hideMark/>
          </w:tcPr>
          <w:p w14:paraId="19D46958" w14:textId="77777777" w:rsidR="00C7764C" w:rsidRPr="00C81B1E" w:rsidRDefault="00C7764C" w:rsidP="00C81B1E">
            <w:pPr>
              <w:pStyle w:val="MDPI42tablebody"/>
              <w:rPr>
                <w:rFonts w:eastAsia="Calibri"/>
                <w:lang w:val="en-GB" w:eastAsia="en-US"/>
              </w:rPr>
            </w:pPr>
            <w:r w:rsidRPr="00C81B1E">
              <w:rPr>
                <w:rFonts w:eastAsia="Calibri"/>
                <w:lang w:val="en-GB" w:eastAsia="en-US"/>
              </w:rPr>
              <w:t>0-14</w:t>
            </w:r>
          </w:p>
        </w:tc>
        <w:tc>
          <w:tcPr>
            <w:tcW w:w="1134" w:type="dxa"/>
            <w:shd w:val="clear" w:color="auto" w:fill="auto"/>
            <w:noWrap/>
            <w:vAlign w:val="center"/>
            <w:hideMark/>
          </w:tcPr>
          <w:p w14:paraId="04DA0E12"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4677" w:type="dxa"/>
            <w:shd w:val="clear" w:color="auto" w:fill="auto"/>
            <w:noWrap/>
            <w:vAlign w:val="center"/>
            <w:hideMark/>
          </w:tcPr>
          <w:p w14:paraId="3C5A70E3"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{"citationItems":[{"id":"ITEM-1","itemData":{"DOI":"10.1016/j.wasman.2016.01.041","ISBN":"0956-053X","ISSN":"18792456","PMID":"26868845","abstract":"In order to determine the variability of food waste (FW) characteristics and the influence of these variable values on the anaerobic digestion (AD) process, FW characteristics from 70 papers were compiled and analysed statistically. Results indicated that FW characteristics values are effectively very variable and that 24% of these variations may be explained by the geographical origin, the type of collection source and the season of the collection. Considering the whole range of values for physicochemical characteristics (especially volatile solids (VS), chemical oxygen demand (COD) and biomethane potential (BMP)), FW show good potential for AD treatment. However, the high carbohydrates contents (36.4%VS) and the low pH (5.1) might cause inhibitions by the rapid acidification of the digesters. As regards the variation of FW characteristics, FW categories were proposed. Moreover, the adequacy of FW characteristics with AD treatment was discussed. Four FW categories were identified with critical characteristics values for AD performance: (1) the high dry matter (DM) and total ammonia nitrogen (TAN) content of FW collected with green waste, (2) the high cellulose (CEL) content of FW from the organic fraction of municipal solid waste, (3) the low carbon-to-nitrogen (C/N) ratio of FW collected during summer, (4) the high value of TAN and Na of FW from Asia. For these cases, an aerobic pre-treatment or a corrective treatment seems to be advised to avoid instabilities along the digestion. Finally, the results of this review-paper provide a data basis of values for FW characteristics that could be used for AD process design and environmental assessment.","author":[{"dropping-particle":"","family":"Fisgativa","given":"Henry","non-dropping-particle":"","parse-names":false,"suffix":""},{"dropping-particle":"","family":"Tremier","given":"Anne","non-dropping-particle":"","parse-names":false,"suffix":""},{"dropping-particle":"","family":"Dabert","given":"Patrick","non-dropping-particle":"","parse-names":false,"suffix":""}],"container-title":"Waste Management","id":"ITEM-1","issued":{"date-parts":[["2016"]]},"page":"264-274","publisher":"Elsevier Ltd","title":"Characterizing the variability of food waste quality: A need for efficient valorisation through anaerobic digestion","type":"article-journal","volume":"50"},"uris":["http://www.mendeley.com/documents/?uuid=eddf645d-7bb2-494e-9a3b-d738938181e5"]}],"mendeley":{"formattedCitation":"(Fisgativa et al., 2016)","manualFormatting":"Fisgativa et al. (2015)","plainTextFormattedCitation":"(Fisgativa et al., 2016)","previouslyFormattedCitation":"(Fisgativa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Fisgativa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{"citationItems":[{"id":"ITEM-1","itemData":{"DOI":"10.1016/j.biortech.2010.02.042","ISBN":"0960-8524","ISSN":"09608524","PMID":"20385493","abstract":"The effects of rice husk, sawdust and rice bran on the composting process of food waste were studied in a 180-L laboratory composter based on a mixture experimental design. Linear and quadratic models of seven important process characteristics (composting and acidification times, lowest and final pH values, highest temperature, the water-soluble organic carbon to water-soluble organic nitrogen (COW/NOW ratio), and the water-soluble organic carbon to total organic nitrogen (COW/NOT) ratio) in terms of fractional compositions of bulking agents as well as the water absorption capacity and the free air space of the composting matrix were developed. ?? 2010.","author":[{"dropping-particle":"","family":"Chang","given":"James I.","non-dropping-particle":"","parse-names":false,"suffix":""},{"dropping-particle":"","family":"Chen","given":"Y. J.","non-dropping-particle":"","parse-names":false,"suffix":""}],"container-title":"Bioresource Technology","id":"ITEM-1","issue":"15","issued":{"date-parts":[["2010"]]},"page":"5917-5924","publisher":"Elsevier Ltd","title":"Effects of bulking agents on food waste composting","type":"article-journal","volume":"101"},"uris":["http://www.mendeley.com/documents/?uuid=6bf36be4-46ee-47b8-b16f-1835d5618acf"]}],"mendeley":{"formattedCitation":"(Chang and Chen, 2010)","manualFormatting":"Chang &amp; Chen (2010)","plainTextFormattedCitation":"(Chang and Chen, 2010)","previouslyFormattedCitation":"(Chang and Chen,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Chang &amp; Chen (2010)</w:t>
            </w:r>
            <w:r w:rsidRPr="00C81B1E">
              <w:rPr>
                <w:rFonts w:eastAsia="Calibri"/>
                <w:lang w:val="en-GB" w:eastAsia="en-US"/>
              </w:rPr>
              <w:fldChar w:fldCharType="end"/>
            </w:r>
          </w:p>
        </w:tc>
      </w:tr>
      <w:tr w:rsidR="00C81B1E" w:rsidRPr="00C81B1E" w14:paraId="4AAC41C1" w14:textId="77777777" w:rsidTr="00C81B1E">
        <w:trPr>
          <w:trHeight w:val="255"/>
        </w:trPr>
        <w:tc>
          <w:tcPr>
            <w:tcW w:w="2235" w:type="dxa"/>
            <w:tcBorders>
              <w:top w:val="single" w:sz="4" w:space="0" w:color="7F7F7F"/>
              <w:bottom w:val="single" w:sz="4" w:space="0" w:color="7F7F7F"/>
            </w:tcBorders>
            <w:shd w:val="clear" w:color="auto" w:fill="auto"/>
            <w:noWrap/>
            <w:vAlign w:val="center"/>
            <w:hideMark/>
          </w:tcPr>
          <w:p w14:paraId="2992733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Particle size</w:t>
            </w:r>
          </w:p>
        </w:tc>
        <w:tc>
          <w:tcPr>
            <w:tcW w:w="1066" w:type="dxa"/>
            <w:tcBorders>
              <w:top w:val="single" w:sz="4" w:space="0" w:color="7F7F7F"/>
              <w:bottom w:val="single" w:sz="4" w:space="0" w:color="7F7F7F"/>
            </w:tcBorders>
            <w:shd w:val="clear" w:color="auto" w:fill="auto"/>
            <w:noWrap/>
            <w:vAlign w:val="center"/>
            <w:hideMark/>
          </w:tcPr>
          <w:p w14:paraId="725AD1A1" w14:textId="77777777" w:rsidR="00C7764C" w:rsidRPr="00C81B1E" w:rsidRDefault="00C7764C" w:rsidP="00C81B1E">
            <w:pPr>
              <w:pStyle w:val="MDPI42tablebody"/>
              <w:rPr>
                <w:rFonts w:eastAsia="Calibri"/>
                <w:lang w:val="en-GB" w:eastAsia="en-US"/>
              </w:rPr>
            </w:pPr>
            <w:r w:rsidRPr="00C81B1E">
              <w:rPr>
                <w:rFonts w:eastAsia="Calibri"/>
                <w:lang w:val="en-GB" w:eastAsia="en-US"/>
              </w:rPr>
              <w:t>mm</w:t>
            </w:r>
          </w:p>
        </w:tc>
        <w:tc>
          <w:tcPr>
            <w:tcW w:w="1134" w:type="dxa"/>
            <w:tcBorders>
              <w:top w:val="single" w:sz="4" w:space="0" w:color="7F7F7F"/>
              <w:bottom w:val="single" w:sz="4" w:space="0" w:color="7F7F7F"/>
            </w:tcBorders>
            <w:shd w:val="clear" w:color="auto" w:fill="auto"/>
            <w:noWrap/>
            <w:vAlign w:val="center"/>
            <w:hideMark/>
          </w:tcPr>
          <w:p w14:paraId="212906B9"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4677" w:type="dxa"/>
            <w:tcBorders>
              <w:top w:val="single" w:sz="4" w:space="0" w:color="7F7F7F"/>
              <w:bottom w:val="single" w:sz="4" w:space="0" w:color="7F7F7F"/>
            </w:tcBorders>
            <w:shd w:val="clear" w:color="auto" w:fill="auto"/>
            <w:noWrap/>
            <w:vAlign w:val="center"/>
            <w:hideMark/>
          </w:tcPr>
          <w:p w14:paraId="3DF3BD26"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10.1007/s12010-015-1559-5","ISSN":"0273-2289","author":[{"dropping-particle":"","family":"Zhang","given":"Cunsheng","non-dropping-particle":"","parse-names":false,"suffix":""},{"dropping-particle":"","family":"Su","given":"Haijia","non-dropping-particle":"","parse-names":false,"suffix":""},{"dropping-particle":"","family":"Wang","given":"Zhenbin","non-dropping-particle":"","parse-names":false,"suffix":""},{"dropping-particle":"","family":"Tan","given":"Tianwei","non-dropping-particle":"","parse-names":false,"suffix":""},{"dropping-particle":"","family":"Qin","given":"Peiyong","non-dropping-particle":"","parse-names":false,"suffix":""}],"container-title":"Applied Biochemistry and Biotechnology","id":"ITEM-1","issue":"8","issued":{"date-parts":[["2015"]]},"page":"3901-3914","title":"Biogas by Semi-Continuous Anaerobic Digestion of Food Waste","type":"article-journal","volume":"175"},"uris":["http://www.mendeley.com/documents/?uuid=83a256a5-fba7-4b65-9c5e-df8e2615b442"]}],"mendeley":{"formattedCitation":"(Zhang et al., 2015)","manualFormatting":"Zhang et al. (2015)","plainTextFormattedCitation":"(Zhang et al., 2015)","previouslyFormattedCitation":"(Zhang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Zhang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rtech.2014.12.094","ISSN":"09608524","author":[{"dropping-particle":"","family":"Nakasaki","given":"Kiyohiko","non-dropping-particle":"","parse-names":false,"suffix":""},{"dropping-particle":"","family":"Mimoto","given":"Hiroshi","non-dropping-particle":"","parse-names":false,"suffix":""},{"dropping-particle":"","family":"Tran","given":"Quyen Ngoc Minh","non-dropping-particle":"","parse-names":false,"suffix":""},{"dropping-particle":"","family":"Oinuma","given":"Akiko","non-dropping-particle":"","parse-names":false,"suffix":""}],"container-title":"Bioresource Technology","id":"ITEM-1","issued":{"date-parts":[["2015"]]},"page":"40-46","publisher":"Elsevier Ltd","title":"Composting of food waste subjected to hydrothermal pretreatment and inoculated with Paecilomyces sp. FA13","type":"article-journal","volume":"180"},"uris":["http://www.mendeley.com/documents/?uuid=161a4a33-6093-4168-b1a2-0a782621a01b"]}],"mendeley":{"formattedCitation":"(Nakasaki et al., 2015)","manualFormatting":"Nakasaki et al. (2015)","plainTextFormattedCitation":"(Nakasaki et al., 2015)","previouslyFormattedCitation":"(Nakasaki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Nakasaki et al. (2015)</w:t>
            </w:r>
            <w:r w:rsidRPr="00C81B1E">
              <w:rPr>
                <w:rFonts w:eastAsia="Calibri"/>
                <w:lang w:val="en-GB" w:eastAsia="en-US"/>
              </w:rPr>
              <w:fldChar w:fldCharType="end"/>
            </w:r>
          </w:p>
        </w:tc>
      </w:tr>
    </w:tbl>
    <w:p w14:paraId="4D6378FB" w14:textId="77777777" w:rsidR="00C7764C" w:rsidRPr="00C7764C" w:rsidRDefault="00C7764C" w:rsidP="00C7764C">
      <w:pPr>
        <w:spacing w:after="160" w:line="259" w:lineRule="auto"/>
        <w:rPr>
          <w:rFonts w:eastAsia="Calibri"/>
          <w:color w:val="auto"/>
          <w:sz w:val="16"/>
          <w:szCs w:val="16"/>
          <w:lang w:val="en-GB" w:eastAsia="en-US"/>
        </w:rPr>
      </w:pPr>
    </w:p>
    <w:p w14:paraId="35D4FE4F" w14:textId="77777777" w:rsidR="00C7764C" w:rsidRPr="00C7764C" w:rsidRDefault="00C7764C" w:rsidP="00BA2E09">
      <w:pPr>
        <w:pStyle w:val="MDPI41tablecaption"/>
        <w:rPr>
          <w:rFonts w:eastAsia="Calibri"/>
          <w:lang w:val="en-GB" w:eastAsia="en-US"/>
        </w:rPr>
      </w:pPr>
      <w:r w:rsidRPr="00C7764C">
        <w:rPr>
          <w:rFonts w:eastAsia="Calibri"/>
          <w:b/>
          <w:lang w:val="en-GB" w:eastAsia="en-US"/>
        </w:rPr>
        <w:lastRenderedPageBreak/>
        <w:t xml:space="preserve">Table </w:t>
      </w:r>
      <w:r w:rsidRPr="00C7764C">
        <w:rPr>
          <w:rFonts w:eastAsia="Calibri"/>
          <w:b/>
          <w:lang w:val="en-GB" w:eastAsia="en-US"/>
        </w:rPr>
        <w:fldChar w:fldCharType="begin"/>
      </w:r>
      <w:r w:rsidRPr="00C7764C">
        <w:rPr>
          <w:rFonts w:eastAsia="Calibri"/>
          <w:b/>
          <w:lang w:val="en-GB" w:eastAsia="en-US"/>
        </w:rPr>
        <w:instrText xml:space="preserve"> SEQ Table \* ARABIC </w:instrText>
      </w:r>
      <w:r w:rsidRPr="00C7764C">
        <w:rPr>
          <w:rFonts w:eastAsia="Calibri"/>
          <w:b/>
          <w:lang w:val="en-GB" w:eastAsia="en-US"/>
        </w:rPr>
        <w:fldChar w:fldCharType="separate"/>
      </w:r>
      <w:r w:rsidRPr="00C7764C">
        <w:rPr>
          <w:rFonts w:eastAsia="Calibri"/>
          <w:b/>
          <w:noProof/>
          <w:lang w:val="en-GB" w:eastAsia="en-US"/>
        </w:rPr>
        <w:t>3</w:t>
      </w:r>
      <w:r w:rsidRPr="00C7764C">
        <w:rPr>
          <w:rFonts w:eastAsia="Calibri"/>
          <w:b/>
          <w:lang w:val="en-GB" w:eastAsia="en-US"/>
        </w:rPr>
        <w:fldChar w:fldCharType="end"/>
      </w:r>
      <w:r w:rsidRPr="00C7764C">
        <w:rPr>
          <w:rFonts w:eastAsia="Calibri"/>
          <w:lang w:val="en-GB" w:eastAsia="en-US"/>
        </w:rPr>
        <w:t>. Quantitative secondary FW parameters</w:t>
      </w:r>
    </w:p>
    <w:tbl>
      <w:tblPr>
        <w:tblW w:w="9072" w:type="dxa"/>
        <w:tblBorders>
          <w:top w:val="single" w:sz="4" w:space="0" w:color="7F7F7F"/>
          <w:bottom w:val="single" w:sz="4" w:space="0" w:color="7F7F7F"/>
        </w:tblBorders>
        <w:tblLook w:val="04A0" w:firstRow="1" w:lastRow="0" w:firstColumn="1" w:lastColumn="0" w:noHBand="0" w:noVBand="1"/>
      </w:tblPr>
      <w:tblGrid>
        <w:gridCol w:w="1809"/>
        <w:gridCol w:w="1422"/>
        <w:gridCol w:w="926"/>
        <w:gridCol w:w="4915"/>
      </w:tblGrid>
      <w:tr w:rsidR="00C81B1E" w:rsidRPr="00C81B1E" w14:paraId="2742062F" w14:textId="77777777" w:rsidTr="00C81B1E">
        <w:trPr>
          <w:trHeight w:val="285"/>
        </w:trPr>
        <w:tc>
          <w:tcPr>
            <w:tcW w:w="1809" w:type="dxa"/>
            <w:tcBorders>
              <w:bottom w:val="single" w:sz="4" w:space="0" w:color="7F7F7F"/>
            </w:tcBorders>
            <w:shd w:val="clear" w:color="auto" w:fill="auto"/>
            <w:noWrap/>
            <w:vAlign w:val="center"/>
          </w:tcPr>
          <w:p w14:paraId="472CE60E"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Parameter</w:t>
            </w:r>
          </w:p>
        </w:tc>
        <w:tc>
          <w:tcPr>
            <w:tcW w:w="1422" w:type="dxa"/>
            <w:tcBorders>
              <w:bottom w:val="single" w:sz="4" w:space="0" w:color="7F7F7F"/>
            </w:tcBorders>
            <w:shd w:val="clear" w:color="auto" w:fill="auto"/>
            <w:noWrap/>
            <w:vAlign w:val="center"/>
          </w:tcPr>
          <w:p w14:paraId="20827A42"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Example or unit</w:t>
            </w:r>
          </w:p>
        </w:tc>
        <w:tc>
          <w:tcPr>
            <w:tcW w:w="926" w:type="dxa"/>
            <w:tcBorders>
              <w:bottom w:val="single" w:sz="4" w:space="0" w:color="7F7F7F"/>
            </w:tcBorders>
            <w:shd w:val="clear" w:color="auto" w:fill="auto"/>
            <w:noWrap/>
            <w:vAlign w:val="center"/>
          </w:tcPr>
          <w:p w14:paraId="48990148"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FWMS</w:t>
            </w:r>
          </w:p>
        </w:tc>
        <w:tc>
          <w:tcPr>
            <w:tcW w:w="4915" w:type="dxa"/>
            <w:tcBorders>
              <w:bottom w:val="single" w:sz="4" w:space="0" w:color="7F7F7F"/>
            </w:tcBorders>
            <w:shd w:val="clear" w:color="auto" w:fill="auto"/>
            <w:noWrap/>
            <w:vAlign w:val="center"/>
          </w:tcPr>
          <w:p w14:paraId="30D2EFB0"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Reference</w:t>
            </w:r>
          </w:p>
        </w:tc>
      </w:tr>
      <w:tr w:rsidR="00C81B1E" w:rsidRPr="00C81B1E" w14:paraId="09FEED8C" w14:textId="77777777" w:rsidTr="00C81B1E">
        <w:trPr>
          <w:trHeight w:val="285"/>
        </w:trPr>
        <w:tc>
          <w:tcPr>
            <w:tcW w:w="1809" w:type="dxa"/>
            <w:tcBorders>
              <w:top w:val="single" w:sz="4" w:space="0" w:color="7F7F7F"/>
              <w:bottom w:val="single" w:sz="4" w:space="0" w:color="7F7F7F"/>
            </w:tcBorders>
            <w:shd w:val="clear" w:color="auto" w:fill="auto"/>
            <w:noWrap/>
            <w:vAlign w:val="center"/>
            <w:hideMark/>
          </w:tcPr>
          <w:p w14:paraId="2AF40B59"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Density</w:t>
            </w:r>
          </w:p>
        </w:tc>
        <w:tc>
          <w:tcPr>
            <w:tcW w:w="1422" w:type="dxa"/>
            <w:tcBorders>
              <w:top w:val="single" w:sz="4" w:space="0" w:color="7F7F7F"/>
              <w:bottom w:val="single" w:sz="4" w:space="0" w:color="7F7F7F"/>
            </w:tcBorders>
            <w:shd w:val="clear" w:color="auto" w:fill="auto"/>
            <w:noWrap/>
            <w:vAlign w:val="center"/>
            <w:hideMark/>
          </w:tcPr>
          <w:p w14:paraId="6F6419BD" w14:textId="77777777" w:rsidR="00C7764C" w:rsidRPr="00C81B1E" w:rsidRDefault="00C7764C" w:rsidP="00C81B1E">
            <w:pPr>
              <w:pStyle w:val="MDPI42tablebody"/>
              <w:rPr>
                <w:rFonts w:eastAsia="SimSun"/>
                <w:lang w:val="en-GB" w:eastAsia="zh-CN"/>
              </w:rPr>
            </w:pPr>
            <w:r w:rsidRPr="00C81B1E">
              <w:rPr>
                <w:rFonts w:eastAsia="SimSun"/>
                <w:lang w:val="en-GB" w:eastAsia="zh-CN"/>
              </w:rPr>
              <w:t>kg/m</w:t>
            </w:r>
            <w:r w:rsidRPr="00C81B1E">
              <w:rPr>
                <w:rFonts w:eastAsia="SimSun"/>
                <w:vertAlign w:val="superscript"/>
                <w:lang w:val="en-GB" w:eastAsia="zh-CN"/>
              </w:rPr>
              <w:t>3</w:t>
            </w:r>
          </w:p>
        </w:tc>
        <w:tc>
          <w:tcPr>
            <w:tcW w:w="926" w:type="dxa"/>
            <w:tcBorders>
              <w:top w:val="single" w:sz="4" w:space="0" w:color="7F7F7F"/>
              <w:bottom w:val="single" w:sz="4" w:space="0" w:color="7F7F7F"/>
            </w:tcBorders>
            <w:shd w:val="clear" w:color="auto" w:fill="auto"/>
            <w:noWrap/>
            <w:vAlign w:val="center"/>
            <w:hideMark/>
          </w:tcPr>
          <w:p w14:paraId="6E3C61A4" w14:textId="77777777" w:rsidR="00C7764C" w:rsidRPr="00C81B1E" w:rsidRDefault="00C7764C" w:rsidP="00C81B1E">
            <w:pPr>
              <w:pStyle w:val="MDPI42tablebody"/>
              <w:rPr>
                <w:rFonts w:eastAsia="SimSun"/>
                <w:lang w:val="en-GB" w:eastAsia="zh-CN"/>
              </w:rPr>
            </w:pPr>
            <w:r w:rsidRPr="00C81B1E">
              <w:rPr>
                <w:rFonts w:eastAsia="SimSun"/>
                <w:lang w:val="en-GB" w:eastAsia="zh-CN"/>
              </w:rPr>
              <w:t>R, AF, AD, C, TT</w:t>
            </w:r>
          </w:p>
        </w:tc>
        <w:tc>
          <w:tcPr>
            <w:tcW w:w="4915" w:type="dxa"/>
            <w:vMerge w:val="restart"/>
            <w:tcBorders>
              <w:top w:val="single" w:sz="4" w:space="0" w:color="7F7F7F"/>
              <w:bottom w:val="single" w:sz="4" w:space="0" w:color="7F7F7F"/>
            </w:tcBorders>
            <w:shd w:val="clear" w:color="auto" w:fill="auto"/>
            <w:noWrap/>
            <w:vAlign w:val="center"/>
            <w:hideMark/>
          </w:tcPr>
          <w:p w14:paraId="1D7AC5B2" w14:textId="77777777" w:rsidR="00C7764C" w:rsidRPr="00C81B1E" w:rsidRDefault="00C7764C" w:rsidP="00C81B1E">
            <w:pPr>
              <w:pStyle w:val="MDPI42tablebody"/>
              <w:rPr>
                <w:rFonts w:eastAsia="SimSun"/>
                <w:lang w:val="en-GB" w:eastAsia="zh-CN"/>
              </w:rPr>
            </w:pPr>
            <w:r w:rsidRPr="00C81B1E">
              <w:rPr>
                <w:rFonts w:eastAsia="SimSun"/>
                <w:lang w:val="en-GB" w:eastAsia="zh-CN"/>
              </w:rPr>
              <w:t xml:space="preserve">R: </w:t>
            </w:r>
            <w:r w:rsidRPr="00C81B1E">
              <w:rPr>
                <w:rFonts w:eastAsia="SimSun"/>
                <w:lang w:val="en-GB" w:eastAsia="zh-CN"/>
              </w:rPr>
              <w:fldChar w:fldCharType="begin" w:fldLock="1"/>
            </w:r>
            <w:r w:rsidRPr="00C81B1E">
              <w:rPr>
                <w:rFonts w:eastAsia="SimSun"/>
                <w:lang w:val="en-GB" w:eastAsia="zh-CN"/>
              </w:rPr>
              <w:instrText>ADDIN CSL_CITATION {"citationItems":[{"id":"ITEM-1","itemData":{"DOI":"10.1016/j.wasman.2016.03.035","ISSN":"0956053X","PMID":"27026493","author":[{"dropping-particle":"","family":"Bilska","given":"Beata","non-dropping-particle":"","parse-names":false,"suffix":""},{"dropping-particle":"","family":"Wrzosek","given":"Małgorzata","non-dropping-particle":"","parse-names":false,"suffix":""},{"dropping-particle":"","family":"Kołożyn-Krajewska","given":"Danuta","non-dropping-particle":"","parse-names":false,"suffix":""},{"dropping-particle":"","family":"Krajewski","given":"Karol","non-dropping-particle":"","parse-names":false,"suffix":""}],"container-title":"Waste Management","id":"ITEM-1","issued":{"date-parts":[["2016"]]},"page":"269-277","title":"Risk of food losses and potential of food recovery for social purposes","type":"article-journal","volume":"52"},"uris":["http://www.mendeley.com/documents/?uuid=64d39440-d986-4dc3-8b6e-c0536a5a5d46"]}],"mendeley":{"formattedCitation":"(Bilska et al., 2016)","manualFormatting":"Bilska et al. (2016)","plainTextFormattedCitation":"(Bilska et al., 2016)","previouslyFormattedCitation":"(Bilska et al., 2016)"},"properties":{"noteIndex":0},"schema":"https://github.com/citation-style-language/schema/raw/master/csl-citation.json"}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Bilska et al. (2016)</w:t>
            </w:r>
            <w:r w:rsidRPr="00C81B1E">
              <w:rPr>
                <w:rFonts w:eastAsia="SimSun"/>
                <w:lang w:val="en-GB" w:eastAsia="zh-CN"/>
              </w:rPr>
              <w:fldChar w:fldCharType="end"/>
            </w:r>
            <w:r w:rsidRPr="00C81B1E">
              <w:rPr>
                <w:rFonts w:eastAsia="SimSun"/>
                <w:lang w:val="en-GB" w:eastAsia="zh-CN"/>
              </w:rPr>
              <w:t xml:space="preserve">, AF: </w:t>
            </w:r>
            <w:r w:rsidRPr="00C81B1E">
              <w:rPr>
                <w:rFonts w:eastAsia="SimSun"/>
                <w:lang w:val="en-GB" w:eastAsia="zh-CN"/>
              </w:rPr>
              <w:fldChar w:fldCharType="begin" w:fldLock="1"/>
            </w:r>
            <w:r w:rsidRPr="00C81B1E">
              <w:rPr>
                <w:rFonts w:eastAsia="SimSun"/>
                <w:lang w:val="en-GB" w:eastAsia="zh-CN"/>
              </w:rPr>
              <w:instrText>ADDIN CSL_CITATION {"citationItems":[{"id":"ITEM-1","itemData":{"ISBN":"9789279122552","abstract":"Livestock production occupies a very important place in\\nfarming in the Community and satisfactory results in\\nterms of public and animal health, animal welfare, the\\nenvironment and the livestock producers' finances\\ndepend to a large extent on the use of appropriate good\\nquality feedingstuffs.","author":[{"dropping-particle":"","family":"European Commission (EC)","given":"","non-dropping-particle":"","parse-names":false,"suffix":""}],"container-title":"Official Journal of the European Union","id":"ITEM-1","issued":{"date-parts":[["2002"]]},"page":"10-21","title":"Directive 2002/32/EC of the European Parliament and of the Council of 7 May 2002 on undesirable substances in animal feed","type":"article-journal","volume":"L140"},"uris":["http://www.mendeley.com/documents/?uuid=07265358-703f-4657-abdd-9570bc0fc9da"]}],"mendeley":{"formattedCitation":"(European Commission (EC), 2002)","manualFormatting":"European Commission (2002)","plainTextFormattedCitation":"(European Commission (EC), 2002)","previouslyFormattedCitation":"(European Commission (EC), 2002)"},"properties":{"noteIndex":0},"schema":"https://github.com/citation-style-language/schema/raw/master/csl-citation.json"}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European Commission (2002)</w:t>
            </w:r>
            <w:r w:rsidRPr="00C81B1E">
              <w:rPr>
                <w:rFonts w:eastAsia="SimSun"/>
                <w:lang w:val="en-GB" w:eastAsia="zh-CN"/>
              </w:rPr>
              <w:fldChar w:fldCharType="end"/>
            </w:r>
            <w:r w:rsidRPr="00C81B1E">
              <w:rPr>
                <w:rFonts w:eastAsia="SimSun"/>
                <w:lang w:val="en-GB" w:eastAsia="zh-CN"/>
              </w:rPr>
              <w:t xml:space="preserve">, AD: </w:t>
            </w:r>
            <w:r w:rsidRPr="00C81B1E">
              <w:rPr>
                <w:rFonts w:eastAsia="SimSun"/>
                <w:lang w:val="en-GB" w:eastAsia="zh-CN"/>
              </w:rPr>
              <w:fldChar w:fldCharType="begin" w:fldLock="1"/>
            </w:r>
            <w:r w:rsidRPr="00C81B1E">
              <w:rPr>
                <w:rFonts w:eastAsia="SimSun"/>
                <w:lang w:val="en-GB" w:eastAsia="zh-CN"/>
              </w:rPr>
              <w:instrText>ADDIN CSL_CITATION {"citationItems":[{"id":"ITEM-1","itemData":{"DOI":"10.1016/j.wasman.2016.01.041","ISBN":"0956-053X","ISSN":"18792456","PMID":"26868845","abstract":"In order to determine the variability of food waste (FW) characteristics and the influence of these variable values on the anaerobic digestion (AD) process, FW characteristics from 70 papers were compiled and analysed statistically. Results indicated that FW characteristics values are effectively very variable and that 24% of these variations may be explained by the geographical origin, the type of collection source and the season of the collection. Considering the whole range of values for physicochemical characteristics (especially volatile solids (VS), chemical oxygen demand (COD) and biomethane potential (BMP)), FW show good potential for AD treatment. However, the high carbohydrates contents (36.4%VS) and the low pH (5.1) might cause inhibitions by the rapid acidification of the digesters. As regards the variation of FW characteristics, FW categories were proposed. Moreover, the adequacy of FW characteristics with AD treatment was discussed. Four FW categories were identified with critical characteristics values for AD performance: (1) the high dry matter (DM) and total ammonia nitrogen (TAN) content of FW collected with green waste, (2) the high cellulose (CEL) content of FW from the organic fraction of municipal solid waste, (3) the low carbon</w:instrText>
            </w:r>
            <w:r w:rsidRPr="00C81B1E">
              <w:rPr>
                <w:rFonts w:eastAsia="SimSun"/>
                <w:lang w:val="es-ES" w:eastAsia="zh-CN"/>
              </w:rPr>
              <w:instrText>-to-nitrogen (C/N) ratio of FW collected during summer, (4) the high value of TAN and Na of FW from Asia. For these cases, an aerobic pre-treatment or a corrective treatment seems to be advised to avoid instabilities along the digestion. Finally, the results of this review-paper provide a data basis of values for FW characteristics that could be used for AD process design and environmental assessment.","author":[{"dropping-particle":"","family":"Fisgativa","given":"Henry","non-dropping-particle":"","parse-names":false,"suffix":""},{"dropping-particle":"","family":"Tremier","given":"Anne","non-dropping-particle":"","parse-names":false,"suffix":""},{"dropping-particle":"","family":"Dabert","given":"Patrick","non-dropping-particle":"","parse-names":false,"suffix":""}],"container-title":"Waste Management","id":"ITEM-1","issued":{"date-parts":[["2016"]]},"page":"264-274","publisher":"Elsevier Ltd","title":"Characterizing the variability of food waste quality: A need for efficient valorisation through anaerobic digestion","type":"article-journal","volume":"50"},"uris":["http://www.mendeley.com/documents/?uuid=eddf645d-7bb2-494e-9a3b-d738938181e5"]}],"mendeley":{"formattedCitation":"(Fisgativa et al., 2016)","manualFormatting":"Fisgativa et al. (2015)","plainTextFormattedCitation":"(Fisgativa et al., 2016)","previouslyFormattedCitation":"(Fisgativa et al., 2016)"},"properties":{"noteIndex":0},"schema":"https://github.com/citation-style-language/schema/raw/master/csl-citation.json"}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s-ES" w:eastAsia="zh-CN"/>
              </w:rPr>
              <w:t>Fisgativa et al. (2015)</w:t>
            </w:r>
            <w:r w:rsidRPr="00C81B1E">
              <w:rPr>
                <w:rFonts w:eastAsia="SimSun"/>
                <w:lang w:val="en-GB" w:eastAsia="zh-CN"/>
              </w:rPr>
              <w:fldChar w:fldCharType="end"/>
            </w:r>
            <w:r w:rsidRPr="00C81B1E">
              <w:rPr>
                <w:rFonts w:eastAsia="SimSun"/>
                <w:lang w:val="es-ES" w:eastAsia="zh-CN"/>
              </w:rPr>
              <w:t xml:space="preserve">, C: </w:t>
            </w:r>
            <w:r w:rsidRPr="00C81B1E">
              <w:rPr>
                <w:rFonts w:eastAsia="SimSun"/>
                <w:lang w:val="en-GB" w:eastAsia="zh-CN"/>
              </w:rPr>
              <w:fldChar w:fldCharType="begin" w:fldLock="1"/>
            </w:r>
            <w:r w:rsidRPr="00C81B1E">
              <w:rPr>
                <w:rFonts w:eastAsia="SimSun"/>
                <w:lang w:val="es-ES" w:eastAsia="zh-CN"/>
              </w:rPr>
              <w:instrText>ADDIN CSL_CITATION {"citationItems":[{"id":"ITEM-1","itemData":{"author":[{"dropping-particle":"","family":"WRAP","given":"","non-dropping-particle":"","parse-names":false,"suffix":""}],"id":"ITEM-1","issued":{"date-parts":[["0"]]},"title":"Quality Protocol. Compost. End of waste criteria for the production and use of quality compost from source-segregated biodegradable waste","type":"report"},"uris":["http://www.mendeley.com/documents/?uuid=0a469ce6-0e00-4afc-9994-72e51bb448c3"]}],"mendeley":{"formattedCitation":"(WRAP, n.d.)","manualFormatting":"WRAP (n.d.)","plainTextFormattedCitation":"(WRAP, n.d.)","previouslyFormattedCitation":"(WRAP, n.d.)"},"properties":{"noteIndex":0},"schema":"https://github.com/citation-style-language/schema/raw/master/csl-citation.json"}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s-ES" w:eastAsia="zh-CN"/>
              </w:rPr>
              <w:t>WRAP (n.d.)</w:t>
            </w:r>
            <w:r w:rsidRPr="00C81B1E">
              <w:rPr>
                <w:rFonts w:eastAsia="SimSun"/>
                <w:lang w:val="en-GB" w:eastAsia="zh-CN"/>
              </w:rPr>
              <w:fldChar w:fldCharType="end"/>
            </w:r>
            <w:r w:rsidRPr="00C81B1E">
              <w:rPr>
                <w:rFonts w:eastAsia="SimSun"/>
                <w:lang w:val="es-ES" w:eastAsia="zh-CN"/>
              </w:rPr>
              <w:t xml:space="preserve">, TT: </w:t>
            </w:r>
            <w:r w:rsidRPr="00C81B1E">
              <w:rPr>
                <w:rFonts w:eastAsia="SimSun"/>
                <w:lang w:val="en-GB" w:eastAsia="zh-CN"/>
              </w:rPr>
              <w:fldChar w:fldCharType="begin" w:fldLock="1"/>
            </w:r>
            <w:r w:rsidRPr="00C81B1E">
              <w:rPr>
                <w:rFonts w:eastAsia="SimSun"/>
                <w:lang w:val="es-ES" w:eastAsia="zh-CN"/>
              </w:rPr>
              <w:instrText>ADDIN CSL_CITATION {"citationItems":[{"id":"ITEM-1","itemData":{"DOI":"10.1016/j.scitotenv.2007.06.037","ISBN":"0048-9697","ISSN":"0048-9697","PMID":"17761214","abstract":"During the last decade, there have been remarkable changes in food waste management in Korea following a ban on direct landfilling. To evaluate the environmental impacts of food waste management systems, we examined individual treatment systems with the LCA approach -- landfill, incineration, composting, and feed manufacturing -- and estimated the change from 1997 to 2005. The efficient system was different in each impact category, but it was evaluated that landfill is the main contributor to human toxicity and global warming (based on fossil CO(2)). In contrast, due to the increase of food waste recycling, acidification, eutrophication, and fresh water aquatic ecotoxicity impact was increased. Especially, the high energy consumption and generated residue in recycling systems caused the large burdens in toxicity categories.","author":[{"dropping-particle":"","family":"Lee","given":"Suk-Hui","non-dropping-particle":"","parse-names":false,"suffix":""},{"dropping-particle":"","family":"Choi","given":"Ki-In","non-dropping-particle":"","parse-names":false,"suffix":""},{"dropping-particle":"","family":"Osako","given":"Masahiro","non-dropping-particle":"","parse-names":false,"suffix":""},{"dropping-particle":"","family":"Dong","given":"Jong-In","non-dropping-particle":"","parse-names":false,"suffix":""}],"container-title":"The Science of the Total Environment","id":"ITEM-1","issue":"1-3","issued":{"date-parts":[["2007"]]},"page":"42-53","title":"Evaluation of environmental burdens caused by changes of food waste management systems in Seoul, Korea","type":"article-journal","volume":"387"},"uris":["http://www.mendeley.com/documents/?uuid=8f64984c-3fd3-4af6-a302-a6effe418376"]}],"mendeley":{"formattedCitation":"(Lee et al., 2007)","manualFormatting":"Lee et al. (2007)","plainTextFormattedCitation":"(Lee et al., 2007)","previouslyFormattedCitation":"(Lee et al., 2007)"},"properties":{"noteIndex":0},"schema":"https://github.com/citation-style-language/schema/raw/master/csl-citation.json"}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s-ES" w:eastAsia="zh-CN"/>
              </w:rPr>
              <w:t xml:space="preserve">Lee et al. </w:t>
            </w:r>
            <w:r w:rsidRPr="00C81B1E">
              <w:rPr>
                <w:rFonts w:eastAsia="SimSun"/>
                <w:noProof/>
                <w:lang w:val="en-GB" w:eastAsia="zh-CN"/>
              </w:rPr>
              <w:t>(2007)</w:t>
            </w:r>
            <w:r w:rsidRPr="00C81B1E">
              <w:rPr>
                <w:rFonts w:eastAsia="SimSun"/>
                <w:lang w:val="en-GB" w:eastAsia="zh-CN"/>
              </w:rPr>
              <w:fldChar w:fldCharType="end"/>
            </w:r>
          </w:p>
        </w:tc>
      </w:tr>
      <w:tr w:rsidR="00C81B1E" w:rsidRPr="00C81B1E" w14:paraId="4EC317D3" w14:textId="77777777" w:rsidTr="00C81B1E">
        <w:trPr>
          <w:trHeight w:val="255"/>
        </w:trPr>
        <w:tc>
          <w:tcPr>
            <w:tcW w:w="1809" w:type="dxa"/>
            <w:shd w:val="clear" w:color="auto" w:fill="auto"/>
            <w:noWrap/>
            <w:vAlign w:val="center"/>
            <w:hideMark/>
          </w:tcPr>
          <w:p w14:paraId="13EBC9F6"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Hazardous materials</w:t>
            </w:r>
          </w:p>
        </w:tc>
        <w:tc>
          <w:tcPr>
            <w:tcW w:w="1422" w:type="dxa"/>
            <w:shd w:val="clear" w:color="auto" w:fill="auto"/>
            <w:noWrap/>
            <w:vAlign w:val="center"/>
            <w:hideMark/>
          </w:tcPr>
          <w:p w14:paraId="57AF9B63" w14:textId="77777777" w:rsidR="00C7764C" w:rsidRPr="00C81B1E" w:rsidRDefault="00C7764C" w:rsidP="00C81B1E">
            <w:pPr>
              <w:pStyle w:val="MDPI42tablebody"/>
              <w:rPr>
                <w:rFonts w:eastAsia="SimSun"/>
                <w:lang w:val="en-GB" w:eastAsia="zh-CN"/>
              </w:rPr>
            </w:pPr>
            <w:r w:rsidRPr="00C81B1E">
              <w:rPr>
                <w:rFonts w:eastAsia="SimSun"/>
                <w:lang w:val="en-GB" w:eastAsia="zh-CN"/>
              </w:rPr>
              <w:t>Type and % mass</w:t>
            </w:r>
          </w:p>
        </w:tc>
        <w:tc>
          <w:tcPr>
            <w:tcW w:w="926" w:type="dxa"/>
            <w:shd w:val="clear" w:color="auto" w:fill="auto"/>
            <w:noWrap/>
            <w:vAlign w:val="center"/>
            <w:hideMark/>
          </w:tcPr>
          <w:p w14:paraId="06E90793" w14:textId="77777777" w:rsidR="00C7764C" w:rsidRPr="00C81B1E" w:rsidRDefault="00C7764C" w:rsidP="00C81B1E">
            <w:pPr>
              <w:pStyle w:val="MDPI42tablebody"/>
              <w:rPr>
                <w:rFonts w:eastAsia="SimSun"/>
                <w:lang w:val="en-GB" w:eastAsia="zh-CN"/>
              </w:rPr>
            </w:pPr>
            <w:r w:rsidRPr="00C81B1E">
              <w:rPr>
                <w:rFonts w:eastAsia="SimSun"/>
                <w:lang w:val="en-GB" w:eastAsia="zh-CN"/>
              </w:rPr>
              <w:t>R, AF, AD, C, TT</w:t>
            </w:r>
          </w:p>
        </w:tc>
        <w:tc>
          <w:tcPr>
            <w:tcW w:w="4915" w:type="dxa"/>
            <w:vMerge/>
            <w:shd w:val="clear" w:color="auto" w:fill="auto"/>
            <w:noWrap/>
            <w:vAlign w:val="center"/>
            <w:hideMark/>
          </w:tcPr>
          <w:p w14:paraId="34D44761" w14:textId="77777777" w:rsidR="00C7764C" w:rsidRPr="00C81B1E" w:rsidRDefault="00C7764C" w:rsidP="00C81B1E">
            <w:pPr>
              <w:pStyle w:val="MDPI42tablebody"/>
              <w:rPr>
                <w:rFonts w:eastAsia="SimSun"/>
                <w:lang w:val="en-GB" w:eastAsia="zh-CN"/>
              </w:rPr>
            </w:pPr>
          </w:p>
        </w:tc>
      </w:tr>
      <w:tr w:rsidR="00C81B1E" w:rsidRPr="00C81B1E" w14:paraId="04D8AE76" w14:textId="77777777" w:rsidTr="00C81B1E">
        <w:trPr>
          <w:trHeight w:val="255"/>
        </w:trPr>
        <w:tc>
          <w:tcPr>
            <w:tcW w:w="1809" w:type="dxa"/>
            <w:tcBorders>
              <w:top w:val="single" w:sz="4" w:space="0" w:color="7F7F7F"/>
              <w:bottom w:val="single" w:sz="4" w:space="0" w:color="7F7F7F"/>
            </w:tcBorders>
            <w:shd w:val="clear" w:color="auto" w:fill="auto"/>
            <w:noWrap/>
            <w:vAlign w:val="center"/>
            <w:hideMark/>
          </w:tcPr>
          <w:p w14:paraId="2D75CD59" w14:textId="13E79B61" w:rsidR="00C7764C" w:rsidRPr="00C81B1E" w:rsidRDefault="00C7764C" w:rsidP="00C81B1E">
            <w:pPr>
              <w:pStyle w:val="MDPI42tablebody"/>
              <w:rPr>
                <w:rFonts w:eastAsia="SimSun"/>
                <w:b/>
                <w:bCs/>
                <w:lang w:val="en-GB" w:eastAsia="zh-CN"/>
              </w:rPr>
            </w:pPr>
            <w:r w:rsidRPr="00C81B1E">
              <w:rPr>
                <w:rFonts w:eastAsia="SimSun"/>
                <w:b/>
                <w:bCs/>
                <w:lang w:val="en-GB" w:eastAsia="zh-CN"/>
              </w:rPr>
              <w:t>Energy</w:t>
            </w:r>
            <w:r w:rsidR="00AF527D" w:rsidRPr="00AF527D">
              <w:rPr>
                <w:rFonts w:eastAsia="SimSun"/>
                <w:b/>
                <w:bCs/>
                <w:lang w:val="en-GB" w:eastAsia="zh-CN"/>
              </w:rPr>
              <w:t>/nutrient value</w:t>
            </w:r>
          </w:p>
        </w:tc>
        <w:tc>
          <w:tcPr>
            <w:tcW w:w="1422" w:type="dxa"/>
            <w:tcBorders>
              <w:top w:val="single" w:sz="4" w:space="0" w:color="7F7F7F"/>
              <w:bottom w:val="single" w:sz="4" w:space="0" w:color="7F7F7F"/>
            </w:tcBorders>
            <w:shd w:val="clear" w:color="auto" w:fill="auto"/>
            <w:noWrap/>
            <w:vAlign w:val="center"/>
            <w:hideMark/>
          </w:tcPr>
          <w:p w14:paraId="1B53A50D" w14:textId="057D8C89" w:rsidR="00C7764C" w:rsidRPr="00C81B1E" w:rsidRDefault="00C7764C" w:rsidP="00C81B1E">
            <w:pPr>
              <w:pStyle w:val="MDPI42tablebody"/>
              <w:rPr>
                <w:rFonts w:eastAsia="SimSun"/>
                <w:lang w:val="en-GB" w:eastAsia="zh-CN"/>
              </w:rPr>
            </w:pPr>
            <w:r w:rsidRPr="00C81B1E">
              <w:rPr>
                <w:rFonts w:eastAsia="SimSun"/>
                <w:lang w:val="en-GB" w:eastAsia="zh-CN"/>
              </w:rPr>
              <w:t>kcal/kg</w:t>
            </w:r>
            <w:r w:rsidR="00AF527D" w:rsidRPr="00AF527D">
              <w:rPr>
                <w:rFonts w:eastAsia="SimSun"/>
                <w:lang w:val="en-GB" w:eastAsia="zh-CN"/>
              </w:rPr>
              <w:t>, g/kg</w:t>
            </w:r>
          </w:p>
        </w:tc>
        <w:tc>
          <w:tcPr>
            <w:tcW w:w="926" w:type="dxa"/>
            <w:tcBorders>
              <w:top w:val="single" w:sz="4" w:space="0" w:color="7F7F7F"/>
              <w:bottom w:val="single" w:sz="4" w:space="0" w:color="7F7F7F"/>
            </w:tcBorders>
            <w:shd w:val="clear" w:color="auto" w:fill="auto"/>
            <w:noWrap/>
            <w:vAlign w:val="center"/>
            <w:hideMark/>
          </w:tcPr>
          <w:p w14:paraId="72EFB5C4" w14:textId="77777777" w:rsidR="00C7764C" w:rsidRPr="00C81B1E" w:rsidRDefault="00C7764C" w:rsidP="00C81B1E">
            <w:pPr>
              <w:pStyle w:val="MDPI42tablebody"/>
              <w:rPr>
                <w:rFonts w:eastAsia="SimSun"/>
                <w:lang w:val="en-GB" w:eastAsia="zh-CN"/>
              </w:rPr>
            </w:pPr>
            <w:r w:rsidRPr="00C81B1E">
              <w:rPr>
                <w:rFonts w:eastAsia="SimSun"/>
                <w:lang w:val="en-GB" w:eastAsia="zh-CN"/>
              </w:rPr>
              <w:t>AF</w:t>
            </w:r>
          </w:p>
        </w:tc>
        <w:tc>
          <w:tcPr>
            <w:tcW w:w="4915" w:type="dxa"/>
            <w:tcBorders>
              <w:top w:val="single" w:sz="4" w:space="0" w:color="7F7F7F"/>
              <w:bottom w:val="single" w:sz="4" w:space="0" w:color="7F7F7F"/>
            </w:tcBorders>
            <w:shd w:val="clear" w:color="auto" w:fill="auto"/>
            <w:noWrap/>
            <w:vAlign w:val="center"/>
            <w:hideMark/>
          </w:tcPr>
          <w:p w14:paraId="711D1C6E" w14:textId="77777777" w:rsidR="00C7764C" w:rsidRPr="00C81B1E" w:rsidRDefault="00C7764C" w:rsidP="00C81B1E">
            <w:pPr>
              <w:pStyle w:val="MDPI42tablebody"/>
              <w:rPr>
                <w:rFonts w:eastAsia="SimSun"/>
                <w:lang w:val="en-GB" w:eastAsia="zh-CN"/>
              </w:rPr>
            </w:pPr>
            <w:r w:rsidRPr="00C81B1E">
              <w:rPr>
                <w:rFonts w:eastAsia="SimSun"/>
                <w:lang w:val="en-GB" w:eastAsia="zh-CN"/>
              </w:rPr>
              <w:fldChar w:fldCharType="begin" w:fldLock="1"/>
            </w:r>
            <w:r w:rsidRPr="00C81B1E">
              <w:rPr>
                <w:rFonts w:eastAsia="SimSun"/>
                <w:lang w:val="en-GB" w:eastAsia="zh-CN"/>
              </w:rPr>
              <w:instrText>ADDIN CSL_CITATION {"citationItems":[{"id":"ITEM-1","itemData":{"author":[{"dropping-particle":"","family":"Parfitt","given":"Julian","non-dropping-particle":"","parse-names":false,"suffix":""},{"dropping-particle":"","family":"Stanley","given":"Chris","non-dropping-particle":"","parse-names":false,"suffix":""},{"dropping-particle":"","family":"Thompson","given":"Laura","non-dropping-particle":"","parse-names":false,"suffix":""}],"id":"ITEM-1","issue":"May","issued":{"date-parts":[["2016"]]},"title":"Guidance for food and drink manufacturers and retailers on the use of food surplus as animal feed. Version 1.0","type":"report"},"uris":["http://www.mendeley.com/documents/?uuid=52a5d25a-b1e1-491e-ba4a-1b95106ef3dc"]}],"mendeley":{"formattedCitation":"(Parfitt et al., 2016)","manualFormatting":"Parfitt, Stanley, et al. (2016)","plainTextFormattedCitation":"(Parfitt et al., 2016)","previouslyFormattedCitation":"(Parfitt et al., 2016)"},"properties":{"noteIndex":0},"schema":"https://github.com/citation-style-language/schema/raw/master/csl-citation.json"}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Parfitt, Stanley, et al. (2016)</w:t>
            </w:r>
            <w:r w:rsidRPr="00C81B1E">
              <w:rPr>
                <w:rFonts w:eastAsia="SimSun"/>
                <w:lang w:val="en-GB" w:eastAsia="zh-CN"/>
              </w:rPr>
              <w:fldChar w:fldCharType="end"/>
            </w:r>
          </w:p>
        </w:tc>
      </w:tr>
      <w:tr w:rsidR="00C81B1E" w:rsidRPr="00C81B1E" w14:paraId="34294766" w14:textId="77777777" w:rsidTr="00C81B1E">
        <w:trPr>
          <w:trHeight w:val="255"/>
        </w:trPr>
        <w:tc>
          <w:tcPr>
            <w:tcW w:w="1809" w:type="dxa"/>
            <w:shd w:val="clear" w:color="auto" w:fill="auto"/>
            <w:noWrap/>
            <w:vAlign w:val="center"/>
            <w:hideMark/>
          </w:tcPr>
          <w:p w14:paraId="07A99A25"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Volatile solids (VS)</w:t>
            </w:r>
          </w:p>
        </w:tc>
        <w:tc>
          <w:tcPr>
            <w:tcW w:w="1422" w:type="dxa"/>
            <w:shd w:val="clear" w:color="auto" w:fill="auto"/>
            <w:noWrap/>
            <w:vAlign w:val="center"/>
            <w:hideMark/>
          </w:tcPr>
          <w:p w14:paraId="108B368A" w14:textId="77777777" w:rsidR="00C7764C" w:rsidRPr="00C81B1E" w:rsidRDefault="00C7764C" w:rsidP="00C81B1E">
            <w:pPr>
              <w:pStyle w:val="MDPI42tablebody"/>
              <w:rPr>
                <w:rFonts w:eastAsia="SimSun"/>
                <w:lang w:val="en-GB" w:eastAsia="zh-CN"/>
              </w:rPr>
            </w:pPr>
            <w:r w:rsidRPr="00C81B1E">
              <w:rPr>
                <w:rFonts w:eastAsia="SimSun"/>
                <w:lang w:val="en-GB" w:eastAsia="zh-CN"/>
              </w:rPr>
              <w:t>% mass of TS</w:t>
            </w:r>
          </w:p>
        </w:tc>
        <w:tc>
          <w:tcPr>
            <w:tcW w:w="926" w:type="dxa"/>
            <w:shd w:val="clear" w:color="auto" w:fill="auto"/>
            <w:noWrap/>
            <w:vAlign w:val="center"/>
            <w:hideMark/>
          </w:tcPr>
          <w:p w14:paraId="47B80F58" w14:textId="77777777" w:rsidR="00C7764C" w:rsidRPr="00C81B1E" w:rsidRDefault="00C7764C" w:rsidP="00C81B1E">
            <w:pPr>
              <w:pStyle w:val="MDPI42tablebody"/>
              <w:rPr>
                <w:rFonts w:eastAsia="SimSun"/>
                <w:lang w:val="en-GB" w:eastAsia="zh-CN"/>
              </w:rPr>
            </w:pPr>
            <w:r w:rsidRPr="00C81B1E">
              <w:rPr>
                <w:rFonts w:eastAsia="SimSun"/>
                <w:lang w:val="en-GB" w:eastAsia="zh-CN"/>
              </w:rPr>
              <w:t>AD, C, TT</w:t>
            </w:r>
          </w:p>
        </w:tc>
        <w:tc>
          <w:tcPr>
            <w:tcW w:w="4915" w:type="dxa"/>
            <w:shd w:val="clear" w:color="auto" w:fill="auto"/>
            <w:noWrap/>
            <w:vAlign w:val="center"/>
            <w:hideMark/>
          </w:tcPr>
          <w:p w14:paraId="7B317A2F" w14:textId="77777777" w:rsidR="00C7764C" w:rsidRPr="00C81B1E" w:rsidRDefault="00C7764C" w:rsidP="00C81B1E">
            <w:pPr>
              <w:pStyle w:val="MDPI42tablebody"/>
              <w:rPr>
                <w:rFonts w:eastAsia="SimSun"/>
                <w:lang w:val="en-GB" w:eastAsia="zh-CN"/>
              </w:rPr>
            </w:pPr>
            <w:r w:rsidRPr="00C81B1E">
              <w:rPr>
                <w:rFonts w:eastAsia="SimSun"/>
                <w:lang w:val="en-GB" w:eastAsia="zh-CN"/>
              </w:rPr>
              <w:t xml:space="preserve">AD: </w:t>
            </w:r>
            <w:r w:rsidRPr="00C81B1E">
              <w:rPr>
                <w:rFonts w:eastAsia="SimSun"/>
                <w:lang w:val="en-GB" w:eastAsia="zh-CN"/>
              </w:rPr>
              <w:fldChar w:fldCharType="begin" w:fldLock="1"/>
            </w:r>
            <w:r w:rsidRPr="00C81B1E">
              <w:rPr>
                <w:rFonts w:eastAsia="SimSun"/>
                <w:lang w:val="en-GB" w:eastAsia="zh-CN"/>
              </w:rPr>
              <w:instrText>ADDIN CSL_CITATION {"citationItems":[{"id":"ITEM-1","itemData":{"DOI":"10.1016/j.biortech.2006.02.039","ISBN":"0960-8524","ISSN":"09608524","PMID":"16635571","abstract":"Food waste collected in the City of San Francisco, California, was characterized for its potential for use as a feedstock for anaerobic digestion processes. The daily and weekly variations of food waste composition over a two-month period were measured. The anaerobic digestibility and biogas and methane yields of the food waste were evaluated using batch anaerobic digestion tests performed at 50 ??C. The daily average moisture content (MC) and the ratio of volatile solids to total solids (VS/TS) determined from a week-long sampling were 70% and 83%, respectively, while the weekly average MC and VS/TS were 74% and 87%, respectively. The nutrient content analysis showed that the food waste contained well balanced nutrients for anaerobic microorganisms. The methane yield was determined to be 348 and 435 mL/g VS, respectively, after 10 and 28 days of digestion. The average methane content of biogas was 73%. The average VS destruction was 81% at the end of the 28-day digestion test. The results of this study indicate that the food waste is a highly desirable substrate for anaerobic digesters with regards to its high biodegradability and methane yield. ?? 2006 Elsevier Ltd. All rights reserved.","author":[{"dropping-particle":"","family":"Zhang","given":"Ruihong","non-dropping-particle":"","parse-names":false,"suffix":""},{"dropping-particle":"","family":"El-Mashad","given":"Hamed M.","non-dropping-particle":"","parse-names":false,"suffix":""},{"dropping-particle":"","family":"Hartman","given":"Karl","non-dropping-particle":"","parse-names":false,"suffix":""},{"dropping-particle":"","family":"Wang","given":"Fengyu","non-dropping-particle":"","parse-names":false,"suffix":""},{"dropping-particle":"","family":"Liu","given":"Guangqing","non-dropping-particle":"","parse-names":false,"suffix":""},{"dropping-particle":"","family":"Choate","given":"Chris","non-dropping-particle":"","parse-names":false,"suffix":""},{"dropping-particle":"","family":"Gamble","given":"Paul","non-dropping-particle":"","parse-names":false,"suffix":""}],"container-title":"Bioresource Technology","id":"ITEM-1","issue":"4","issued":{"date-parts":[["2007"]]},"page":"929-935","title":"Characterization of food waste as feedstock for anaerobic digestion","type":"article-journal","volume":"98"},"uris":["http://www.mendeley.com/documents/?uuid=b05e0489-42be-426e-a402-a0aa8f9e8ebf"]}],"mendeley":{"formattedCitation":"(Zhang et al., 2007)","manualFormatting":"Zhang et al. (2007)","plainTextFormattedCitation":"(Zhang et al., 2007)","previouslyFormattedCitation":"(Zhang et al., 2007)"},"properties":{"noteIndex":0},"schema":"https://github.com/citation-style-language/schema/raw/master/csl-citation.json"}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Zhang et al. (2007)</w:t>
            </w:r>
            <w:r w:rsidRPr="00C81B1E">
              <w:rPr>
                <w:rFonts w:eastAsia="SimSun"/>
                <w:lang w:val="en-GB" w:eastAsia="zh-CN"/>
              </w:rPr>
              <w:fldChar w:fldCharType="end"/>
            </w:r>
            <w:r w:rsidRPr="00C81B1E">
              <w:rPr>
                <w:rFonts w:eastAsia="SimSun"/>
                <w:lang w:val="en-GB" w:eastAsia="zh-CN"/>
              </w:rPr>
              <w:t xml:space="preserve">, C: </w:t>
            </w:r>
            <w:r w:rsidRPr="00C81B1E">
              <w:rPr>
                <w:rFonts w:eastAsia="SimSun"/>
                <w:lang w:val="en-GB" w:eastAsia="zh-CN"/>
              </w:rPr>
              <w:fldChar w:fldCharType="begin" w:fldLock="1"/>
            </w:r>
            <w:r w:rsidRPr="00C81B1E">
              <w:rPr>
                <w:rFonts w:eastAsia="SimSun"/>
                <w:lang w:val="en-GB" w:eastAsia="zh-CN"/>
              </w:rPr>
              <w:instrText>ADDIN CSL_CITATION {"citationItems":[{"id":"ITEM-1","itemData":{"DOI":"10.1016/j.biortech.2005.02.013","ISBN":"09608524","ISSN":"09608524","PMID":"15990292","abstract":"A laboratory reactor was designed to study the effects of operating parameters (air suction rate, seeding and agitation) on the composting process of a synthetic food waste made of dog food. Experimental results showed that the synthetic food waste could be composted within 4 days and the final compost passed the maturity tests. In most cases except those with 32% of seeding, the process involved two major stages of composting. The two peak temperatures between 50 and 60??C occurred at 8-12th hour and 50-65th hour, respectively. Operating parameters that converted the most volatile solids and carbons in the feedstock were as follows: 1.6 l air/kg dry solid-min of air suction rate, 32% of seeding and 50% of agitation time. ?? 2005 Elsevier Ltd. All rights reserved.","author":[{"dropping-particle":"","family":"Chang","given":"James I.","non-dropping-particle":"","parse-names":false,"suffix":""},{"dropping-particle":"","family":"Tsai","given":"J. J.","non-dropping-particle":"","parse-names":false,"suffix":""},{"dropping-particle":"","family":"Wu","given":"K. H.","non-dropping-particle":"","parse-names":false,"suffix":""}],"container-title":"Bioresource Technology","id":"ITEM-1","issue":"1","issued":{"date-parts":[["2006"]]},"page":"116-122","title":"Thermophilic composting of food waste","type":"article-journal","volume":"97"},"uris":["http://www.mendeley.com/documents/?uuid=82a6af50-1555-4181-936c-c0828d75ea9f"]}],"mendeley":{"formattedCitation":"(Chang et al., 2006)","manualFormatting":"Chang et al. (2006)","plainTextFormattedCitation":"(Chang et al., 2006)","previouslyFormattedCitation":"(Chang et al., 2006)"},"properties":{"noteIndex":0},"schema":"https://github.com/citation-style-language/schema/raw/master/csl-citation.json"}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Chang et al. (2006)</w:t>
            </w:r>
            <w:r w:rsidRPr="00C81B1E">
              <w:rPr>
                <w:rFonts w:eastAsia="SimSun"/>
                <w:lang w:val="en-GB" w:eastAsia="zh-CN"/>
              </w:rPr>
              <w:fldChar w:fldCharType="end"/>
            </w:r>
            <w:r w:rsidRPr="00C81B1E">
              <w:rPr>
                <w:rFonts w:eastAsia="SimSun"/>
                <w:lang w:val="en-GB" w:eastAsia="zh-CN"/>
              </w:rPr>
              <w:t xml:space="preserve">, TT: </w:t>
            </w:r>
            <w:r w:rsidRPr="00C81B1E">
              <w:rPr>
                <w:rFonts w:eastAsia="SimSun"/>
                <w:lang w:val="en-GB" w:eastAsia="zh-CN"/>
              </w:rPr>
              <w:fldChar w:fldCharType="begin" w:fldLock="1"/>
            </w:r>
            <w:r w:rsidRPr="00C81B1E">
              <w:rPr>
                <w:rFonts w:eastAsia="SimSun"/>
                <w:lang w:val="en-GB" w:eastAsia="zh-CN"/>
              </w:rPr>
              <w:instrText>ADDIN CSL_CITATION {"citationItems":[{"id":"ITEM-1","itemData":{"DOI":"10.1016/j.apenergy.2009.08.032","ISBN":"0306-2619","ISSN":"03062619","abstract":"Characteristics of syngas from the pyrolysis and gasification of food waste has been investigated. Characteristic differences in syngas properties and overall yields from pyrolysis and gasification were determined at two distinct high temperatures of 800 and 900 ??C. Pyrolysis and gasification behavior were evaluated in terms of syngas flow rate, hydrogen flow rate, output power, total syngas yield, total hydrogen yield, total energy yield, and apparent thermal efficiency. Gasification was more beneficial than pyrolysis based on investigated criteria, but longer time was needed to finish the gasification process. Longer time of gasification is attributed to slow reactions between the residual char and gasifying agent. Consequently, the char gasification kinetics was investigated. Inorganic constituents of food char were found to have a catalytic effect. Char reactivity increased with increased degree of conversion. In the conversion range from 0.1 to 0.9 the increase in reactivity was accompanied by an increase in pre-exponential factor, which suggested an increase in gasifying agent adsorption rate to char surface. However, in the conversion range from 0.93 to 0.98 the increase in reactivity was accompanied by a decrease in activation energy. A compensation effect was observed in this range of conversion of 0.93-0.98. ?? 2009 Elsevier Ltd. All rights reserved.","author":[{"dropping-particle":"","family":"Ahmed","given":"I. I.","non-dropping-particle":"","parse-names":false,"suffix":""},{"dropping-particle":"","family":"Gupta","given":"A. K.","non-dropping-particle":"","parse-names":false,"suffix":""}],"container-title":"Applied Energy","id":"ITEM-1","issue":"1","issued":{"date-parts":[["2010"]]},"page":"101-108","publisher":"Elsevier Ltd","title":"Pyrolysis and gasification of food waste: Syngas characteristics and char gasification kinetics","type":"article-journal","volume":"87"},"uris":["http://www.mendeley.com/documents/?uuid=ba947297-756d-4216-9a69-33c8820cc240"]}],"mendeley":{"formattedCitation":"(Ahmed and Gupta, 2010)","manualFormatting":"Ahmed &amp; Gupta (2010)","plainTextFormattedCitation":"(Ahmed and Gupta, 2010)","previouslyFormattedCitation":"(Ahmed and Gupta, 2010)"},"properties":{"noteIndex":0},"schema":"https://github.com/citation-style-language/schema/raw/master/csl-citation.json"}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Ahmed &amp; Gupta (2010)</w:t>
            </w:r>
            <w:r w:rsidRPr="00C81B1E">
              <w:rPr>
                <w:rFonts w:eastAsia="SimSun"/>
                <w:lang w:val="en-GB" w:eastAsia="zh-CN"/>
              </w:rPr>
              <w:fldChar w:fldCharType="end"/>
            </w:r>
          </w:p>
        </w:tc>
      </w:tr>
      <w:tr w:rsidR="00C81B1E" w:rsidRPr="00C81B1E" w14:paraId="6765FA6C" w14:textId="77777777" w:rsidTr="00C81B1E">
        <w:trPr>
          <w:trHeight w:val="255"/>
        </w:trPr>
        <w:tc>
          <w:tcPr>
            <w:tcW w:w="1809" w:type="dxa"/>
            <w:tcBorders>
              <w:top w:val="single" w:sz="4" w:space="0" w:color="7F7F7F"/>
              <w:bottom w:val="single" w:sz="4" w:space="0" w:color="7F7F7F"/>
            </w:tcBorders>
            <w:shd w:val="clear" w:color="auto" w:fill="auto"/>
            <w:noWrap/>
            <w:vAlign w:val="center"/>
            <w:hideMark/>
          </w:tcPr>
          <w:p w14:paraId="2EA4E44E"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Total solids (TS)</w:t>
            </w:r>
          </w:p>
        </w:tc>
        <w:tc>
          <w:tcPr>
            <w:tcW w:w="1422" w:type="dxa"/>
            <w:tcBorders>
              <w:top w:val="single" w:sz="4" w:space="0" w:color="7F7F7F"/>
              <w:bottom w:val="single" w:sz="4" w:space="0" w:color="7F7F7F"/>
            </w:tcBorders>
            <w:shd w:val="clear" w:color="auto" w:fill="auto"/>
            <w:noWrap/>
            <w:vAlign w:val="center"/>
            <w:hideMark/>
          </w:tcPr>
          <w:p w14:paraId="06D74C6C" w14:textId="77777777" w:rsidR="00C7764C" w:rsidRPr="00C81B1E" w:rsidRDefault="00C7764C" w:rsidP="00C81B1E">
            <w:pPr>
              <w:pStyle w:val="MDPI42tablebody"/>
              <w:rPr>
                <w:rFonts w:eastAsia="SimSun"/>
                <w:lang w:val="en-GB" w:eastAsia="zh-CN"/>
              </w:rPr>
            </w:pPr>
            <w:r w:rsidRPr="00C81B1E">
              <w:rPr>
                <w:rFonts w:eastAsia="SimSun"/>
                <w:lang w:val="en-GB" w:eastAsia="zh-CN"/>
              </w:rPr>
              <w:t>% mass</w:t>
            </w:r>
          </w:p>
        </w:tc>
        <w:tc>
          <w:tcPr>
            <w:tcW w:w="926" w:type="dxa"/>
            <w:tcBorders>
              <w:top w:val="single" w:sz="4" w:space="0" w:color="7F7F7F"/>
              <w:bottom w:val="single" w:sz="4" w:space="0" w:color="7F7F7F"/>
            </w:tcBorders>
            <w:shd w:val="clear" w:color="auto" w:fill="auto"/>
            <w:noWrap/>
            <w:vAlign w:val="center"/>
            <w:hideMark/>
          </w:tcPr>
          <w:p w14:paraId="0C9B74AC" w14:textId="77777777" w:rsidR="00C7764C" w:rsidRPr="00C81B1E" w:rsidRDefault="00C7764C" w:rsidP="00C81B1E">
            <w:pPr>
              <w:pStyle w:val="MDPI42tablebody"/>
              <w:rPr>
                <w:rFonts w:eastAsia="SimSun"/>
                <w:lang w:val="en-GB" w:eastAsia="zh-CN"/>
              </w:rPr>
            </w:pPr>
            <w:r w:rsidRPr="00C81B1E">
              <w:rPr>
                <w:rFonts w:eastAsia="SimSun"/>
                <w:lang w:val="en-GB" w:eastAsia="zh-CN"/>
              </w:rPr>
              <w:t>AD, C, TT</w:t>
            </w:r>
          </w:p>
        </w:tc>
        <w:tc>
          <w:tcPr>
            <w:tcW w:w="4915" w:type="dxa"/>
            <w:tcBorders>
              <w:top w:val="single" w:sz="4" w:space="0" w:color="7F7F7F"/>
              <w:bottom w:val="single" w:sz="4" w:space="0" w:color="7F7F7F"/>
            </w:tcBorders>
            <w:shd w:val="clear" w:color="auto" w:fill="auto"/>
            <w:noWrap/>
            <w:vAlign w:val="center"/>
            <w:hideMark/>
          </w:tcPr>
          <w:p w14:paraId="42D7AF1E" w14:textId="77777777" w:rsidR="00C7764C" w:rsidRPr="00C81B1E" w:rsidRDefault="00C7764C" w:rsidP="00C81B1E">
            <w:pPr>
              <w:pStyle w:val="MDPI42tablebody"/>
              <w:rPr>
                <w:rFonts w:eastAsia="SimSun"/>
                <w:lang w:val="en-GB" w:eastAsia="zh-CN"/>
              </w:rPr>
            </w:pPr>
            <w:r w:rsidRPr="00C81B1E">
              <w:rPr>
                <w:rFonts w:eastAsia="SimSun"/>
                <w:lang w:val="en-GB" w:eastAsia="zh-CN"/>
              </w:rPr>
              <w:t xml:space="preserve">AD: </w:t>
            </w:r>
            <w:r w:rsidRPr="00C81B1E">
              <w:rPr>
                <w:rFonts w:eastAsia="SimSun"/>
                <w:lang w:val="en-GB" w:eastAsia="zh-CN"/>
              </w:rPr>
              <w:fldChar w:fldCharType="begin" w:fldLock="1"/>
            </w:r>
            <w:r w:rsidRPr="00C81B1E">
              <w:rPr>
                <w:rFonts w:eastAsia="SimSun"/>
                <w:lang w:val="en-GB" w:eastAsia="zh-CN"/>
              </w:rPr>
              <w:instrText>ADDIN CSL_CITATION {"citationItems":[{"id":"ITEM-1","itemData":{"DOI":"10.1007/s13399-015-0186-2","ISBN":"1339901501","ISSN":"2190-6815","author":[{"dropping-particle":"","family":"Kumar","given":"Parvendra","non-dropping-particle":"","parse-names":false,"suffix":""},{"dropping-particle":"","family":"Hussain","given":"Athar","non-dropping-particle":"","parse-names":false,"suffix":""},{"dropping-particle":"","family":"Dubey","given":"Shashi Kant","non-dropping-particle":"","parse-names":false,"suffix":""}],"container-title":"Biomass Conversion and Biorefinery","id":"ITEM-1","issue":"September","issued":{"date-parts":[["2015"]]},"page":"1-10","title":"Methane formation from food waste by anaerobic digestion","type":"article-journal"},"uris":["http://www.mendeley.com/documents/?uuid=1fdc4775-4b29-43af-a053-f1c1fda0d6cb"]}],"mendeley":{"formattedCitation":"(Kumar et al., 2015)","manualFormatting":"Kumar et al. (2015)","plainTextFormattedCitation":"(Kumar et al., 2015)","previouslyFormattedCitation":"(Kumar et al., 2015)"},"properties":{"noteIndex":0},"schema":"https://github.com/citation-style-language/schema/raw/master/csl-citation.json"}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Kumar et al. (2015)</w:t>
            </w:r>
            <w:r w:rsidRPr="00C81B1E">
              <w:rPr>
                <w:rFonts w:eastAsia="SimSun"/>
                <w:lang w:val="en-GB" w:eastAsia="zh-CN"/>
              </w:rPr>
              <w:fldChar w:fldCharType="end"/>
            </w:r>
            <w:r w:rsidRPr="00C81B1E">
              <w:rPr>
                <w:rFonts w:eastAsia="SimSun"/>
                <w:lang w:val="en-GB" w:eastAsia="zh-CN"/>
              </w:rPr>
              <w:t xml:space="preserve">, C: </w:t>
            </w:r>
            <w:r w:rsidRPr="00C81B1E">
              <w:rPr>
                <w:rFonts w:eastAsia="SimSun"/>
                <w:lang w:val="en-GB" w:eastAsia="zh-CN"/>
              </w:rPr>
              <w:fldChar w:fldCharType="begin" w:fldLock="1"/>
            </w:r>
            <w:r w:rsidRPr="00C81B1E">
              <w:rPr>
                <w:rFonts w:eastAsia="SimSun"/>
                <w:lang w:val="en-GB" w:eastAsia="zh-CN"/>
              </w:rPr>
              <w:instrText>ADDIN CSL_CITATION {"citationItems":[{"id":"ITEM-1","itemData":{"DOI":"10.1016/j.biortech.2015.10.073","ISSN":"18732976","PMID":"26520491","abstract":"The study was carried out to integrate physical geometry of compost particle with degradation kinetics to model biological reactions, which revealing additional dynamic approaches. A sphere and its circumscribing cube were used to represent compost particles. An inner sphere, representing anaerobic zone, was introduced to describe variations of substrate volume without sufficient oxygen supply. Degradation of soluble substrates and hydrolysis of insoluble substrates were associated with the particle geometry. Transportation of soluble substrates produced from hydrolysis was expressed using Fick's law. Through the integration of degradation kinetics with geometry models, degradation models could describe varying volume of composting materials involving aerobic or anaerobic digestion and transportation of soluble substrates in a unit compost particle.","author":[{"dropping-particle":"","family":"Wang","given":"Yongjiang","non-dropping-particle":"","parse-names":false,"suffix":""},{"dropping-particle":"","family":"Ai","given":"Ping","non-dropping-particle":"","parse-names":false,"suffix":""}],"container-title":"Bioresource Technology","id":"ITEM-1","issued":{"date-parts":[["2016"]]},"page":"514-520","publisher":"Elsevier Ltd","title":"Integrating particle physical geometry into composting degradation kinetics","type":"article-journal","volume":"200"},"uris":["http://www.mendeley.com/documents/?uuid=a2beb9d8-7ed1-4b9f-8d00-111b634c6947"]}],"mendeley":{"formattedCitation":"(Wang and Ai, 2016)","manualFormatting":"Wang &amp; Ai (2016)","plainTextFormattedCitation":"(Wang and Ai, 2016)","previouslyFormattedCitation":"(Wang and Ai, 2016)"},"properties":{"noteIndex":0},"schema":"https://github.com/citation-style-language/schema/raw/master/csl-citation.json"}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Wang &amp; Ai (2016)</w:t>
            </w:r>
            <w:r w:rsidRPr="00C81B1E">
              <w:rPr>
                <w:rFonts w:eastAsia="SimSun"/>
                <w:lang w:val="en-GB" w:eastAsia="zh-CN"/>
              </w:rPr>
              <w:fldChar w:fldCharType="end"/>
            </w:r>
            <w:r w:rsidRPr="00C81B1E">
              <w:rPr>
                <w:rFonts w:eastAsia="SimSun"/>
                <w:lang w:val="en-GB" w:eastAsia="zh-CN"/>
              </w:rPr>
              <w:t>, TT:</w:t>
            </w:r>
            <w:r w:rsidRPr="00C81B1E">
              <w:rPr>
                <w:rFonts w:eastAsia="SimSun"/>
                <w:lang w:val="en-GB" w:eastAsia="zh-CN"/>
              </w:rPr>
              <w:fldChar w:fldCharType="begin" w:fldLock="1"/>
            </w:r>
            <w:r w:rsidRPr="00C81B1E">
              <w:rPr>
                <w:rFonts w:eastAsia="SimSun"/>
                <w:lang w:val="en-GB" w:eastAsia="zh-CN"/>
              </w:rPr>
              <w:instrText>ADDIN CSL_CITATION {"citationItems":[{"id":"ITEM-1","itemData":{"DOI":"10.1016/j.apenergy.2009.08.032","ISBN":"0306-2619","ISSN":"03062619","abstract":"Characteristics of syngas from the pyrolysis and gasification of food waste has been investigated. Characteristic differences in syngas properties and overall yields from pyrolysis and gasification were determined at two distinct high temperatures of 800 and 900 ??C. Pyrolysis and gasification behavior were evaluated in terms of syngas flow rate, hydrogen flow rate, output power, total syngas yield, total hydrogen yield, total energy yield, and apparent thermal efficiency. Gasification was more beneficial than pyrolysis based on investigated criteria, but longer time was needed to finish the gasification process. Longer time of gasification is attributed to slow reactions between the residual char and gasifying agent. Consequently, the char gasification kinetics was investigated. Inorganic constituents of food char were found to have a catalytic effect. Char reactivity increased with increased degree of conversion. In the conversion range from 0.1 to 0.9 the increase in reactivity was accompanied by an increase in pre-exponential factor, which suggested an increase in gasifying agent adsorption rate to char surface. However, in the conversion range from 0.93 to 0.98 the increase in reactivity was accompanied by a decrease in activation energy. A compensation effect was observed in this range of conversion of 0.93-0.98. ?? 2009 Elsevier Ltd. All rights reserved.","author":[{"dropping-particle":"","family":"Ahmed","given":"I. I.","non-dropping-particle":"","parse-names":false,"suffix":""},{"dropping-particle":"","family":"Gupta","given":"A. K.","non-dropping-particle":"","parse-names":false,"suffix":""}],"container-title":"Applied Energy","id":"ITEM-1","issue":"1","issued":{"date-parts":[["2010"]]},"page":"101-108","publisher":"Elsevier Ltd","title":"Pyrolysis and gasification of food waste: Syngas characteristics and char gasification kinetics","type":"article-journal","volume":"87"},"uris":["http://www.mendeley.com/documents/?uuid=ba947297-756d-4216-9a69-33c8820cc240"]}],"mendeley":{"formattedCitation":"(Ahmed and Gupta, 2010)","manualFormatting":" Ahmed &amp; Gupta (2010)","plainTextFormattedCitation":"(Ahmed and Gupta, 2010)","previouslyFormattedCitation":"(Ahmed and Gupta, 2010)"},"properties":{"noteIndex":0},"schema":"https://github.com/citation-style-language/schema/raw/master/csl-citation.json"}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 xml:space="preserve"> Ahmed &amp; Gupta (2010)</w:t>
            </w:r>
            <w:r w:rsidRPr="00C81B1E">
              <w:rPr>
                <w:rFonts w:eastAsia="SimSun"/>
                <w:lang w:val="en-GB" w:eastAsia="zh-CN"/>
              </w:rPr>
              <w:fldChar w:fldCharType="end"/>
            </w:r>
          </w:p>
        </w:tc>
      </w:tr>
      <w:tr w:rsidR="00C81B1E" w:rsidRPr="00C81B1E" w14:paraId="159738A5" w14:textId="77777777" w:rsidTr="00C81B1E">
        <w:trPr>
          <w:trHeight w:val="255"/>
        </w:trPr>
        <w:tc>
          <w:tcPr>
            <w:tcW w:w="1809" w:type="dxa"/>
            <w:shd w:val="clear" w:color="auto" w:fill="auto"/>
            <w:noWrap/>
            <w:vAlign w:val="center"/>
            <w:hideMark/>
          </w:tcPr>
          <w:p w14:paraId="4E44E9FC"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 xml:space="preserve">Total </w:t>
            </w:r>
            <w:proofErr w:type="spellStart"/>
            <w:r w:rsidRPr="00C81B1E">
              <w:rPr>
                <w:rFonts w:eastAsia="SimSun"/>
                <w:b/>
                <w:bCs/>
                <w:lang w:val="en-GB" w:eastAsia="zh-CN"/>
              </w:rPr>
              <w:t>Kjeldahl</w:t>
            </w:r>
            <w:proofErr w:type="spellEnd"/>
            <w:r w:rsidRPr="00C81B1E">
              <w:rPr>
                <w:rFonts w:eastAsia="SimSun"/>
                <w:b/>
                <w:bCs/>
                <w:lang w:val="en-GB" w:eastAsia="zh-CN"/>
              </w:rPr>
              <w:t xml:space="preserve"> nitrogen (TKN)</w:t>
            </w:r>
          </w:p>
        </w:tc>
        <w:tc>
          <w:tcPr>
            <w:tcW w:w="1422" w:type="dxa"/>
            <w:shd w:val="clear" w:color="auto" w:fill="auto"/>
            <w:noWrap/>
            <w:vAlign w:val="center"/>
            <w:hideMark/>
          </w:tcPr>
          <w:p w14:paraId="44D13FD7" w14:textId="77777777" w:rsidR="00C7764C" w:rsidRPr="00C81B1E" w:rsidRDefault="00C7764C" w:rsidP="00C81B1E">
            <w:pPr>
              <w:pStyle w:val="MDPI42tablebody"/>
              <w:rPr>
                <w:rFonts w:eastAsia="SimSun"/>
                <w:lang w:val="en-GB" w:eastAsia="zh-CN"/>
              </w:rPr>
            </w:pPr>
            <w:r w:rsidRPr="00C81B1E">
              <w:rPr>
                <w:rFonts w:eastAsia="SimSun"/>
                <w:lang w:val="en-GB" w:eastAsia="zh-CN"/>
              </w:rPr>
              <w:t>mg/g TS</w:t>
            </w:r>
          </w:p>
        </w:tc>
        <w:tc>
          <w:tcPr>
            <w:tcW w:w="926" w:type="dxa"/>
            <w:shd w:val="clear" w:color="auto" w:fill="auto"/>
            <w:noWrap/>
            <w:vAlign w:val="center"/>
            <w:hideMark/>
          </w:tcPr>
          <w:p w14:paraId="2A8AE609" w14:textId="77777777" w:rsidR="00C7764C" w:rsidRPr="00C81B1E" w:rsidRDefault="00C7764C" w:rsidP="00C81B1E">
            <w:pPr>
              <w:pStyle w:val="MDPI42tablebody"/>
              <w:rPr>
                <w:rFonts w:eastAsia="SimSun"/>
                <w:lang w:val="en-GB" w:eastAsia="zh-CN"/>
              </w:rPr>
            </w:pPr>
            <w:r w:rsidRPr="00C81B1E">
              <w:rPr>
                <w:rFonts w:eastAsia="SimSun"/>
                <w:lang w:val="en-GB" w:eastAsia="zh-CN"/>
              </w:rPr>
              <w:t>AD, C</w:t>
            </w:r>
          </w:p>
        </w:tc>
        <w:tc>
          <w:tcPr>
            <w:tcW w:w="4915" w:type="dxa"/>
            <w:shd w:val="clear" w:color="auto" w:fill="auto"/>
            <w:noWrap/>
            <w:vAlign w:val="center"/>
            <w:hideMark/>
          </w:tcPr>
          <w:p w14:paraId="2DA7B353" w14:textId="77777777" w:rsidR="00C7764C" w:rsidRPr="00C81B1E" w:rsidRDefault="00C7764C" w:rsidP="00C81B1E">
            <w:pPr>
              <w:pStyle w:val="MDPI42tablebody"/>
              <w:rPr>
                <w:rFonts w:eastAsia="SimSun"/>
                <w:lang w:val="en-GB" w:eastAsia="zh-CN"/>
              </w:rPr>
            </w:pPr>
            <w:r w:rsidRPr="00C81B1E">
              <w:rPr>
                <w:rFonts w:eastAsia="SimSun"/>
                <w:lang w:val="en-GB" w:eastAsia="zh-CN"/>
              </w:rPr>
              <w:t xml:space="preserve">AD: </w:t>
            </w:r>
            <w:r w:rsidRPr="00C81B1E">
              <w:rPr>
                <w:rFonts w:eastAsia="SimSun"/>
                <w:lang w:val="en-GB" w:eastAsia="zh-CN"/>
              </w:rPr>
              <w:fldChar w:fldCharType="begin" w:fldLock="1"/>
            </w:r>
            <w:r w:rsidRPr="00C81B1E">
              <w:rPr>
                <w:rFonts w:eastAsia="SimSun"/>
                <w:lang w:val="en-GB" w:eastAsia="zh-CN"/>
              </w:rPr>
              <w:instrText>ADDIN CSL_CITATION {"citationItems":[{"id":"ITEM-1","itemData":{"DOI":"10.1007/s13399-015-0186-2","ISBN":"1339901501","ISSN":"2190-6815","author":[{"dropping-particle":"","family":"Kumar","given":"Parvendra","non-dropping-particle":"","parse-names":false,"suffix":""},{"dropping-particle":"","family":"Hussain","given":"Athar","non-dropping-particle":"","parse-names":false,"suffix":""},{"dropping-particle":"","family":"Dubey","given":"Shashi Kant","non-dropping-particle":"","parse-names":false,"suffix":""}],"container-title":"Biomass Conversion and Biorefinery","id":"ITEM-1","issue":"September","issued":{"date-parts":[["2015"]]},"page":"1-10","title":"Methane formation from food waste by anaerobic digestion","type":"article-journal"},"uris":["http://www.mendeley.com/documents/?uuid=1fdc4775-4b29-43af-a053-f1c1fda0d6cb"]}],"mendeley":{"formattedCitation":"(Kumar et al., 2015)","manualFormatting":"Kumar et al. (2015)","plainTextFormattedCitation":"(Kumar et al., 2015)","previouslyFormattedCitation":"(Kumar et al., 2015)"},"properties":{"noteIndex":0},"schema":"https://github.com/citation-style-language/schema/raw/master/csl-citation.json"}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Kumar et al. (2015)</w:t>
            </w:r>
            <w:r w:rsidRPr="00C81B1E">
              <w:rPr>
                <w:rFonts w:eastAsia="SimSun"/>
                <w:lang w:val="en-GB" w:eastAsia="zh-CN"/>
              </w:rPr>
              <w:fldChar w:fldCharType="end"/>
            </w:r>
            <w:r w:rsidRPr="00C81B1E">
              <w:rPr>
                <w:rFonts w:eastAsia="SimSun"/>
                <w:lang w:val="en-GB" w:eastAsia="zh-CN"/>
              </w:rPr>
              <w:t xml:space="preserve">, C: </w:t>
            </w:r>
            <w:r w:rsidRPr="00C81B1E">
              <w:rPr>
                <w:rFonts w:eastAsia="SimSun"/>
                <w:lang w:val="en-GB" w:eastAsia="zh-CN"/>
              </w:rPr>
              <w:fldChar w:fldCharType="begin" w:fldLock="1"/>
            </w:r>
            <w:r w:rsidRPr="00C81B1E">
              <w:rPr>
                <w:rFonts w:eastAsia="SimSun"/>
                <w:lang w:val="en-GB" w:eastAsia="zh-CN"/>
              </w:rPr>
              <w:instrText>ADDIN CSL_CITATION {"citationItems":[{"id":"ITEM-1","itemData":{"DOI":"10.1016/j.wasman.2007.08.018","ISBN":"0956-053X","ISSN":"0956053X","PMID":"17920855","abstract":"The characterization of food waste (FW) and locally available bulking agents (BA) are a prerequisite to optimizing compost recipes. This study measured the variation in FW characteristics (pH, dry matter (DM), carbon (C), wet bulk density and Total Kjeldahl Nitrogen (TKN)) produced by a restaurant and a community kitchen in downtown Montreal, Canada from May to August 2004. The project also measured the mass of FW produced by another restaurant and a group of 20-48 households, from June to August 2004. Locally available BA (hay, straw, pine wood shavings, cardboard, left over cattle feed and wheat residue pellets) were also characterized to formulate composting recipes based on the FW characteristics observed during a period representative of winter and summer conditions. Residential and restaurant FW characteristics varied significantly over the summer months, although the mass produced remained constant at 0.61 and 0.56 kg capita-1 day-1, respectively. In addition, the number of customers served by the restaurant increased by nearly 50% from June to August. The BA with the highest moisture adsorption capacity was found to be the wheat residue pellets, followed by chopped straw. Wheat residue pellets, chopped hay and left over cattle feed all presented a balanced C/N ratio. Wheat residue pellets and wheat straw, chopped hay and cardboard demonstrated neutral pH values. Based on the variable FW characteristics and monthly production rates, the formulation of recipes indicates that compost facilities must be flexible enough to handle seasonal variations of as much as 50% by volume. © 2007 Elsevier Ltd. All rights reserved.","author":[{"dropping-particle":"","family":"Adhikari","given":"Bijaya K.","non-dropping-particle":"","parse-names":false,"suffix":""},{"dropping-particle":"","family":"Barrington","given":"Suzelle","non-dropping-particle":"","parse-names":false,"suffix":""},{"dropping-particle":"","family":"Martinez","given":"José","non-dropping-particle":"","parse-names":false,"suffix":""},{"dropping-particle":"","family":"King","given":"Susan","non-dropping-particle":"","parse-names":false,"suffix":""}],"container-title":"Waste Management","id":"ITEM-1","issue":"5","issued":{"date-parts":[["2008"]]},"page":"795-804","title":"Characterization of food waste and bulking agents for composting","type":"article-journal","volume":"28"},"uris":["http://www.mendeley.com/documents/?uuid=a13eed86-be44-43bd-8192-6935e47edd9a"]}],"mendeley":{"formattedCitation":"(Adhikari et al., 2008)","manualFormatting":"Adhikari et al. (2008)","plainTextFormattedCitation":"(Adhikari et al., 2008)","previouslyFormattedCitation":"(Adhikari et al., 2008)"},"properties":{"noteIndex":0},"schema":"https://github.com/citation-style-language/schema/raw/master/csl-citation.json"}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Adhikari et al. (2008)</w:t>
            </w:r>
            <w:r w:rsidRPr="00C81B1E">
              <w:rPr>
                <w:rFonts w:eastAsia="SimSun"/>
                <w:lang w:val="en-GB" w:eastAsia="zh-CN"/>
              </w:rPr>
              <w:fldChar w:fldCharType="end"/>
            </w:r>
          </w:p>
        </w:tc>
      </w:tr>
      <w:tr w:rsidR="00C81B1E" w:rsidRPr="00C81B1E" w14:paraId="1ABD87B6" w14:textId="77777777" w:rsidTr="00C81B1E">
        <w:trPr>
          <w:trHeight w:val="255"/>
        </w:trPr>
        <w:tc>
          <w:tcPr>
            <w:tcW w:w="1809" w:type="dxa"/>
            <w:tcBorders>
              <w:top w:val="single" w:sz="4" w:space="0" w:color="7F7F7F"/>
              <w:bottom w:val="single" w:sz="4" w:space="0" w:color="7F7F7F"/>
            </w:tcBorders>
            <w:shd w:val="clear" w:color="auto" w:fill="auto"/>
            <w:noWrap/>
            <w:vAlign w:val="center"/>
            <w:hideMark/>
          </w:tcPr>
          <w:p w14:paraId="6564BBF9"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Total ammonia nitrogen (TAN)</w:t>
            </w:r>
          </w:p>
        </w:tc>
        <w:tc>
          <w:tcPr>
            <w:tcW w:w="1422" w:type="dxa"/>
            <w:tcBorders>
              <w:top w:val="single" w:sz="4" w:space="0" w:color="7F7F7F"/>
              <w:bottom w:val="single" w:sz="4" w:space="0" w:color="7F7F7F"/>
            </w:tcBorders>
            <w:shd w:val="clear" w:color="auto" w:fill="auto"/>
            <w:noWrap/>
            <w:vAlign w:val="center"/>
            <w:hideMark/>
          </w:tcPr>
          <w:p w14:paraId="648C3BD6" w14:textId="77777777" w:rsidR="00C7764C" w:rsidRPr="00C81B1E" w:rsidRDefault="00C7764C" w:rsidP="00C81B1E">
            <w:pPr>
              <w:pStyle w:val="MDPI42tablebody"/>
              <w:rPr>
                <w:rFonts w:eastAsia="SimSun"/>
                <w:lang w:val="en-GB" w:eastAsia="zh-CN"/>
              </w:rPr>
            </w:pPr>
            <w:r w:rsidRPr="00C81B1E">
              <w:rPr>
                <w:rFonts w:eastAsia="SimSun"/>
                <w:lang w:val="en-GB" w:eastAsia="zh-CN"/>
              </w:rPr>
              <w:t>mg/l</w:t>
            </w:r>
          </w:p>
        </w:tc>
        <w:tc>
          <w:tcPr>
            <w:tcW w:w="926" w:type="dxa"/>
            <w:tcBorders>
              <w:top w:val="single" w:sz="4" w:space="0" w:color="7F7F7F"/>
              <w:bottom w:val="single" w:sz="4" w:space="0" w:color="7F7F7F"/>
            </w:tcBorders>
            <w:shd w:val="clear" w:color="auto" w:fill="auto"/>
            <w:noWrap/>
            <w:vAlign w:val="center"/>
            <w:hideMark/>
          </w:tcPr>
          <w:p w14:paraId="72E06EA9" w14:textId="77777777" w:rsidR="00C7764C" w:rsidRPr="00C81B1E" w:rsidRDefault="00C7764C" w:rsidP="00C81B1E">
            <w:pPr>
              <w:pStyle w:val="MDPI42tablebody"/>
              <w:rPr>
                <w:rFonts w:eastAsia="SimSun"/>
                <w:lang w:val="en-GB" w:eastAsia="zh-CN"/>
              </w:rPr>
            </w:pPr>
            <w:r w:rsidRPr="00C81B1E">
              <w:rPr>
                <w:rFonts w:eastAsia="SimSun"/>
                <w:lang w:val="en-GB" w:eastAsia="zh-CN"/>
              </w:rPr>
              <w:t>AD</w:t>
            </w:r>
          </w:p>
        </w:tc>
        <w:tc>
          <w:tcPr>
            <w:tcW w:w="4915" w:type="dxa"/>
            <w:vMerge w:val="restart"/>
            <w:tcBorders>
              <w:top w:val="single" w:sz="4" w:space="0" w:color="7F7F7F"/>
              <w:bottom w:val="single" w:sz="4" w:space="0" w:color="7F7F7F"/>
            </w:tcBorders>
            <w:shd w:val="clear" w:color="auto" w:fill="auto"/>
            <w:noWrap/>
            <w:vAlign w:val="center"/>
            <w:hideMark/>
          </w:tcPr>
          <w:p w14:paraId="27023525" w14:textId="77777777" w:rsidR="00C7764C" w:rsidRPr="00C81B1E" w:rsidRDefault="00C7764C" w:rsidP="00C81B1E">
            <w:pPr>
              <w:pStyle w:val="MDPI42tablebody"/>
              <w:rPr>
                <w:rFonts w:eastAsia="SimSun"/>
                <w:lang w:val="en-GB" w:eastAsia="zh-CN"/>
              </w:rPr>
            </w:pPr>
            <w:r w:rsidRPr="00C81B1E">
              <w:rPr>
                <w:rFonts w:eastAsia="SimSun"/>
                <w:lang w:val="en-GB" w:eastAsia="zh-CN"/>
              </w:rPr>
              <w:fldChar w:fldCharType="begin" w:fldLock="1"/>
            </w:r>
            <w:r w:rsidRPr="00C81B1E">
              <w:rPr>
                <w:rFonts w:eastAsia="SimSun"/>
                <w:lang w:val="en-GB" w:eastAsia="zh-CN"/>
              </w:rPr>
              <w:instrText>ADDIN CSL_CITATION {"citationItems":[{"id":"ITEM-1","itemData":{"DOI":"10.1016/j.wasman.2016.01.041","ISBN":"0956-053X","ISSN":"18792456","PMID":"26868845","abstract":"In order to determine the variability of food waste (FW) characteristics and the influence of these variable values on the anaerobic digestion (AD) process, FW characteristics from 70 papers were compiled and analysed statistically. Results indicated that FW characteristics values are effectively very variable and that 24% of these variations may be explained by the geographical origin, the type of collection source and the season of the collection. Considering the whole range of values for physicochemical characteristics (especially volatile solids (VS), chemical oxygen demand (COD) and biomethane potential (BMP)), FW show good potential for AD treatment. However, the high carbohydrates contents (36.4%VS) and the low pH (5.1) might cause inhibitions by the rapid acidification of the digesters. As regards the variation of FW characteristics, FW categories were proposed. Moreover, the adequacy of FW characteristics with AD treatment was discussed. Four FW categories were identified with critical characteristics values for AD performance: (1) the high dry matter (DM) and total ammonia nitrogen (TAN) content of FW collected with green waste, (2) the high cellulose (CEL) content of FW from the organic fraction of municipal solid waste, (3) the low carbon-to-nitrogen (C/N) ratio of FW collected during summer, (4) the high value of TAN and Na of FW from Asia. For these cases, an aerobic pre-treatment or a corrective treatment seems to be advised to avoid instabilities along the digestion. Finally, the results of this review-paper provide a data basis of values for FW characteristics that could be used for AD process design and environmental assessment.","author":[{"dropping-particle":"","family":"Fisgativa","given":"Henry","non-dropping-particle":"","parse-names":false,"suffix":""},{"dropping-particle":"","family":"Tremier","given":"Anne","non-dropping-particle":"","parse-names":false,"suffix":""},{"dropping-particle":"","family":"Dabert","given":"Patrick","non-dropping-particle":"","parse-names":false,"suffix":""}],"container-title":"Waste Management","id":"ITEM-1","issued":{"date-parts":[["2016"]]},"page":"264-274","publisher":"Elsevier Ltd","title":"Characterizing the variability of food waste quality: A need for efficient valorisation through anaerobic digestion","type":"article-journal","volume":"50"},"uris":["http://www.mendeley.com/documents/?uuid=eddf645d-7bb2-494e-9a3b-d738938181e5"]}],"mendeley":{"formattedCitation":"(Fisgativa et al., 2016)","manualFormatting":"Fisgativa et al. (2015)","plainTextFormattedCitation":"(Fisgativa et al., 2016)","previouslyFormattedCitation":"(Fisgativa et al., 2016)"},"properties":{"noteIndex":0},"schema":"https://github.com/citation-style-language/schema/raw/master/csl-citation.json"}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Fisgativa et al. (2015)</w:t>
            </w:r>
            <w:r w:rsidRPr="00C81B1E">
              <w:rPr>
                <w:rFonts w:eastAsia="SimSun"/>
                <w:lang w:val="en-GB" w:eastAsia="zh-CN"/>
              </w:rPr>
              <w:fldChar w:fldCharType="end"/>
            </w:r>
          </w:p>
        </w:tc>
      </w:tr>
      <w:tr w:rsidR="00C81B1E" w:rsidRPr="00C81B1E" w14:paraId="3D478DB9" w14:textId="77777777" w:rsidTr="00C81B1E">
        <w:trPr>
          <w:trHeight w:val="255"/>
        </w:trPr>
        <w:tc>
          <w:tcPr>
            <w:tcW w:w="1809" w:type="dxa"/>
            <w:shd w:val="clear" w:color="auto" w:fill="auto"/>
            <w:noWrap/>
            <w:vAlign w:val="center"/>
            <w:hideMark/>
          </w:tcPr>
          <w:p w14:paraId="740C1E97"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Chemical oxygen demand (COD)</w:t>
            </w:r>
          </w:p>
        </w:tc>
        <w:tc>
          <w:tcPr>
            <w:tcW w:w="1422" w:type="dxa"/>
            <w:shd w:val="clear" w:color="auto" w:fill="auto"/>
            <w:noWrap/>
            <w:vAlign w:val="center"/>
            <w:hideMark/>
          </w:tcPr>
          <w:p w14:paraId="0FFE8005" w14:textId="77777777" w:rsidR="00C7764C" w:rsidRPr="00C81B1E" w:rsidRDefault="00C7764C" w:rsidP="00C81B1E">
            <w:pPr>
              <w:pStyle w:val="MDPI42tablebody"/>
              <w:rPr>
                <w:rFonts w:eastAsia="SimSun"/>
                <w:lang w:val="en-GB" w:eastAsia="zh-CN"/>
              </w:rPr>
            </w:pPr>
            <w:r w:rsidRPr="00C81B1E">
              <w:rPr>
                <w:rFonts w:eastAsia="SimSun"/>
                <w:lang w:val="en-GB" w:eastAsia="zh-CN"/>
              </w:rPr>
              <w:t>mg/l</w:t>
            </w:r>
          </w:p>
        </w:tc>
        <w:tc>
          <w:tcPr>
            <w:tcW w:w="926" w:type="dxa"/>
            <w:shd w:val="clear" w:color="auto" w:fill="auto"/>
            <w:noWrap/>
            <w:vAlign w:val="center"/>
            <w:hideMark/>
          </w:tcPr>
          <w:p w14:paraId="3181E85B" w14:textId="77777777" w:rsidR="00C7764C" w:rsidRPr="00C81B1E" w:rsidRDefault="00C7764C" w:rsidP="00C81B1E">
            <w:pPr>
              <w:pStyle w:val="MDPI42tablebody"/>
              <w:rPr>
                <w:rFonts w:eastAsia="SimSun"/>
                <w:lang w:val="en-GB" w:eastAsia="zh-CN"/>
              </w:rPr>
            </w:pPr>
            <w:r w:rsidRPr="00C81B1E">
              <w:rPr>
                <w:rFonts w:eastAsia="SimSun"/>
                <w:lang w:val="en-GB" w:eastAsia="zh-CN"/>
              </w:rPr>
              <w:t>AD</w:t>
            </w:r>
          </w:p>
        </w:tc>
        <w:tc>
          <w:tcPr>
            <w:tcW w:w="4915" w:type="dxa"/>
            <w:vMerge/>
            <w:shd w:val="clear" w:color="auto" w:fill="auto"/>
            <w:noWrap/>
            <w:vAlign w:val="center"/>
            <w:hideMark/>
          </w:tcPr>
          <w:p w14:paraId="5FBBA8CC" w14:textId="77777777" w:rsidR="00C7764C" w:rsidRPr="00C81B1E" w:rsidRDefault="00C7764C" w:rsidP="00C81B1E">
            <w:pPr>
              <w:pStyle w:val="MDPI42tablebody"/>
              <w:rPr>
                <w:rFonts w:eastAsia="SimSun"/>
                <w:lang w:val="en-GB" w:eastAsia="zh-CN"/>
              </w:rPr>
            </w:pPr>
          </w:p>
        </w:tc>
      </w:tr>
      <w:tr w:rsidR="00C81B1E" w:rsidRPr="00C81B1E" w14:paraId="4B8312AD" w14:textId="77777777" w:rsidTr="00C81B1E">
        <w:trPr>
          <w:trHeight w:val="255"/>
        </w:trPr>
        <w:tc>
          <w:tcPr>
            <w:tcW w:w="1809" w:type="dxa"/>
            <w:tcBorders>
              <w:top w:val="single" w:sz="4" w:space="0" w:color="7F7F7F"/>
              <w:bottom w:val="single" w:sz="4" w:space="0" w:color="7F7F7F"/>
            </w:tcBorders>
            <w:shd w:val="clear" w:color="auto" w:fill="auto"/>
            <w:noWrap/>
            <w:vAlign w:val="center"/>
            <w:hideMark/>
          </w:tcPr>
          <w:p w14:paraId="7D14D675" w14:textId="77777777" w:rsidR="00C7764C" w:rsidRPr="00C81B1E" w:rsidRDefault="00C7764C" w:rsidP="00C81B1E">
            <w:pPr>
              <w:pStyle w:val="MDPI42tablebody"/>
              <w:rPr>
                <w:rFonts w:eastAsia="SimSun"/>
                <w:b/>
                <w:bCs/>
                <w:lang w:val="en-GB" w:eastAsia="zh-CN"/>
              </w:rPr>
            </w:pPr>
            <w:proofErr w:type="gramStart"/>
            <w:r w:rsidRPr="00C81B1E">
              <w:rPr>
                <w:rFonts w:eastAsia="SimSun"/>
                <w:b/>
                <w:bCs/>
                <w:lang w:val="en-GB" w:eastAsia="zh-CN"/>
              </w:rPr>
              <w:t>C:H:O:N:P:S</w:t>
            </w:r>
            <w:proofErr w:type="gramEnd"/>
            <w:r w:rsidRPr="00C81B1E">
              <w:rPr>
                <w:rFonts w:eastAsia="SimSun"/>
                <w:b/>
                <w:bCs/>
                <w:lang w:val="en-GB" w:eastAsia="zh-CN"/>
              </w:rPr>
              <w:t xml:space="preserve"> ratio</w:t>
            </w:r>
          </w:p>
        </w:tc>
        <w:tc>
          <w:tcPr>
            <w:tcW w:w="1422" w:type="dxa"/>
            <w:tcBorders>
              <w:top w:val="single" w:sz="4" w:space="0" w:color="7F7F7F"/>
              <w:bottom w:val="single" w:sz="4" w:space="0" w:color="7F7F7F"/>
            </w:tcBorders>
            <w:shd w:val="clear" w:color="auto" w:fill="auto"/>
            <w:noWrap/>
            <w:vAlign w:val="center"/>
            <w:hideMark/>
          </w:tcPr>
          <w:p w14:paraId="2374480F" w14:textId="77777777" w:rsidR="00C7764C" w:rsidRPr="00C81B1E" w:rsidRDefault="00C7764C" w:rsidP="00C81B1E">
            <w:pPr>
              <w:pStyle w:val="MDPI42tablebody"/>
              <w:rPr>
                <w:rFonts w:eastAsia="SimSun"/>
                <w:lang w:val="en-GB" w:eastAsia="zh-CN"/>
              </w:rPr>
            </w:pPr>
            <w:proofErr w:type="gramStart"/>
            <w:r w:rsidRPr="00C81B1E">
              <w:rPr>
                <w:rFonts w:eastAsia="SimSun"/>
                <w:lang w:val="en-GB" w:eastAsia="zh-CN"/>
              </w:rPr>
              <w:t>C:H:O:N:P:S</w:t>
            </w:r>
            <w:proofErr w:type="gramEnd"/>
            <w:r w:rsidRPr="00C81B1E">
              <w:rPr>
                <w:rFonts w:eastAsia="SimSun"/>
                <w:lang w:val="en-GB" w:eastAsia="zh-CN"/>
              </w:rPr>
              <w:t xml:space="preserve"> mass</w:t>
            </w:r>
          </w:p>
        </w:tc>
        <w:tc>
          <w:tcPr>
            <w:tcW w:w="926" w:type="dxa"/>
            <w:tcBorders>
              <w:top w:val="single" w:sz="4" w:space="0" w:color="7F7F7F"/>
              <w:bottom w:val="single" w:sz="4" w:space="0" w:color="7F7F7F"/>
            </w:tcBorders>
            <w:shd w:val="clear" w:color="auto" w:fill="auto"/>
            <w:noWrap/>
            <w:vAlign w:val="center"/>
            <w:hideMark/>
          </w:tcPr>
          <w:p w14:paraId="3EFD1D2C" w14:textId="77777777" w:rsidR="00C7764C" w:rsidRPr="00C81B1E" w:rsidRDefault="00C7764C" w:rsidP="00C81B1E">
            <w:pPr>
              <w:pStyle w:val="MDPI42tablebody"/>
              <w:rPr>
                <w:rFonts w:eastAsia="SimSun"/>
                <w:lang w:val="en-GB" w:eastAsia="zh-CN"/>
              </w:rPr>
            </w:pPr>
            <w:r w:rsidRPr="00C81B1E">
              <w:rPr>
                <w:rFonts w:eastAsia="SimSun"/>
                <w:lang w:val="en-GB" w:eastAsia="zh-CN"/>
              </w:rPr>
              <w:t>AD</w:t>
            </w:r>
          </w:p>
        </w:tc>
        <w:tc>
          <w:tcPr>
            <w:tcW w:w="4915" w:type="dxa"/>
            <w:tcBorders>
              <w:top w:val="single" w:sz="4" w:space="0" w:color="7F7F7F"/>
              <w:bottom w:val="single" w:sz="4" w:space="0" w:color="7F7F7F"/>
            </w:tcBorders>
            <w:shd w:val="clear" w:color="auto" w:fill="auto"/>
            <w:noWrap/>
            <w:vAlign w:val="center"/>
            <w:hideMark/>
          </w:tcPr>
          <w:p w14:paraId="0F5503E5" w14:textId="77777777" w:rsidR="00C7764C" w:rsidRPr="00C81B1E" w:rsidRDefault="00C7764C" w:rsidP="00C81B1E">
            <w:pPr>
              <w:pStyle w:val="MDPI42tablebody"/>
              <w:rPr>
                <w:rFonts w:eastAsia="SimSun"/>
                <w:lang w:val="en-GB" w:eastAsia="zh-CN"/>
              </w:rPr>
            </w:pPr>
            <w:r w:rsidRPr="00C81B1E">
              <w:rPr>
                <w:rFonts w:eastAsia="SimSun"/>
                <w:lang w:val="en-GB" w:eastAsia="zh-CN"/>
              </w:rPr>
              <w:fldChar w:fldCharType="begin" w:fldLock="1"/>
            </w:r>
            <w:r w:rsidRPr="00C81B1E">
              <w:rPr>
                <w:rFonts w:eastAsia="SimSun"/>
                <w:lang w:val="en-GB" w:eastAsia="zh-CN"/>
              </w:rPr>
              <w:instrText>ADDIN CSL_CITATION {"citationItems":[{"id":"ITEM-1","itemData":{"DOI":"10.1080/09593330.2016.1155654","ISSN":"0959-3330","PMID":"26895466","abstract":"The agro-food industry (including livestock) generates millions of tonnes of waste products. A solution to this sector's waste disposal challenges was explored by a joint treatment model of organic waste products from several industries. An inventory of agro-food industry organic waste streams with high potential for biogas production was carried out in a logistically viable area (Cider Region, Asturias, Spain). Three industries were selected as those with the higher potential for this study: livestock, dairy and beverage. The kinetics of anaerobic degradation and methane production of four mixtures of selected waste streams were investigated. The specific methane production at five different substrate-to-inoculum ratios (0.50, 0.75, 1.00, 1.50 and 2.00) showed a slightly decreasing trend at the higher ratios. Some hints of a synergistic effect have been observed in mixtures with higher content in milled apple waste, while antagonistic symptoms were noted in mixtures mainly composed of dairy wastes. The estimation of fluxes of waste and methane potentials in the Cider Region suggests centralised anaerobic digestion as a sustainable solution for the valorisation of livestock and agro-food wastes generated in this area. Sector-specific waste streams (livestock and agro-food industry) could cover up to 12% of regional total energy demand.","author":[{"dropping-particle":"","family":"Hidalgo","given":"Dolores","non-dropping-particle":"","parse-names":false,"suffix":""},{"dropping-particle":"","family":"Martín-Marroquín","given":"Jesús M","non-dropping-particle":"","parse-names":false,"suffix":""},{"dropping-particle":"","family":"Nieto","given":"Pedro","non-dropping-particle":"","parse-names":false,"suffix":""}],"container-title":"Environmental Technology","id":"ITEM-1","issued":{"date-parts":[["2016"]]},"page":"1-9","title":"Anaerobic co-digestion of agro-food waste mixtures in a fed-batch basis","type":"article-journal"},"uris":["http://www.mendeley.com/documents/?uuid=187cbfa6-bf3b-475d-92f9-19226e5084bb"]}],"mendeley":{"formattedCitation":"(Hidalgo et al., 2016)","manualFormatting":"Hidalgo et al. (2016)","plainTextFormattedCitation":"(Hidalgo et al., 2016)","previouslyFormattedCitation":"(Hidalgo et al., 2016)"},"properties":{"noteIndex":0},"schema":"https://github.com/citation-style-language/schema/raw/master/csl-citation.json"}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Hidalgo et al. (2016)</w:t>
            </w:r>
            <w:r w:rsidRPr="00C81B1E">
              <w:rPr>
                <w:rFonts w:eastAsia="SimSun"/>
                <w:lang w:val="en-GB" w:eastAsia="zh-CN"/>
              </w:rPr>
              <w:fldChar w:fldCharType="end"/>
            </w:r>
          </w:p>
        </w:tc>
      </w:tr>
      <w:tr w:rsidR="00C81B1E" w:rsidRPr="00C81B1E" w14:paraId="459F336E" w14:textId="77777777" w:rsidTr="00C81B1E">
        <w:trPr>
          <w:trHeight w:val="255"/>
        </w:trPr>
        <w:tc>
          <w:tcPr>
            <w:tcW w:w="1809" w:type="dxa"/>
            <w:shd w:val="clear" w:color="auto" w:fill="auto"/>
            <w:noWrap/>
            <w:vAlign w:val="center"/>
            <w:hideMark/>
          </w:tcPr>
          <w:p w14:paraId="7E70504F" w14:textId="77777777" w:rsidR="00C7764C" w:rsidRPr="00C81B1E" w:rsidRDefault="00C7764C" w:rsidP="00C81B1E">
            <w:pPr>
              <w:pStyle w:val="MDPI42tablebody"/>
              <w:rPr>
                <w:rFonts w:eastAsia="SimSun"/>
                <w:b/>
                <w:bCs/>
                <w:lang w:val="en-GB" w:eastAsia="zh-CN"/>
              </w:rPr>
            </w:pPr>
            <w:proofErr w:type="gramStart"/>
            <w:r w:rsidRPr="00C81B1E">
              <w:rPr>
                <w:rFonts w:eastAsia="SimSun"/>
                <w:b/>
                <w:bCs/>
                <w:lang w:val="en-GB" w:eastAsia="zh-CN"/>
              </w:rPr>
              <w:t>C:H:O:N:S</w:t>
            </w:r>
            <w:proofErr w:type="gramEnd"/>
            <w:r w:rsidRPr="00C81B1E">
              <w:rPr>
                <w:rFonts w:eastAsia="SimSun"/>
                <w:b/>
                <w:bCs/>
                <w:lang w:val="en-GB" w:eastAsia="zh-CN"/>
              </w:rPr>
              <w:t>:Cl ratio</w:t>
            </w:r>
          </w:p>
        </w:tc>
        <w:tc>
          <w:tcPr>
            <w:tcW w:w="1422" w:type="dxa"/>
            <w:shd w:val="clear" w:color="auto" w:fill="auto"/>
            <w:noWrap/>
            <w:vAlign w:val="center"/>
            <w:hideMark/>
          </w:tcPr>
          <w:p w14:paraId="35C5E242" w14:textId="77777777" w:rsidR="00C7764C" w:rsidRPr="00C81B1E" w:rsidRDefault="00C7764C" w:rsidP="00C81B1E">
            <w:pPr>
              <w:pStyle w:val="MDPI42tablebody"/>
              <w:rPr>
                <w:rFonts w:eastAsia="SimSun"/>
                <w:lang w:val="en-GB" w:eastAsia="zh-CN"/>
              </w:rPr>
            </w:pPr>
            <w:proofErr w:type="gramStart"/>
            <w:r w:rsidRPr="00C81B1E">
              <w:rPr>
                <w:rFonts w:eastAsia="SimSun"/>
                <w:lang w:val="en-GB" w:eastAsia="zh-CN"/>
              </w:rPr>
              <w:t>C:H:O:N:S</w:t>
            </w:r>
            <w:proofErr w:type="gramEnd"/>
            <w:r w:rsidRPr="00C81B1E">
              <w:rPr>
                <w:rFonts w:eastAsia="SimSun"/>
                <w:lang w:val="en-GB" w:eastAsia="zh-CN"/>
              </w:rPr>
              <w:t>:Cl mass</w:t>
            </w:r>
          </w:p>
        </w:tc>
        <w:tc>
          <w:tcPr>
            <w:tcW w:w="926" w:type="dxa"/>
            <w:shd w:val="clear" w:color="auto" w:fill="auto"/>
            <w:noWrap/>
            <w:vAlign w:val="center"/>
            <w:hideMark/>
          </w:tcPr>
          <w:p w14:paraId="0385C5B0" w14:textId="77777777" w:rsidR="00C7764C" w:rsidRPr="00C81B1E" w:rsidRDefault="00C7764C" w:rsidP="00C81B1E">
            <w:pPr>
              <w:pStyle w:val="MDPI42tablebody"/>
              <w:rPr>
                <w:rFonts w:eastAsia="SimSun"/>
                <w:lang w:val="en-GB" w:eastAsia="zh-CN"/>
              </w:rPr>
            </w:pPr>
            <w:r w:rsidRPr="00C81B1E">
              <w:rPr>
                <w:rFonts w:eastAsia="SimSun"/>
                <w:lang w:val="en-GB" w:eastAsia="zh-CN"/>
              </w:rPr>
              <w:t>TT</w:t>
            </w:r>
          </w:p>
        </w:tc>
        <w:tc>
          <w:tcPr>
            <w:tcW w:w="4915" w:type="dxa"/>
            <w:shd w:val="clear" w:color="auto" w:fill="auto"/>
            <w:noWrap/>
            <w:vAlign w:val="center"/>
            <w:hideMark/>
          </w:tcPr>
          <w:p w14:paraId="3DFD9DE5" w14:textId="77777777" w:rsidR="00C7764C" w:rsidRPr="00C81B1E" w:rsidRDefault="00C7764C" w:rsidP="00C81B1E">
            <w:pPr>
              <w:pStyle w:val="MDPI42tablebody"/>
              <w:rPr>
                <w:rFonts w:eastAsia="SimSun"/>
                <w:lang w:val="en-GB" w:eastAsia="zh-CN"/>
              </w:rPr>
            </w:pPr>
            <w:r w:rsidRPr="00C81B1E">
              <w:rPr>
                <w:rFonts w:eastAsia="SimSun"/>
                <w:lang w:val="en-GB" w:eastAsia="zh-CN"/>
              </w:rPr>
              <w:fldChar w:fldCharType="begin" w:fldLock="1"/>
            </w:r>
            <w:r w:rsidRPr="00C81B1E">
              <w:rPr>
                <w:rFonts w:eastAsia="SimSun"/>
                <w:lang w:val="en-GB" w:eastAsia="zh-CN"/>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Caton et al. (2010)</w:t>
            </w:r>
            <w:r w:rsidRPr="00C81B1E">
              <w:rPr>
                <w:rFonts w:eastAsia="SimSun"/>
                <w:lang w:val="en-GB" w:eastAsia="zh-CN"/>
              </w:rPr>
              <w:fldChar w:fldCharType="end"/>
            </w:r>
          </w:p>
        </w:tc>
      </w:tr>
      <w:tr w:rsidR="00C81B1E" w:rsidRPr="00C81B1E" w14:paraId="5E32E928" w14:textId="77777777" w:rsidTr="00C81B1E">
        <w:trPr>
          <w:trHeight w:val="255"/>
        </w:trPr>
        <w:tc>
          <w:tcPr>
            <w:tcW w:w="1809" w:type="dxa"/>
            <w:tcBorders>
              <w:top w:val="single" w:sz="4" w:space="0" w:color="7F7F7F"/>
              <w:bottom w:val="single" w:sz="4" w:space="0" w:color="7F7F7F"/>
            </w:tcBorders>
            <w:shd w:val="clear" w:color="auto" w:fill="auto"/>
            <w:noWrap/>
            <w:vAlign w:val="center"/>
            <w:hideMark/>
          </w:tcPr>
          <w:p w14:paraId="0784E99E"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C:N ratio</w:t>
            </w:r>
          </w:p>
        </w:tc>
        <w:tc>
          <w:tcPr>
            <w:tcW w:w="1422" w:type="dxa"/>
            <w:tcBorders>
              <w:top w:val="single" w:sz="4" w:space="0" w:color="7F7F7F"/>
              <w:bottom w:val="single" w:sz="4" w:space="0" w:color="7F7F7F"/>
            </w:tcBorders>
            <w:shd w:val="clear" w:color="auto" w:fill="auto"/>
            <w:noWrap/>
            <w:vAlign w:val="center"/>
            <w:hideMark/>
          </w:tcPr>
          <w:p w14:paraId="11030008" w14:textId="77777777" w:rsidR="00C7764C" w:rsidRPr="00C81B1E" w:rsidRDefault="00C7764C" w:rsidP="00C81B1E">
            <w:pPr>
              <w:pStyle w:val="MDPI42tablebody"/>
              <w:rPr>
                <w:rFonts w:eastAsia="SimSun"/>
                <w:lang w:val="en-GB" w:eastAsia="zh-CN"/>
              </w:rPr>
            </w:pPr>
            <w:proofErr w:type="gramStart"/>
            <w:r w:rsidRPr="00C81B1E">
              <w:rPr>
                <w:rFonts w:eastAsia="SimSun"/>
                <w:lang w:val="en-GB" w:eastAsia="zh-CN"/>
              </w:rPr>
              <w:t>C:N</w:t>
            </w:r>
            <w:proofErr w:type="gramEnd"/>
            <w:r w:rsidRPr="00C81B1E">
              <w:rPr>
                <w:rFonts w:eastAsia="SimSun"/>
                <w:lang w:val="en-GB" w:eastAsia="zh-CN"/>
              </w:rPr>
              <w:t xml:space="preserve"> mass</w:t>
            </w:r>
          </w:p>
        </w:tc>
        <w:tc>
          <w:tcPr>
            <w:tcW w:w="926" w:type="dxa"/>
            <w:tcBorders>
              <w:top w:val="single" w:sz="4" w:space="0" w:color="7F7F7F"/>
              <w:bottom w:val="single" w:sz="4" w:space="0" w:color="7F7F7F"/>
            </w:tcBorders>
            <w:shd w:val="clear" w:color="auto" w:fill="auto"/>
            <w:noWrap/>
            <w:vAlign w:val="center"/>
            <w:hideMark/>
          </w:tcPr>
          <w:p w14:paraId="3B24FE23" w14:textId="77777777" w:rsidR="00C7764C" w:rsidRPr="00C81B1E" w:rsidRDefault="00C7764C" w:rsidP="00C81B1E">
            <w:pPr>
              <w:pStyle w:val="MDPI42tablebody"/>
              <w:rPr>
                <w:rFonts w:eastAsia="SimSun"/>
                <w:lang w:val="en-GB" w:eastAsia="zh-CN"/>
              </w:rPr>
            </w:pPr>
            <w:r w:rsidRPr="00C81B1E">
              <w:rPr>
                <w:rFonts w:eastAsia="SimSun"/>
                <w:lang w:val="en-GB" w:eastAsia="zh-CN"/>
              </w:rPr>
              <w:t>C</w:t>
            </w:r>
          </w:p>
        </w:tc>
        <w:tc>
          <w:tcPr>
            <w:tcW w:w="4915" w:type="dxa"/>
            <w:tcBorders>
              <w:top w:val="single" w:sz="4" w:space="0" w:color="7F7F7F"/>
              <w:bottom w:val="single" w:sz="4" w:space="0" w:color="7F7F7F"/>
            </w:tcBorders>
            <w:shd w:val="clear" w:color="auto" w:fill="auto"/>
            <w:noWrap/>
            <w:vAlign w:val="center"/>
            <w:hideMark/>
          </w:tcPr>
          <w:p w14:paraId="15364648" w14:textId="77777777" w:rsidR="00C7764C" w:rsidRPr="00C81B1E" w:rsidRDefault="00C7764C" w:rsidP="00C81B1E">
            <w:pPr>
              <w:pStyle w:val="MDPI42tablebody"/>
              <w:rPr>
                <w:rFonts w:eastAsia="SimSun"/>
                <w:lang w:val="en-GB" w:eastAsia="zh-CN"/>
              </w:rPr>
            </w:pPr>
            <w:r w:rsidRPr="00C81B1E">
              <w:rPr>
                <w:rFonts w:eastAsia="SimSun"/>
                <w:lang w:val="en-GB" w:eastAsia="zh-CN"/>
              </w:rPr>
              <w:fldChar w:fldCharType="begin" w:fldLock="1"/>
            </w:r>
            <w:r w:rsidRPr="00C81B1E">
              <w:rPr>
                <w:rFonts w:eastAsia="SimSun"/>
                <w:lang w:val="en-GB" w:eastAsia="zh-CN"/>
              </w:rPr>
              <w:instrText>ADDIN CSL_CITATION {"citationItems":[{"id":"ITEM-1","itemData":{"DOI":"10.1016/j.biortech.2010.02.042","ISBN":"0960-8524","ISSN":"09608524","PMID":"20385493","abstract":"The effects of rice husk, sawdust and rice bran on the composting process of food waste were studied in a 180-L laboratory composter based on a mixture experimental design. Linear and quadratic models of seven important process characteristics (composting and acidification times, lowest and final pH values, highest temperature, the water-soluble organic carbon to water-soluble organic nitrogen (COW/NOW ratio), and the water-soluble organic carbon to total organic nitrogen (COW/NOT) ratio) in terms of fractional compositions of bulking agents as well as the water absorption capacity and the free air space of the composting matrix were developed. ?? 2010.","author":[{"dropping-particle":"","family":"Chang","given":"James I.","non-dropping-particle":"","parse-names":false,"suffix":""},{"dropping-particle":"","family":"Chen","given":"Y. J.","non-dropping-particle":"","parse-names":false,"suffix":""}],"container-title":"Bioresource Technology","id":"ITEM-1","issue":"15","issued":{"date-parts":[["2010"]]},"page":"5917-5924","publisher":"Elsevier Ltd","title":"Effects of bulking agents on food waste composting","type":"article-journal","volume":"101"},"uris":["http://www.mendeley.com/documents/?uuid=6bf36be4-46ee-47b8-b16f-1835d5618acf"]}],"mendeley":{"formattedCitation":"(Chang and Chen, 2010)","manualFormatting":"Chang &amp; Chen (2010)","plainTextFormattedCitation":"(Chang and Chen, 2010)","previouslyFormattedCitation":"(Chang and Chen, 2010)"},"properties":{"noteIndex":0},"schema":"https://github.com/citation-style-language/schema/raw/master/csl-citation.json"}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Chang &amp; Chen (2010)</w:t>
            </w:r>
            <w:r w:rsidRPr="00C81B1E">
              <w:rPr>
                <w:rFonts w:eastAsia="SimSun"/>
                <w:lang w:val="en-GB" w:eastAsia="zh-CN"/>
              </w:rPr>
              <w:fldChar w:fldCharType="end"/>
            </w:r>
          </w:p>
        </w:tc>
      </w:tr>
      <w:tr w:rsidR="00C81B1E" w:rsidRPr="00C81B1E" w14:paraId="6C787211" w14:textId="77777777" w:rsidTr="00C81B1E">
        <w:trPr>
          <w:trHeight w:val="255"/>
        </w:trPr>
        <w:tc>
          <w:tcPr>
            <w:tcW w:w="1809" w:type="dxa"/>
            <w:shd w:val="clear" w:color="auto" w:fill="auto"/>
            <w:noWrap/>
            <w:vAlign w:val="center"/>
            <w:hideMark/>
          </w:tcPr>
          <w:p w14:paraId="62279BCA"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Ash</w:t>
            </w:r>
          </w:p>
        </w:tc>
        <w:tc>
          <w:tcPr>
            <w:tcW w:w="1422" w:type="dxa"/>
            <w:shd w:val="clear" w:color="auto" w:fill="auto"/>
            <w:noWrap/>
            <w:vAlign w:val="center"/>
            <w:hideMark/>
          </w:tcPr>
          <w:p w14:paraId="249082AE" w14:textId="77777777" w:rsidR="00C7764C" w:rsidRPr="00C81B1E" w:rsidRDefault="00C7764C" w:rsidP="00C81B1E">
            <w:pPr>
              <w:pStyle w:val="MDPI42tablebody"/>
              <w:rPr>
                <w:rFonts w:eastAsia="SimSun"/>
                <w:lang w:val="en-GB" w:eastAsia="zh-CN"/>
              </w:rPr>
            </w:pPr>
            <w:r w:rsidRPr="00C81B1E">
              <w:rPr>
                <w:rFonts w:eastAsia="SimSun"/>
                <w:lang w:val="en-GB" w:eastAsia="zh-CN"/>
              </w:rPr>
              <w:t>% mass</w:t>
            </w:r>
          </w:p>
        </w:tc>
        <w:tc>
          <w:tcPr>
            <w:tcW w:w="926" w:type="dxa"/>
            <w:shd w:val="clear" w:color="auto" w:fill="auto"/>
            <w:noWrap/>
            <w:vAlign w:val="center"/>
            <w:hideMark/>
          </w:tcPr>
          <w:p w14:paraId="56F20F12" w14:textId="77777777" w:rsidR="00C7764C" w:rsidRPr="00C81B1E" w:rsidRDefault="00C7764C" w:rsidP="00C81B1E">
            <w:pPr>
              <w:pStyle w:val="MDPI42tablebody"/>
              <w:rPr>
                <w:rFonts w:eastAsia="SimSun"/>
                <w:lang w:val="en-GB" w:eastAsia="zh-CN"/>
              </w:rPr>
            </w:pPr>
            <w:r w:rsidRPr="00C81B1E">
              <w:rPr>
                <w:rFonts w:eastAsia="SimSun"/>
                <w:lang w:val="en-GB" w:eastAsia="zh-CN"/>
              </w:rPr>
              <w:t>C, TT</w:t>
            </w:r>
          </w:p>
        </w:tc>
        <w:tc>
          <w:tcPr>
            <w:tcW w:w="4915" w:type="dxa"/>
            <w:shd w:val="clear" w:color="auto" w:fill="auto"/>
            <w:noWrap/>
            <w:vAlign w:val="center"/>
            <w:hideMark/>
          </w:tcPr>
          <w:p w14:paraId="1F3918C8" w14:textId="77777777" w:rsidR="00C7764C" w:rsidRPr="00C81B1E" w:rsidRDefault="00C7764C" w:rsidP="00C81B1E">
            <w:pPr>
              <w:pStyle w:val="MDPI42tablebody"/>
              <w:rPr>
                <w:rFonts w:eastAsia="SimSun"/>
                <w:lang w:val="en-GB" w:eastAsia="zh-CN"/>
              </w:rPr>
            </w:pPr>
            <w:r w:rsidRPr="00C81B1E">
              <w:rPr>
                <w:rFonts w:eastAsia="SimSun"/>
                <w:lang w:val="en-GB" w:eastAsia="zh-CN"/>
              </w:rPr>
              <w:t xml:space="preserve">C: </w:t>
            </w:r>
            <w:r w:rsidRPr="00C81B1E">
              <w:rPr>
                <w:rFonts w:eastAsia="SimSun"/>
                <w:lang w:val="en-GB" w:eastAsia="zh-CN"/>
              </w:rPr>
              <w:fldChar w:fldCharType="begin" w:fldLock="1"/>
            </w:r>
            <w:r w:rsidRPr="00C81B1E">
              <w:rPr>
                <w:rFonts w:eastAsia="SimSun"/>
                <w:lang w:val="en-GB" w:eastAsia="zh-CN"/>
              </w:rPr>
              <w:instrText>ADDIN CSL_CITATION {"citationItems":[{"id":"ITEM-1","itemData":{"DOI":"10.1016/j.biortech.2010.02.042","ISBN":"0960-8524","ISSN":"09608524","PMID":"20385493","abstract":"The effects of rice husk, sawdust and rice bran on the composting process of food waste were studied in a 180-L laboratory composter based on a mixture experimental design. Linear and quadratic models of seven important process characteristics (composting and acidification times, lowest and final pH values, highest temperature, the water-soluble organic carbon to water-soluble organic nitrogen (COW/NOW ratio), and the water-soluble organic carbon to total organic nitrogen (COW/NOT) ratio) in terms of fractional compositions of bulking agents as well as the water absorption capacity and the free air space of the composting matrix were developed. ?? 2010.","author":[{"dropping-particle":"","family":"Chang","given":"James I.","non-dropping-particle":"","parse-names":false,"suffix":""},{"dropping-particle":"","family":"Chen","given":"Y. J.","non-dropping-particle":"","parse-names":false,"suffix":""}],"container-title":"Bioresource Technology","id":"ITEM-1","issue":"15","issued":{"date-parts":[["2010"]]},"page":"5917-5924","publisher":"Elsevier Ltd","title":"Effects of bulking agents on food waste composting","type":"article-journal","volume":"101"},"uris":["http://www.mendeley.com/documents/?uuid=6bf36be4-46ee-47b8-b16f-1835d5618acf"]}],"mendeley":{"formattedCitation":"(Chang and Chen, 2010)","manualFormatting":"Chang &amp; Chen (2010)","plainTextFormattedCitation":"(Chang and Chen, 2010)","previouslyFormattedCitation":"(Chang and Chen, 2010)"},"properties":{"noteIndex":0},"schema":"https://github.com/citation-style-language/schema/raw/master/csl-citation.json"}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Chang &amp; Chen (2010)</w:t>
            </w:r>
            <w:r w:rsidRPr="00C81B1E">
              <w:rPr>
                <w:rFonts w:eastAsia="SimSun"/>
                <w:lang w:val="en-GB" w:eastAsia="zh-CN"/>
              </w:rPr>
              <w:fldChar w:fldCharType="end"/>
            </w:r>
            <w:r w:rsidRPr="00C81B1E">
              <w:rPr>
                <w:rFonts w:eastAsia="SimSun"/>
                <w:lang w:val="en-GB" w:eastAsia="zh-CN"/>
              </w:rPr>
              <w:t xml:space="preserve">, TT: </w:t>
            </w:r>
            <w:r w:rsidRPr="00C81B1E">
              <w:rPr>
                <w:rFonts w:eastAsia="SimSun"/>
                <w:lang w:val="en-GB" w:eastAsia="zh-CN"/>
              </w:rPr>
              <w:fldChar w:fldCharType="begin" w:fldLock="1"/>
            </w:r>
            <w:r w:rsidRPr="00C81B1E">
              <w:rPr>
                <w:rFonts w:eastAsia="SimSun"/>
                <w:lang w:val="en-GB" w:eastAsia="zh-CN"/>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Caton et al. (2010)</w:t>
            </w:r>
            <w:r w:rsidRPr="00C81B1E">
              <w:rPr>
                <w:rFonts w:eastAsia="SimSun"/>
                <w:lang w:val="en-GB" w:eastAsia="zh-CN"/>
              </w:rPr>
              <w:fldChar w:fldCharType="end"/>
            </w:r>
          </w:p>
        </w:tc>
      </w:tr>
      <w:tr w:rsidR="00C81B1E" w:rsidRPr="00C81B1E" w14:paraId="7DC23D13" w14:textId="77777777" w:rsidTr="00C81B1E">
        <w:trPr>
          <w:trHeight w:val="255"/>
        </w:trPr>
        <w:tc>
          <w:tcPr>
            <w:tcW w:w="1809" w:type="dxa"/>
            <w:tcBorders>
              <w:top w:val="single" w:sz="4" w:space="0" w:color="7F7F7F"/>
              <w:bottom w:val="single" w:sz="4" w:space="0" w:color="7F7F7F"/>
            </w:tcBorders>
            <w:shd w:val="clear" w:color="auto" w:fill="auto"/>
            <w:noWrap/>
            <w:vAlign w:val="center"/>
            <w:hideMark/>
          </w:tcPr>
          <w:p w14:paraId="63BCE5F8"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Porosity</w:t>
            </w:r>
          </w:p>
        </w:tc>
        <w:tc>
          <w:tcPr>
            <w:tcW w:w="1422" w:type="dxa"/>
            <w:tcBorders>
              <w:top w:val="single" w:sz="4" w:space="0" w:color="7F7F7F"/>
              <w:bottom w:val="single" w:sz="4" w:space="0" w:color="7F7F7F"/>
            </w:tcBorders>
            <w:shd w:val="clear" w:color="auto" w:fill="auto"/>
            <w:noWrap/>
            <w:vAlign w:val="center"/>
            <w:hideMark/>
          </w:tcPr>
          <w:p w14:paraId="60CF353B" w14:textId="77777777" w:rsidR="00C7764C" w:rsidRPr="00C81B1E" w:rsidRDefault="00C7764C" w:rsidP="00C81B1E">
            <w:pPr>
              <w:pStyle w:val="MDPI42tablebody"/>
              <w:rPr>
                <w:rFonts w:eastAsia="SimSun"/>
                <w:lang w:val="en-GB" w:eastAsia="zh-CN"/>
              </w:rPr>
            </w:pPr>
            <w:r w:rsidRPr="00C81B1E">
              <w:rPr>
                <w:rFonts w:eastAsia="SimSun"/>
                <w:lang w:val="en-GB" w:eastAsia="zh-CN"/>
              </w:rPr>
              <w:t>% volume</w:t>
            </w:r>
          </w:p>
        </w:tc>
        <w:tc>
          <w:tcPr>
            <w:tcW w:w="926" w:type="dxa"/>
            <w:tcBorders>
              <w:top w:val="single" w:sz="4" w:space="0" w:color="7F7F7F"/>
              <w:bottom w:val="single" w:sz="4" w:space="0" w:color="7F7F7F"/>
            </w:tcBorders>
            <w:shd w:val="clear" w:color="auto" w:fill="auto"/>
            <w:noWrap/>
            <w:vAlign w:val="center"/>
            <w:hideMark/>
          </w:tcPr>
          <w:p w14:paraId="083A05FC" w14:textId="77777777" w:rsidR="00C7764C" w:rsidRPr="00C81B1E" w:rsidRDefault="00C7764C" w:rsidP="00C81B1E">
            <w:pPr>
              <w:pStyle w:val="MDPI42tablebody"/>
              <w:rPr>
                <w:rFonts w:eastAsia="SimSun"/>
                <w:lang w:val="en-GB" w:eastAsia="zh-CN"/>
              </w:rPr>
            </w:pPr>
            <w:r w:rsidRPr="00C81B1E">
              <w:rPr>
                <w:rFonts w:eastAsia="SimSun"/>
                <w:lang w:val="en-GB" w:eastAsia="zh-CN"/>
              </w:rPr>
              <w:t>C</w:t>
            </w:r>
          </w:p>
        </w:tc>
        <w:tc>
          <w:tcPr>
            <w:tcW w:w="4915" w:type="dxa"/>
            <w:tcBorders>
              <w:top w:val="single" w:sz="4" w:space="0" w:color="7F7F7F"/>
              <w:bottom w:val="single" w:sz="4" w:space="0" w:color="7F7F7F"/>
            </w:tcBorders>
            <w:shd w:val="clear" w:color="auto" w:fill="auto"/>
            <w:noWrap/>
            <w:vAlign w:val="center"/>
            <w:hideMark/>
          </w:tcPr>
          <w:p w14:paraId="35043717" w14:textId="77777777" w:rsidR="00C7764C" w:rsidRPr="00C81B1E" w:rsidRDefault="00C7764C" w:rsidP="00C81B1E">
            <w:pPr>
              <w:pStyle w:val="MDPI42tablebody"/>
              <w:rPr>
                <w:rFonts w:eastAsia="SimSun"/>
                <w:lang w:val="en-GB" w:eastAsia="zh-CN"/>
              </w:rPr>
            </w:pPr>
            <w:r w:rsidRPr="00C81B1E">
              <w:rPr>
                <w:rFonts w:eastAsia="SimSun"/>
                <w:lang w:val="en-GB" w:eastAsia="zh-CN"/>
              </w:rPr>
              <w:fldChar w:fldCharType="begin" w:fldLock="1"/>
            </w:r>
            <w:r w:rsidRPr="00C81B1E">
              <w:rPr>
                <w:rFonts w:eastAsia="SimSun"/>
                <w:lang w:val="en-GB" w:eastAsia="zh-CN"/>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Cooperband (2002)</w:t>
            </w:r>
            <w:r w:rsidRPr="00C81B1E">
              <w:rPr>
                <w:rFonts w:eastAsia="SimSun"/>
                <w:lang w:val="en-GB" w:eastAsia="zh-CN"/>
              </w:rPr>
              <w:fldChar w:fldCharType="end"/>
            </w:r>
          </w:p>
        </w:tc>
      </w:tr>
      <w:tr w:rsidR="00C81B1E" w:rsidRPr="00C81B1E" w14:paraId="61E15DDE" w14:textId="77777777" w:rsidTr="00C81B1E">
        <w:trPr>
          <w:trHeight w:val="270"/>
        </w:trPr>
        <w:tc>
          <w:tcPr>
            <w:tcW w:w="1809" w:type="dxa"/>
            <w:shd w:val="clear" w:color="auto" w:fill="auto"/>
            <w:noWrap/>
            <w:vAlign w:val="center"/>
            <w:hideMark/>
          </w:tcPr>
          <w:p w14:paraId="1FAE0C4C" w14:textId="77777777" w:rsidR="00C7764C" w:rsidRPr="00C81B1E" w:rsidRDefault="00C7764C" w:rsidP="00C81B1E">
            <w:pPr>
              <w:pStyle w:val="MDPI42tablebody"/>
              <w:rPr>
                <w:rFonts w:eastAsia="SimSun"/>
                <w:b/>
                <w:bCs/>
                <w:lang w:val="en-GB" w:eastAsia="zh-CN"/>
              </w:rPr>
            </w:pPr>
            <w:r w:rsidRPr="00C81B1E">
              <w:rPr>
                <w:rFonts w:eastAsia="SimSun"/>
                <w:b/>
                <w:bCs/>
                <w:lang w:val="en-GB" w:eastAsia="zh-CN"/>
              </w:rPr>
              <w:t>Calorific value</w:t>
            </w:r>
          </w:p>
        </w:tc>
        <w:tc>
          <w:tcPr>
            <w:tcW w:w="1422" w:type="dxa"/>
            <w:shd w:val="clear" w:color="auto" w:fill="auto"/>
            <w:noWrap/>
            <w:vAlign w:val="center"/>
            <w:hideMark/>
          </w:tcPr>
          <w:p w14:paraId="731A85F7" w14:textId="77777777" w:rsidR="00C7764C" w:rsidRPr="00C81B1E" w:rsidRDefault="00C7764C" w:rsidP="00C81B1E">
            <w:pPr>
              <w:pStyle w:val="MDPI42tablebody"/>
              <w:rPr>
                <w:rFonts w:eastAsia="SimSun"/>
                <w:lang w:val="en-GB" w:eastAsia="zh-CN"/>
              </w:rPr>
            </w:pPr>
            <w:r w:rsidRPr="00C81B1E">
              <w:rPr>
                <w:rFonts w:eastAsia="SimSun"/>
                <w:lang w:val="en-GB" w:eastAsia="zh-CN"/>
              </w:rPr>
              <w:t>MJ/kg</w:t>
            </w:r>
          </w:p>
        </w:tc>
        <w:tc>
          <w:tcPr>
            <w:tcW w:w="926" w:type="dxa"/>
            <w:shd w:val="clear" w:color="auto" w:fill="auto"/>
            <w:noWrap/>
            <w:vAlign w:val="center"/>
            <w:hideMark/>
          </w:tcPr>
          <w:p w14:paraId="5B924413" w14:textId="77777777" w:rsidR="00C7764C" w:rsidRPr="00C81B1E" w:rsidRDefault="00C7764C" w:rsidP="00C81B1E">
            <w:pPr>
              <w:pStyle w:val="MDPI42tablebody"/>
              <w:rPr>
                <w:rFonts w:eastAsia="SimSun"/>
                <w:lang w:val="en-GB" w:eastAsia="zh-CN"/>
              </w:rPr>
            </w:pPr>
            <w:r w:rsidRPr="00C81B1E">
              <w:rPr>
                <w:rFonts w:eastAsia="SimSun"/>
                <w:lang w:val="en-GB" w:eastAsia="zh-CN"/>
              </w:rPr>
              <w:t>TT</w:t>
            </w:r>
          </w:p>
        </w:tc>
        <w:tc>
          <w:tcPr>
            <w:tcW w:w="4915" w:type="dxa"/>
            <w:shd w:val="clear" w:color="auto" w:fill="auto"/>
            <w:noWrap/>
            <w:vAlign w:val="center"/>
            <w:hideMark/>
          </w:tcPr>
          <w:p w14:paraId="154A63BF" w14:textId="77777777" w:rsidR="00C7764C" w:rsidRPr="00C81B1E" w:rsidRDefault="00C7764C" w:rsidP="00C81B1E">
            <w:pPr>
              <w:pStyle w:val="MDPI42tablebody"/>
              <w:rPr>
                <w:rFonts w:eastAsia="SimSun"/>
                <w:lang w:val="en-GB" w:eastAsia="zh-CN"/>
              </w:rPr>
            </w:pPr>
            <w:r w:rsidRPr="00C81B1E">
              <w:rPr>
                <w:rFonts w:eastAsia="SimSun"/>
                <w:lang w:val="en-GB" w:eastAsia="zh-CN"/>
              </w:rPr>
              <w:fldChar w:fldCharType="begin" w:fldLock="1"/>
            </w:r>
            <w:r w:rsidRPr="00C81B1E">
              <w:rPr>
                <w:rFonts w:eastAsia="SimSun"/>
                <w:lang w:val="en-GB" w:eastAsia="zh-CN"/>
              </w:rPr>
              <w:instrText>ADDIN CSL_CITATION {"citationItems":[{"id":"ITEM-1","itemData":{"DOI":"10.1016/j.wasman.2016.02.024","ISSN":"1879-2456","PMID":"26926784","abstract":"This paper presents model analyses and tests of animal by-product waste thermal treatment plants. A schedule of tests was prepared, and 62,024 cases of system operation were analysed. A map/work field of the tested plant was drawn up on the basis thereof. Calculations were made following an algorithm described by Bujak (2015a) written in the VBA (Visual Basic for Application) language. The tests showed that when incinerating animal waste, the flux of physical enthalpy of the flue gas from the afterburner chamber depends on numerous design and operating parameters. The most important include the following: humidity and flux of the waste, concentration of oxygen in the flue gas in the afterburner chamber and loss of heat flux to the atmosphere through the external surfaces of the plant. Individual design and operating parameters can be selected so that the process of incineration is ensured without additional fuel. The performed analyses were verified against the actual object at the industrial scale using a meat plant that manufactures ham and processes beef, pork and poultry with a capacity of 150tonnes/day. The production process waste included mainly bones and - in much smaller quantities - meat and bone meal, at 17tonnes/day. The performed tests and analyses can be used to optimise the operation of the waste thermal treatment plant at the stages of design and operation.","author":[{"dropping-particle":"","family":"Bujak","given":"Janusz","non-dropping-particle":"","parse-names":false,"suffix":""},{"dropping-particle":"","family":"Sitarz","given":"Piotr","non-dropping-particle":"","parse-names":false,"suffix":""}],"container-title":"Waste Management","id":"ITEM-1","issued":{"date-parts":[["2016"]]},"page":"309-323","publisher":"Elsevier Ltd","title":"Incineration of animal by-products - The impact of selected parameters on the flux of flue gas enthalpy","type":"article-journal","volume":"50"},"uris":["http://www.mendeley.com/documents/?uuid=79f38ed7-0ed6-4877-84b7-3b3b2d897f7a"]}],"mendeley":{"formattedCitation":"(Bujak and Sitarz, 2016)","manualFormatting":"Bujak &amp; Sitarz (2016)","plainTextFormattedCitation":"(Bujak and Sitarz, 2016)","previouslyFormattedCitation":"(Bujak and Sitarz, 2016)"},"properties":{"noteIndex":0},"schema":"https://github.com/citation-style-language/schema/raw/master/csl-citation.json"}</w:instrText>
            </w:r>
            <w:r w:rsidRPr="00C81B1E">
              <w:rPr>
                <w:rFonts w:eastAsia="SimSun"/>
                <w:lang w:val="en-GB" w:eastAsia="zh-CN"/>
              </w:rPr>
              <w:fldChar w:fldCharType="separate"/>
            </w:r>
            <w:r w:rsidRPr="00C81B1E">
              <w:rPr>
                <w:rFonts w:eastAsia="SimSun"/>
                <w:noProof/>
                <w:lang w:val="en-GB" w:eastAsia="zh-CN"/>
              </w:rPr>
              <w:t>Bujak &amp; Sitarz (2016)</w:t>
            </w:r>
            <w:r w:rsidRPr="00C81B1E">
              <w:rPr>
                <w:rFonts w:eastAsia="SimSun"/>
                <w:lang w:val="en-GB" w:eastAsia="zh-CN"/>
              </w:rPr>
              <w:fldChar w:fldCharType="end"/>
            </w:r>
          </w:p>
        </w:tc>
      </w:tr>
    </w:tbl>
    <w:p w14:paraId="1DDAF26E" w14:textId="77777777" w:rsidR="00C7764C" w:rsidRPr="00C7764C" w:rsidRDefault="00C7764C" w:rsidP="00C7764C">
      <w:pPr>
        <w:spacing w:after="160" w:line="259" w:lineRule="auto"/>
        <w:rPr>
          <w:rFonts w:eastAsia="Calibri"/>
          <w:color w:val="auto"/>
          <w:sz w:val="16"/>
          <w:szCs w:val="16"/>
          <w:lang w:val="en-GB" w:eastAsia="en-US"/>
        </w:rPr>
      </w:pPr>
    </w:p>
    <w:p w14:paraId="6F06FB0D" w14:textId="77777777" w:rsidR="00C7764C" w:rsidRPr="00C7764C" w:rsidRDefault="00C7764C" w:rsidP="00BA2E09">
      <w:pPr>
        <w:pStyle w:val="MDPI41tablecaption"/>
        <w:rPr>
          <w:rFonts w:eastAsia="Calibri"/>
          <w:lang w:val="en-GB" w:eastAsia="en-US"/>
        </w:rPr>
      </w:pPr>
      <w:r w:rsidRPr="00C7764C">
        <w:rPr>
          <w:rFonts w:eastAsia="Calibri"/>
          <w:b/>
          <w:lang w:val="en-GB" w:eastAsia="en-US"/>
        </w:rPr>
        <w:t xml:space="preserve">Table </w:t>
      </w:r>
      <w:r w:rsidRPr="00C7764C">
        <w:rPr>
          <w:rFonts w:eastAsia="Calibri"/>
          <w:b/>
          <w:lang w:val="en-GB" w:eastAsia="en-US"/>
        </w:rPr>
        <w:fldChar w:fldCharType="begin"/>
      </w:r>
      <w:r w:rsidRPr="00C7764C">
        <w:rPr>
          <w:rFonts w:eastAsia="Calibri"/>
          <w:b/>
          <w:lang w:val="en-GB" w:eastAsia="en-US"/>
        </w:rPr>
        <w:instrText xml:space="preserve"> SEQ Table \* ARABIC </w:instrText>
      </w:r>
      <w:r w:rsidRPr="00C7764C">
        <w:rPr>
          <w:rFonts w:eastAsia="Calibri"/>
          <w:b/>
          <w:lang w:val="en-GB" w:eastAsia="en-US"/>
        </w:rPr>
        <w:fldChar w:fldCharType="separate"/>
      </w:r>
      <w:r w:rsidRPr="00C7764C">
        <w:rPr>
          <w:rFonts w:eastAsia="Calibri"/>
          <w:b/>
          <w:noProof/>
          <w:lang w:val="en-GB" w:eastAsia="en-US"/>
        </w:rPr>
        <w:t>4</w:t>
      </w:r>
      <w:r w:rsidRPr="00C7764C">
        <w:rPr>
          <w:rFonts w:eastAsia="Calibri"/>
          <w:b/>
          <w:lang w:val="en-GB" w:eastAsia="en-US"/>
        </w:rPr>
        <w:fldChar w:fldCharType="end"/>
      </w:r>
      <w:r w:rsidRPr="00C7764C">
        <w:rPr>
          <w:rFonts w:eastAsia="Calibri"/>
          <w:lang w:val="en-GB" w:eastAsia="en-US"/>
        </w:rPr>
        <w:t>. FWM process and company status variables</w:t>
      </w:r>
    </w:p>
    <w:tbl>
      <w:tblPr>
        <w:tblW w:w="9087" w:type="dxa"/>
        <w:tblBorders>
          <w:top w:val="single" w:sz="4" w:space="0" w:color="7F7F7F"/>
          <w:bottom w:val="single" w:sz="4" w:space="0" w:color="7F7F7F"/>
        </w:tblBorders>
        <w:tblLayout w:type="fixed"/>
        <w:tblLook w:val="04A0" w:firstRow="1" w:lastRow="0" w:firstColumn="1" w:lastColumn="0" w:noHBand="0" w:noVBand="1"/>
      </w:tblPr>
      <w:tblGrid>
        <w:gridCol w:w="1716"/>
        <w:gridCol w:w="1843"/>
        <w:gridCol w:w="992"/>
        <w:gridCol w:w="4536"/>
      </w:tblGrid>
      <w:tr w:rsidR="00C81B1E" w:rsidRPr="00C81B1E" w14:paraId="64F8EDE5" w14:textId="77777777" w:rsidTr="00C81B1E">
        <w:trPr>
          <w:trHeight w:val="255"/>
        </w:trPr>
        <w:tc>
          <w:tcPr>
            <w:tcW w:w="1716" w:type="dxa"/>
            <w:tcBorders>
              <w:bottom w:val="single" w:sz="4" w:space="0" w:color="7F7F7F"/>
            </w:tcBorders>
            <w:shd w:val="clear" w:color="auto" w:fill="auto"/>
            <w:noWrap/>
            <w:vAlign w:val="center"/>
          </w:tcPr>
          <w:p w14:paraId="79DA26B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Variable</w:t>
            </w:r>
          </w:p>
        </w:tc>
        <w:tc>
          <w:tcPr>
            <w:tcW w:w="1843" w:type="dxa"/>
            <w:tcBorders>
              <w:bottom w:val="single" w:sz="4" w:space="0" w:color="7F7F7F"/>
            </w:tcBorders>
            <w:shd w:val="clear" w:color="auto" w:fill="auto"/>
            <w:noWrap/>
            <w:vAlign w:val="center"/>
          </w:tcPr>
          <w:p w14:paraId="410C4A91"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Example or unit</w:t>
            </w:r>
          </w:p>
        </w:tc>
        <w:tc>
          <w:tcPr>
            <w:tcW w:w="992" w:type="dxa"/>
            <w:tcBorders>
              <w:bottom w:val="single" w:sz="4" w:space="0" w:color="7F7F7F"/>
            </w:tcBorders>
            <w:shd w:val="clear" w:color="auto" w:fill="auto"/>
            <w:noWrap/>
            <w:vAlign w:val="center"/>
          </w:tcPr>
          <w:p w14:paraId="0F9581E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FWMS</w:t>
            </w:r>
          </w:p>
        </w:tc>
        <w:tc>
          <w:tcPr>
            <w:tcW w:w="4536" w:type="dxa"/>
            <w:tcBorders>
              <w:bottom w:val="single" w:sz="4" w:space="0" w:color="7F7F7F"/>
            </w:tcBorders>
            <w:shd w:val="clear" w:color="auto" w:fill="auto"/>
            <w:noWrap/>
            <w:vAlign w:val="center"/>
          </w:tcPr>
          <w:p w14:paraId="75A563F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Reference</w:t>
            </w:r>
          </w:p>
        </w:tc>
      </w:tr>
      <w:tr w:rsidR="00C81B1E" w:rsidRPr="00C81B1E" w14:paraId="3EB525EA" w14:textId="77777777" w:rsidTr="00C81B1E">
        <w:trPr>
          <w:trHeight w:val="255"/>
        </w:trPr>
        <w:tc>
          <w:tcPr>
            <w:tcW w:w="1716" w:type="dxa"/>
            <w:tcBorders>
              <w:top w:val="single" w:sz="4" w:space="0" w:color="7F7F7F"/>
              <w:bottom w:val="single" w:sz="4" w:space="0" w:color="7F7F7F"/>
            </w:tcBorders>
            <w:shd w:val="clear" w:color="auto" w:fill="auto"/>
            <w:noWrap/>
            <w:vAlign w:val="center"/>
            <w:hideMark/>
          </w:tcPr>
          <w:p w14:paraId="3CCB4B1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Distance to transport FW</w:t>
            </w:r>
          </w:p>
        </w:tc>
        <w:tc>
          <w:tcPr>
            <w:tcW w:w="1843" w:type="dxa"/>
            <w:tcBorders>
              <w:top w:val="single" w:sz="4" w:space="0" w:color="7F7F7F"/>
              <w:bottom w:val="single" w:sz="4" w:space="0" w:color="7F7F7F"/>
            </w:tcBorders>
            <w:shd w:val="clear" w:color="auto" w:fill="auto"/>
            <w:noWrap/>
            <w:vAlign w:val="center"/>
            <w:hideMark/>
          </w:tcPr>
          <w:p w14:paraId="5E0BEC6C" w14:textId="77777777" w:rsidR="00C7764C" w:rsidRPr="00C81B1E" w:rsidRDefault="00C7764C" w:rsidP="00C81B1E">
            <w:pPr>
              <w:pStyle w:val="MDPI42tablebody"/>
              <w:rPr>
                <w:rFonts w:eastAsia="Calibri"/>
                <w:lang w:val="en-GB" w:eastAsia="en-US"/>
              </w:rPr>
            </w:pPr>
            <w:r w:rsidRPr="00C81B1E">
              <w:rPr>
                <w:rFonts w:eastAsia="Calibri"/>
                <w:lang w:val="en-GB" w:eastAsia="en-US"/>
              </w:rPr>
              <w:t>km</w:t>
            </w:r>
          </w:p>
        </w:tc>
        <w:tc>
          <w:tcPr>
            <w:tcW w:w="992" w:type="dxa"/>
            <w:tcBorders>
              <w:top w:val="single" w:sz="4" w:space="0" w:color="7F7F7F"/>
              <w:bottom w:val="single" w:sz="4" w:space="0" w:color="7F7F7F"/>
            </w:tcBorders>
            <w:shd w:val="clear" w:color="auto" w:fill="auto"/>
            <w:noWrap/>
            <w:vAlign w:val="center"/>
            <w:hideMark/>
          </w:tcPr>
          <w:p w14:paraId="0A79C0E2" w14:textId="77777777" w:rsidR="00C7764C" w:rsidRPr="00C81B1E" w:rsidRDefault="00C7764C" w:rsidP="00C81B1E">
            <w:pPr>
              <w:pStyle w:val="MDPI42tablebody"/>
              <w:rPr>
                <w:rFonts w:eastAsia="Calibri"/>
                <w:lang w:val="en-GB" w:eastAsia="en-US"/>
              </w:rPr>
            </w:pPr>
            <w:r w:rsidRPr="00C81B1E">
              <w:rPr>
                <w:rFonts w:eastAsia="Calibri"/>
                <w:lang w:val="en-GB" w:eastAsia="en-US"/>
              </w:rPr>
              <w:t>T</w:t>
            </w:r>
          </w:p>
        </w:tc>
        <w:tc>
          <w:tcPr>
            <w:tcW w:w="4536" w:type="dxa"/>
            <w:tcBorders>
              <w:top w:val="single" w:sz="4" w:space="0" w:color="7F7F7F"/>
              <w:bottom w:val="single" w:sz="4" w:space="0" w:color="7F7F7F"/>
            </w:tcBorders>
            <w:shd w:val="clear" w:color="auto" w:fill="auto"/>
            <w:noWrap/>
            <w:vAlign w:val="center"/>
            <w:hideMark/>
          </w:tcPr>
          <w:p w14:paraId="7BE942D0"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oer","given":"Eelco","non-dropping-particle":"den","parse-names":false,"suffix":""},{"dropping-particle":"","family":"Brouwer","given":"Femke","non-dropping-particle":"","parse-names":false,"suffix":""},{"dropping-particle":"","family":"Schroten","given":"Arno","non-dropping-particle":"","parse-names":false,"suffix":""},{"dropping-particle":"","family":"Essen","given":"Huib","non-dropping-particle":"van","parse-names":false,"suffix":""}],"container-title":"CE Delft","id":"ITEM-1","issue":"January","issued":{"date-parts":[["2009"]]},"publisher-place":"Delft (The Netherlands)","title":"Are trucks taking their toll? The environmental, safety and congestion impacts of lorries in the EU","type":"report"},"uris":["http://www.mendeley.com/documents/?uuid=0a2a7979-9117-494f-a663-f531463bad76"]}],"mendeley":{"formattedCitation":"(den Boer et al., 2009)","manualFormatting":"den Boer et al. (2009)","plainTextFormattedCitation":"(den Boer et al., 2009)","previouslyFormattedCitation":"(den Boer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den Boer et al. (2009)</w:t>
            </w:r>
            <w:r w:rsidRPr="00C81B1E">
              <w:rPr>
                <w:rFonts w:eastAsia="Calibri"/>
                <w:lang w:val="en-GB" w:eastAsia="en-US"/>
              </w:rPr>
              <w:fldChar w:fldCharType="end"/>
            </w:r>
          </w:p>
        </w:tc>
      </w:tr>
      <w:tr w:rsidR="00C81B1E" w:rsidRPr="00C81B1E" w14:paraId="797138A3" w14:textId="77777777" w:rsidTr="00C81B1E">
        <w:trPr>
          <w:trHeight w:val="255"/>
        </w:trPr>
        <w:tc>
          <w:tcPr>
            <w:tcW w:w="1716" w:type="dxa"/>
            <w:shd w:val="clear" w:color="auto" w:fill="auto"/>
            <w:noWrap/>
            <w:vAlign w:val="center"/>
            <w:hideMark/>
          </w:tcPr>
          <w:p w14:paraId="467C61B1"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Type of equipment available</w:t>
            </w:r>
          </w:p>
        </w:tc>
        <w:tc>
          <w:tcPr>
            <w:tcW w:w="1843" w:type="dxa"/>
            <w:shd w:val="clear" w:color="auto" w:fill="auto"/>
            <w:noWrap/>
            <w:vAlign w:val="center"/>
            <w:hideMark/>
          </w:tcPr>
          <w:p w14:paraId="2CBC9B6B"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E.g. </w:t>
            </w:r>
            <w:proofErr w:type="spellStart"/>
            <w:r w:rsidRPr="00C81B1E">
              <w:rPr>
                <w:rFonts w:eastAsia="Calibri"/>
                <w:lang w:val="en-GB" w:eastAsia="en-US"/>
              </w:rPr>
              <w:t>Upflow</w:t>
            </w:r>
            <w:proofErr w:type="spellEnd"/>
            <w:r w:rsidRPr="00C81B1E">
              <w:rPr>
                <w:rFonts w:eastAsia="Calibri"/>
                <w:lang w:val="en-GB" w:eastAsia="en-US"/>
              </w:rPr>
              <w:t xml:space="preserve"> anaerobic sludge blanket reactor (UASB)</w:t>
            </w:r>
          </w:p>
        </w:tc>
        <w:tc>
          <w:tcPr>
            <w:tcW w:w="992" w:type="dxa"/>
            <w:shd w:val="clear" w:color="auto" w:fill="auto"/>
            <w:noWrap/>
            <w:vAlign w:val="center"/>
            <w:hideMark/>
          </w:tcPr>
          <w:p w14:paraId="5AA322B9"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536" w:type="dxa"/>
            <w:vMerge w:val="restart"/>
            <w:shd w:val="clear" w:color="auto" w:fill="auto"/>
            <w:noWrap/>
            <w:vAlign w:val="center"/>
            <w:hideMark/>
          </w:tcPr>
          <w:p w14:paraId="3F77FEA8"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{"citationItems":[{"id":"ITEM-1","itemData":{"DOI":"10.1016/j.rser.2015.02.032","ISBN":"1364-0321","ISSN":"13640321","abstract":"With the rising demand for renewable energy and environmental protection, anaerobic digestion of biogas technology has attracted considerable attention within the scientific community. This paper presents a comprehensive review of research achievements on anaerobic digestion developments for biogas production. The review includes a discussion of factors affecting efficiency (temperature, pH, C/N ratio, OLR and retention time), accelerants (greenery biomass, biological pure culture and inorganic additives), reactors (conventional anaerobic reactors, sludge retention reactors and anaerobic membrane reactors) and biogas AD processes (lignocellulose waste, municipal solid waste, food waste, livestock manure and waste activated sludge) based on substrate characteristics and discusses the application of each forementioned aspect. The factors affecting efficiency are crucial to anaerobic digestion, because they play a major role in biogas production and determine the metabolic conditions for microorganism growth. As an additive, an accelerant is not only regarded as a nutrient resource, but can also improve biodegradability. The focus of reactor design is the sufficient utilization of a substrate by changing the feeding method and enhancing the attachment to biomass. The optimal digestion process balances the optimal digest conditions with the cost-optimal input/output ratio. Additionally, establishment of theoretical and technological studies should emphasize practicality based on laboratory-scale experiments because further development of biogas plants would allow for a transition from household to medium- and large-scale projects; therefore, improving stability and efficiency are recommended for advancing AD research.","author":[{"dropping-particle":"","family":"Mao","given":"Chunlan","non-dropping-particle":"","parse-names":false,"suffix":""},{"dropping-particle":"","family":"Feng","given":"Yongzhong","non-dropping-particle":"","parse-names":false,"suffix":""},{"dropping-particle":"","family":"Wang","given":"Xiaojiao","non-dropping-particle":"","parse-names":false,"suffix":""},{"dropping-particle":"","family":"Ren","given":"Guangxin","non-dropping-particle":"","parse-names":false,"suffix":""}],"container-title":"Renewable and Sustainable Energy Reviews","id":"ITEM-1","issued":{"date-parts":[["2015"]]},"page":"540-555","publisher":"Elsevier","title":"Review on research achievements of biogas from anaerobic digestion","type":"article-journal","volume":"45"},"uris":["http://www.mendeley.com/documents/?uuid=8f980546-dcd5-4d27-9e23-93fa618ec396"]}],"mendeley":{"formattedCitation":"(Mao et al., 2015)","manualFormatting":"Mao et al. (2015)","plainTextFormattedCitation":"(Mao et al., 2015)","previouslyFormattedCitation":"(Mao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Mao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Cooperband (2002)</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{"citationItems":[{"id":"ITEM-1","itemData":{"author":[{"dropping-particle":"","family":"Defra","given":"","non-dropping-particle":"","parse-names":false,"suffix":""}],"id":"ITEM-1","issue":"February","issued":{"date-parts":[["2013"]]},"title":"Incineration of Municipal Solid Waste","type":"report"},"uris":["http://www.mendeley.com/documents/?uuid=f298b078-550a-47ac-ac51-37b02e84ca51"]}],"mendeley":{"formattedCitation":"(Defra, 2013)","manualFormatting":"Defra (2013b)","plainTextFormattedCitation":"(Defra, 2013)","previouslyFormattedCitation":"(Defra, 2013)"},"properties":{"noteIndex":0},"schema":"https://github.com/citation-style-language/schema/raw/master/csl-citation.json"}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Defra (2013b)</w:t>
            </w:r>
            <w:r w:rsidRPr="00C81B1E">
              <w:rPr>
                <w:rFonts w:eastAsia="Calibri"/>
                <w:lang w:val="en-GB" w:eastAsia="en-US"/>
              </w:rPr>
              <w:fldChar w:fldCharType="end"/>
            </w:r>
          </w:p>
        </w:tc>
      </w:tr>
      <w:tr w:rsidR="00C81B1E" w:rsidRPr="00C81B1E" w14:paraId="026B52B8" w14:textId="77777777" w:rsidTr="00C81B1E">
        <w:trPr>
          <w:trHeight w:val="285"/>
        </w:trPr>
        <w:tc>
          <w:tcPr>
            <w:tcW w:w="1716" w:type="dxa"/>
            <w:tcBorders>
              <w:top w:val="single" w:sz="4" w:space="0" w:color="7F7F7F"/>
              <w:bottom w:val="single" w:sz="4" w:space="0" w:color="7F7F7F"/>
            </w:tcBorders>
            <w:shd w:val="clear" w:color="auto" w:fill="auto"/>
            <w:noWrap/>
            <w:vAlign w:val="center"/>
            <w:hideMark/>
          </w:tcPr>
          <w:p w14:paraId="0796BB9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Volume of equipment available</w:t>
            </w:r>
          </w:p>
        </w:tc>
        <w:tc>
          <w:tcPr>
            <w:tcW w:w="1843" w:type="dxa"/>
            <w:tcBorders>
              <w:top w:val="single" w:sz="4" w:space="0" w:color="7F7F7F"/>
              <w:bottom w:val="single" w:sz="4" w:space="0" w:color="7F7F7F"/>
            </w:tcBorders>
            <w:shd w:val="clear" w:color="auto" w:fill="auto"/>
            <w:noWrap/>
            <w:vAlign w:val="center"/>
            <w:hideMark/>
          </w:tcPr>
          <w:p w14:paraId="3CA7DC7C" w14:textId="77777777" w:rsidR="00C7764C" w:rsidRPr="00C81B1E" w:rsidRDefault="00C7764C" w:rsidP="00C81B1E">
            <w:pPr>
              <w:pStyle w:val="MDPI42tablebody"/>
              <w:rPr>
                <w:rFonts w:eastAsia="Calibri"/>
                <w:lang w:val="en-GB" w:eastAsia="en-US"/>
              </w:rPr>
            </w:pPr>
            <w:r w:rsidRPr="00C81B1E">
              <w:rPr>
                <w:rFonts w:eastAsia="Calibri"/>
                <w:lang w:val="en-GB" w:eastAsia="en-US"/>
              </w:rPr>
              <w:t>m</w:t>
            </w:r>
            <w:r w:rsidRPr="00C81B1E">
              <w:rPr>
                <w:rFonts w:eastAsia="Calibri"/>
                <w:vertAlign w:val="superscript"/>
                <w:lang w:val="en-GB" w:eastAsia="en-US"/>
              </w:rPr>
              <w:t>3</w:t>
            </w:r>
          </w:p>
        </w:tc>
        <w:tc>
          <w:tcPr>
            <w:tcW w:w="992" w:type="dxa"/>
            <w:tcBorders>
              <w:top w:val="single" w:sz="4" w:space="0" w:color="7F7F7F"/>
              <w:bottom w:val="single" w:sz="4" w:space="0" w:color="7F7F7F"/>
            </w:tcBorders>
            <w:shd w:val="clear" w:color="auto" w:fill="auto"/>
            <w:noWrap/>
            <w:vAlign w:val="center"/>
            <w:hideMark/>
          </w:tcPr>
          <w:p w14:paraId="0EC25D36"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536" w:type="dxa"/>
            <w:vMerge/>
            <w:tcBorders>
              <w:top w:val="single" w:sz="4" w:space="0" w:color="7F7F7F"/>
              <w:bottom w:val="single" w:sz="4" w:space="0" w:color="7F7F7F"/>
            </w:tcBorders>
            <w:shd w:val="clear" w:color="auto" w:fill="auto"/>
            <w:noWrap/>
            <w:vAlign w:val="center"/>
            <w:hideMark/>
          </w:tcPr>
          <w:p w14:paraId="517EA420" w14:textId="77777777" w:rsidR="00C7764C" w:rsidRPr="00C81B1E" w:rsidRDefault="00C7764C" w:rsidP="00C81B1E">
            <w:pPr>
              <w:pStyle w:val="MDPI42tablebody"/>
              <w:rPr>
                <w:rFonts w:eastAsia="Calibri"/>
                <w:lang w:val="en-GB" w:eastAsia="en-US"/>
              </w:rPr>
            </w:pPr>
          </w:p>
        </w:tc>
      </w:tr>
      <w:tr w:rsidR="00C81B1E" w:rsidRPr="00C81B1E" w14:paraId="2BC49C27" w14:textId="77777777" w:rsidTr="00C81B1E">
        <w:trPr>
          <w:trHeight w:val="255"/>
        </w:trPr>
        <w:tc>
          <w:tcPr>
            <w:tcW w:w="1716" w:type="dxa"/>
            <w:shd w:val="clear" w:color="auto" w:fill="auto"/>
            <w:noWrap/>
            <w:vAlign w:val="center"/>
            <w:hideMark/>
          </w:tcPr>
          <w:p w14:paraId="6A511051"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Number of stages</w:t>
            </w:r>
          </w:p>
        </w:tc>
        <w:tc>
          <w:tcPr>
            <w:tcW w:w="1843" w:type="dxa"/>
            <w:shd w:val="clear" w:color="auto" w:fill="auto"/>
            <w:noWrap/>
            <w:vAlign w:val="center"/>
            <w:hideMark/>
          </w:tcPr>
          <w:p w14:paraId="42EBEB77" w14:textId="77777777" w:rsidR="00C7764C" w:rsidRPr="00C81B1E" w:rsidRDefault="00C7764C" w:rsidP="00C81B1E">
            <w:pPr>
              <w:pStyle w:val="MDPI42tablebody"/>
              <w:rPr>
                <w:rFonts w:eastAsia="Calibri"/>
                <w:lang w:val="en-GB" w:eastAsia="en-US"/>
              </w:rPr>
            </w:pPr>
            <w:r w:rsidRPr="00C81B1E">
              <w:rPr>
                <w:rFonts w:eastAsia="Calibri"/>
                <w:lang w:val="en-GB" w:eastAsia="en-US"/>
              </w:rPr>
              <w:t>Number and type</w:t>
            </w:r>
          </w:p>
        </w:tc>
        <w:tc>
          <w:tcPr>
            <w:tcW w:w="992" w:type="dxa"/>
            <w:shd w:val="clear" w:color="auto" w:fill="auto"/>
            <w:noWrap/>
            <w:vAlign w:val="center"/>
            <w:hideMark/>
          </w:tcPr>
          <w:p w14:paraId="6FB4FE42"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536" w:type="dxa"/>
            <w:shd w:val="clear" w:color="auto" w:fill="auto"/>
            <w:noWrap/>
            <w:vAlign w:val="center"/>
            <w:hideMark/>
          </w:tcPr>
          <w:p w14:paraId="0D8B1581" w14:textId="77777777" w:rsidR="00C7764C" w:rsidRPr="00C81B1E" w:rsidRDefault="00C7764C" w:rsidP="00C81B1E">
            <w:pPr>
              <w:pStyle w:val="MDPI42tablebody"/>
              <w:rPr>
                <w:rFonts w:eastAsia="Calibri"/>
                <w:lang w:val="es-ES"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{"citationItems":[{"id":"ITEM-1","itemData":{"DOI":"10.1016/j.rser.2015.02.032","ISBN":"1364-0321","ISSN":"13640321","abstract":"With the rising demand for renewable energy and environmental protection, anaerobic digestion of biogas technology has attracted considerable attention within the scientific community. This paper presents a comprehensive review of research achievements on anaerobic digestion developments for biogas production. The review includes a discussion of factors affecting efficiency (temperature, pH, C/N ratio, OLR and retention time), accelerants (greenery biomass, biological pure culture and inorganic additives), reactors (conventional anaerobic reactors, sludge retention reactors and anaerobic membrane reactors) and biogas AD processes (lignocellulose waste, municipal solid waste, food waste, livestock manure and waste activated sludge) based on substrate characteristics and discusses the application of each forementioned aspect. The factors affecting efficiency are crucial to anaerobic digestion, because they play a major role in biogas production and determine the metabolic conditions for microorganism growth. As an additive, an accelerant is not only regarded as a nutrient resource, but can also improve biodegradability. The focus of reactor design is the sufficient utilization of a substrate by changing the feeding method and enhancing the attachment to biomass. The optimal digestion process balances the optimal digest conditions with the cost-optimal input/output ratio. Additionally, establishment of theoretical and technological studies should emphasize practicality based on laboratory-scale experiments because further development of biogas plants would allow for a transition from household to medium- and large-scale projects; therefore, improving stability and efficiency are recommended for advancing AD research.","author":[{"dropping-particle":"","family":"Mao","given":"Chunlan","non-dropping-particle":"","parse-names":false,"suffix":""},{"dropping-particle":"","family":"Feng","given":"Yongzhong","non-dropping-particle":"","parse-names":false,"suffix":""},{"dropping-particle":"","family":"Wang","given":"Xiaojiao","non-dropping-particle":"","parse-names":false,"suffix":""},{"dropping-particle":"","family":"Ren","given":"Guangxin","non-dropping-particle":"","parse-names":false,"suffix":""}],"container-title":"Renewable and Sustainable Energy Reviews","id":"ITEM-1","issued":{"date-parts":[["2015"]]},"page":"540-555","publisher":"Elsevier","title":"Review on research achievements of biogas from anaerobic digestion","type":"article-journal","volume":"45"},"uris":["http://www.mendeley.com/documents/?uuid=8f980546-dcd5-4d27-9e23-93fa618ec396"]}],"mendeley":{"formattedCitation":"(Mao et al., 2015)","manualFormatting":"Mao et al. (2015)","plainTextFormattedCitation":"(Mao et al., 2015)","previouslyFormattedCitation":"(Mao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Mao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{"citationItems":[{"id":"ITEM-1","itemData":{"DOI":"10.1016/j.biortech.2005.02.013","ISBN":"09608524","ISSN":"09608524","PMID":"15990292","abstract":"A laboratory reactor was designed to study the effects of operating parameters (air suction rate, seeding and agitation) on the composting process of a synthetic food waste made of dog food. Experimental results showed that the synthetic food waste could be composted within 4 days and the final compost passed the maturity tests. In most cases except those with 32% of seeding, the process involved two major stages of composting. The two peak temperatures between 50 and 60??C occurred at 8-12th hour and 50-65th hour, respectively. Operating parameters that converted the most volatile solids and carbons in the feedstock were as follows: 1.6 l air/kg dry solid-min of air suction rate, 32% of seeding and 50% of agitation time. ?? 2005 Elsevier Ltd. All rights reserved.","author":[{"dropping-particle":"","family":"Chang","given":"James I.","non-dropping-particle":"","parse-names":false,"suffix":""},{"dropping-particle":"","family":"Tsai","given":"J. J.","non-dropping-particle":"","parse-names":false,"suffix":""},{"dropping-particle":"","family":"Wu","given":"K. H.","non-dropping-particle":"","parse-names":false,"suffix":""}],"container-title":"Bioresource Technology","id":"ITEM-1","issue":"1","issued":{"date-parts":[["2006"]]},"page":"116-122","title":"Thermophilic composting of food waste","type":"article-journal","volume":"97"},"uris":["http://www.mendeley.com/documents/?uuid=82a6af50-1555-4181-936c-c0828d75ea9f"]}],"mendeley":{"formattedCitation":"(Chang et al., 2006)","manualFormatting":"Chang et al. (2006)","plainTextFormattedCitation":"(Chang et al., 2006)","previouslyFormattedCitation":"(Chang et al., 2006)"},"properties":{"noteIndex":0},"schema":"https://github.com/citation-style-language/schema/raw/master/csl-citation.json"}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Chang et al. (2006)</w:t>
            </w:r>
            <w:r w:rsidRPr="00C81B1E">
              <w:rPr>
                <w:rFonts w:eastAsia="Calibri"/>
                <w:lang w:val="en-GB" w:eastAsia="en-US"/>
              </w:rPr>
              <w:fldChar w:fldCharType="end"/>
            </w:r>
            <w:r w:rsidRPr="00C81B1E">
              <w:rPr>
                <w:rFonts w:eastAsia="Calibri"/>
                <w:lang w:val="es-ES" w:eastAsia="en-US"/>
              </w:rPr>
              <w:t xml:space="preserve">, TT: </w:t>
            </w:r>
            <w:r w:rsidRPr="00C81B1E">
              <w:rPr>
                <w:rFonts w:eastAsia="Calibri"/>
                <w:lang w:val="en-GB" w:eastAsia="en-US"/>
              </w:rPr>
              <w:fldChar w:fldCharType="begin" w:fldLock="1"/>
            </w:r>
            <w:r w:rsidRPr="00C81B1E">
              <w:rPr>
                <w:rFonts w:eastAsia="Calibri"/>
                <w:lang w:val="es-ES" w:eastAsia="en-US"/>
              </w:rPr>
              <w:instrText>ADDIN CSL_CITATION {"citationItems":[{"id":"ITEM-1","itemData":{"author":[{"dropping-particle":"","family":"Lohri","given":"Christian Riu","non-dropping-particle":"","parse-names":false,"suffix":""},{"dropping-particle":"","family":"Sweeney","given":"Dan","non-dropping-particle":"","parse-names":false,"suffix":""},{"dropping-particle":"","family":"Rajabu","given":"Hassan Mtoro","non-dropping-particle":"","parse-names":false,"suffix":""}],"id":"ITEM-1","issued":{"date-parts":[["2015"]]},"title":"Carbonizing urban biowaste for low-cost char production in developing countries - A review of knowledge, practices and technologies","type":"article-journal"},"uris":["http://www.mendeley.com/documents/?uuid=d1edbab1-e9d1-4e11-b2ec-6fc3d54e4435"]}],"mendeley":{"formattedCitation":"(Lohri et al., 2015)","manualFormatting":"Lohri et al. (2015)","plainTextFormattedCitation":"(Lohri et al., 2015)","previouslyFormattedCitation":"(Lohri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Lohri et al. (2015)</w:t>
            </w:r>
            <w:r w:rsidRPr="00C81B1E">
              <w:rPr>
                <w:rFonts w:eastAsia="Calibri"/>
                <w:lang w:val="en-GB" w:eastAsia="en-US"/>
              </w:rPr>
              <w:fldChar w:fldCharType="end"/>
            </w:r>
          </w:p>
        </w:tc>
      </w:tr>
      <w:tr w:rsidR="00C81B1E" w:rsidRPr="00C81B1E" w14:paraId="389C9F04" w14:textId="77777777" w:rsidTr="00C81B1E">
        <w:trPr>
          <w:trHeight w:val="255"/>
        </w:trPr>
        <w:tc>
          <w:tcPr>
            <w:tcW w:w="1716" w:type="dxa"/>
            <w:tcBorders>
              <w:top w:val="single" w:sz="4" w:space="0" w:color="7F7F7F"/>
              <w:bottom w:val="single" w:sz="4" w:space="0" w:color="7F7F7F"/>
            </w:tcBorders>
            <w:shd w:val="clear" w:color="auto" w:fill="auto"/>
            <w:noWrap/>
            <w:vAlign w:val="center"/>
            <w:hideMark/>
          </w:tcPr>
          <w:p w14:paraId="30A7570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Temperature</w:t>
            </w:r>
          </w:p>
        </w:tc>
        <w:tc>
          <w:tcPr>
            <w:tcW w:w="1843" w:type="dxa"/>
            <w:tcBorders>
              <w:top w:val="single" w:sz="4" w:space="0" w:color="7F7F7F"/>
              <w:bottom w:val="single" w:sz="4" w:space="0" w:color="7F7F7F"/>
            </w:tcBorders>
            <w:shd w:val="clear" w:color="auto" w:fill="auto"/>
            <w:noWrap/>
            <w:vAlign w:val="center"/>
            <w:hideMark/>
          </w:tcPr>
          <w:p w14:paraId="1EC2F06E"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992" w:type="dxa"/>
            <w:tcBorders>
              <w:top w:val="single" w:sz="4" w:space="0" w:color="7F7F7F"/>
              <w:bottom w:val="single" w:sz="4" w:space="0" w:color="7F7F7F"/>
            </w:tcBorders>
            <w:shd w:val="clear" w:color="auto" w:fill="auto"/>
            <w:noWrap/>
            <w:vAlign w:val="center"/>
            <w:hideMark/>
          </w:tcPr>
          <w:p w14:paraId="378E5E9D"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536" w:type="dxa"/>
            <w:vMerge w:val="restart"/>
            <w:tcBorders>
              <w:top w:val="single" w:sz="4" w:space="0" w:color="7F7F7F"/>
              <w:bottom w:val="single" w:sz="4" w:space="0" w:color="7F7F7F"/>
            </w:tcBorders>
            <w:shd w:val="clear" w:color="auto" w:fill="auto"/>
            <w:noWrap/>
            <w:vAlign w:val="center"/>
            <w:hideMark/>
          </w:tcPr>
          <w:p w14:paraId="6BD07EC8"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{"citationItems":[{"id":"ITEM-1","itemData":{"DOI":"10.1016/j.rser.2015.02.032","ISBN":"1364-0321","ISSN":"13640321","abstract":"With the rising demand for renewable energy and environmental protection, anaerobic digestion of biogas technology has attracted considerable attention within the scientific community. This paper presents a comprehensive review of research achievements on anaerobic digestion developments for biogas production. The review includes a discussion of factors affecting efficiency (temperature, pH, C/N ratio, OLR and retention time), accelerants (greenery biomass, biological pure culture and inorganic additives), reactors (conventional anaerobic reactors, sludge retention reactors and anaerobic membrane reactors) and biogas AD processes (lignocellulose waste, municipal solid waste, food waste, livestock manure and waste activated sludge) based on substrate characteristics and discusses the application of each forementioned aspect. The factors affecting efficiency are crucial to anaerobic digestion, because they play a major role in biogas production and determine the metabolic conditions for microorganism growth. As an additive, an accelerant is not only regarded as a nutrient resource, but can also improve biodegradability. The focus of reactor design is the sufficient utilization of a substrate by changing the feeding method and enhancing the attachment to biomass. The optimal digestion process balances the optimal digest conditions with the cost-optimal input/output ratio. Additionally, establishment of theoretical and technological studies should emphasize practicality based on laboratory-scale experiments because further development of biogas plants would allow for a transition from household to medium- and large-scale projects; therefore, improving stability and efficiency are recommended for advancing AD research.","author":[{"dropping-particle":"","family":"Mao","given":"Chunlan","non-dropping-particle":"","parse-names":false,"suffix":""},{"dropping-particle":"","family":"Feng","given":"Yongzhong","non-dropping-particle":"","parse-names":false,"suffix":""},{"dropping-particle":"","family":"Wang","given":"Xiaojiao","non-dropping-particle":"","parse-names":false,"suffix":""},{"dropping-particle":"","family":"Ren","given":"Guangxin","non-dropping-particle":"","parse-names":false,"suffix":""}],"container-title":"Renewable and Sustainable Energy Reviews","id":"ITEM-1","issued":{"date-parts":[["2015"]]},"page":"540-555","publisher":"Elsevier","title":"Review on research achievements of biogas from anaerobic digestion","type":"article-journal","volume":"45"},"uris":["http://www.mendeley.com/documents/?uuid=8f980546-dcd5-4d27-9e23-93fa618ec396"]}],"mendeley":{"formattedCitation":"(Mao et al., 2015)","manualFormatting":"Mao et al. (2015)","plainTextFormattedCitation":"(Mao et al., 2015)","previouslyFormattedCitation":"(Mao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Mao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Cooperband (2002)</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Caton et al. (2010)</w:t>
            </w:r>
            <w:r w:rsidRPr="00C81B1E">
              <w:rPr>
                <w:rFonts w:eastAsia="Calibri"/>
                <w:lang w:val="en-GB" w:eastAsia="en-US"/>
              </w:rPr>
              <w:fldChar w:fldCharType="end"/>
            </w:r>
          </w:p>
        </w:tc>
      </w:tr>
      <w:tr w:rsidR="00C81B1E" w:rsidRPr="00C81B1E" w14:paraId="3033A5F6" w14:textId="77777777" w:rsidTr="00C81B1E">
        <w:trPr>
          <w:trHeight w:val="255"/>
        </w:trPr>
        <w:tc>
          <w:tcPr>
            <w:tcW w:w="1716" w:type="dxa"/>
            <w:shd w:val="clear" w:color="auto" w:fill="auto"/>
            <w:noWrap/>
            <w:vAlign w:val="center"/>
            <w:hideMark/>
          </w:tcPr>
          <w:p w14:paraId="6B8D26B4"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Process time</w:t>
            </w:r>
          </w:p>
        </w:tc>
        <w:tc>
          <w:tcPr>
            <w:tcW w:w="1843" w:type="dxa"/>
            <w:shd w:val="clear" w:color="auto" w:fill="auto"/>
            <w:noWrap/>
            <w:vAlign w:val="center"/>
            <w:hideMark/>
          </w:tcPr>
          <w:p w14:paraId="2112C7D2" w14:textId="77777777" w:rsidR="00C7764C" w:rsidRPr="00C81B1E" w:rsidRDefault="00C7764C" w:rsidP="00C81B1E">
            <w:pPr>
              <w:pStyle w:val="MDPI42tablebody"/>
              <w:rPr>
                <w:rFonts w:eastAsia="Calibri"/>
                <w:lang w:val="en-GB" w:eastAsia="en-US"/>
              </w:rPr>
            </w:pPr>
            <w:r w:rsidRPr="00C81B1E">
              <w:rPr>
                <w:rFonts w:eastAsia="Calibri"/>
                <w:lang w:val="en-GB" w:eastAsia="en-US"/>
              </w:rPr>
              <w:t>Days / hours</w:t>
            </w:r>
          </w:p>
        </w:tc>
        <w:tc>
          <w:tcPr>
            <w:tcW w:w="992" w:type="dxa"/>
            <w:shd w:val="clear" w:color="auto" w:fill="auto"/>
            <w:noWrap/>
            <w:vAlign w:val="center"/>
            <w:hideMark/>
          </w:tcPr>
          <w:p w14:paraId="688883A6"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536" w:type="dxa"/>
            <w:vMerge/>
            <w:shd w:val="clear" w:color="auto" w:fill="auto"/>
            <w:noWrap/>
            <w:vAlign w:val="center"/>
            <w:hideMark/>
          </w:tcPr>
          <w:p w14:paraId="582F78A1" w14:textId="77777777" w:rsidR="00C7764C" w:rsidRPr="00C81B1E" w:rsidRDefault="00C7764C" w:rsidP="00C81B1E">
            <w:pPr>
              <w:pStyle w:val="MDPI42tablebody"/>
              <w:rPr>
                <w:rFonts w:eastAsia="Calibri"/>
                <w:lang w:val="en-GB" w:eastAsia="en-US"/>
              </w:rPr>
            </w:pPr>
          </w:p>
        </w:tc>
      </w:tr>
      <w:tr w:rsidR="00C81B1E" w:rsidRPr="00C81B1E" w14:paraId="3E565613" w14:textId="77777777" w:rsidTr="00C81B1E">
        <w:trPr>
          <w:trHeight w:val="255"/>
        </w:trPr>
        <w:tc>
          <w:tcPr>
            <w:tcW w:w="1716" w:type="dxa"/>
            <w:tcBorders>
              <w:top w:val="single" w:sz="4" w:space="0" w:color="7F7F7F"/>
              <w:bottom w:val="single" w:sz="4" w:space="0" w:color="7F7F7F"/>
            </w:tcBorders>
            <w:shd w:val="clear" w:color="auto" w:fill="auto"/>
            <w:noWrap/>
            <w:vAlign w:val="center"/>
            <w:hideMark/>
          </w:tcPr>
          <w:p w14:paraId="4872904E"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Treatment method</w:t>
            </w:r>
          </w:p>
        </w:tc>
        <w:tc>
          <w:tcPr>
            <w:tcW w:w="1843" w:type="dxa"/>
            <w:tcBorders>
              <w:top w:val="single" w:sz="4" w:space="0" w:color="7F7F7F"/>
              <w:bottom w:val="single" w:sz="4" w:space="0" w:color="7F7F7F"/>
            </w:tcBorders>
            <w:shd w:val="clear" w:color="auto" w:fill="auto"/>
            <w:noWrap/>
            <w:vAlign w:val="center"/>
            <w:hideMark/>
          </w:tcPr>
          <w:p w14:paraId="6E16D42E"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Batch / Continuous / </w:t>
            </w:r>
            <w:r w:rsidRPr="00C81B1E">
              <w:rPr>
                <w:rFonts w:eastAsia="Calibri"/>
                <w:lang w:val="en-GB" w:eastAsia="en-US"/>
              </w:rPr>
              <w:lastRenderedPageBreak/>
              <w:t>Semi-continuous</w:t>
            </w:r>
          </w:p>
        </w:tc>
        <w:tc>
          <w:tcPr>
            <w:tcW w:w="992" w:type="dxa"/>
            <w:tcBorders>
              <w:top w:val="single" w:sz="4" w:space="0" w:color="7F7F7F"/>
              <w:bottom w:val="single" w:sz="4" w:space="0" w:color="7F7F7F"/>
            </w:tcBorders>
            <w:shd w:val="clear" w:color="auto" w:fill="auto"/>
            <w:noWrap/>
            <w:vAlign w:val="center"/>
            <w:hideMark/>
          </w:tcPr>
          <w:p w14:paraId="7CD6CC5D" w14:textId="77777777" w:rsidR="00C7764C" w:rsidRPr="00C81B1E" w:rsidRDefault="00C7764C" w:rsidP="00C81B1E">
            <w:pPr>
              <w:pStyle w:val="MDPI42tablebody"/>
              <w:rPr>
                <w:rFonts w:eastAsia="Calibri"/>
                <w:lang w:val="en-GB" w:eastAsia="en-US"/>
              </w:rPr>
            </w:pPr>
            <w:r w:rsidRPr="00C81B1E">
              <w:rPr>
                <w:rFonts w:eastAsia="Calibri"/>
                <w:lang w:val="en-GB" w:eastAsia="en-US"/>
              </w:rPr>
              <w:lastRenderedPageBreak/>
              <w:t>AD, C, TT</w:t>
            </w:r>
          </w:p>
        </w:tc>
        <w:tc>
          <w:tcPr>
            <w:tcW w:w="4536" w:type="dxa"/>
            <w:tcBorders>
              <w:top w:val="single" w:sz="4" w:space="0" w:color="7F7F7F"/>
              <w:bottom w:val="single" w:sz="4" w:space="0" w:color="7F7F7F"/>
            </w:tcBorders>
            <w:shd w:val="clear" w:color="auto" w:fill="auto"/>
            <w:noWrap/>
            <w:vAlign w:val="center"/>
            <w:hideMark/>
          </w:tcPr>
          <w:p w14:paraId="576AFC1A" w14:textId="77777777" w:rsidR="00C7764C" w:rsidRPr="00C81B1E" w:rsidRDefault="00C7764C" w:rsidP="00C81B1E">
            <w:pPr>
              <w:pStyle w:val="MDPI42tablebody"/>
              <w:rPr>
                <w:rFonts w:eastAsia="Calibri"/>
                <w:lang w:val="es-ES"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{"citationItems":[{"id":"ITEM-1","itemData":{"DOI":"10.1016/j.rser.2015.02.032","ISBN":"1364-0321","ISSN":"13640321","abstract":"With the rising demand for renewable energy and environmental protection, anaerobic digestion of biogas technology has attracted considerable attention within the scientific community. This paper presents a comprehensive review of research achievements on anaerobic digestion developments for biogas production. The review includes a discussion of factors affecting efficiency (temperature, pH, C/N ratio, OLR and retention time), accelerants (greenery biomass, biological pure culture and inorganic additives), reactors (conventional anaerobic reactors, sludge retention reactors and anaerobic membrane reactors) and biogas AD processes (lignocellulose waste, municipal solid waste, food waste, livestock manure and waste activated sludge) based on substrate characteristics and discusses the application of each forementioned aspect. The factors affecting efficiency are crucial to anaerobic digestion, because they play a major role in biogas production and determine the metabolic conditions for microorganism growth. As an additive, an accelerant is not only regarded as a nutrient resource, but can also improve biodegradability. The focus of reactor design is the sufficient utilization of a substrate by changing the feeding method and enhancing the attachment to biomass. The optimal digestion process balances the optimal digest conditions with the cost-optimal input/output ratio. Additionally, establishment of theoretical and technological studies should emphasize practicality based on laboratory-scale experiments because further development of biogas plants would allow for a transition from household to medium- and large-scale projects; therefore, improving stability and efficiency are recommended for advancing AD research.","author":[{"dropping-particle":"","family":"Mao","given":"Chunlan","non-dropping-particle":"","parse-names":false,"suffix":""},{"dropping-particle":"","family":"Feng","given":"Yongzhong","non-dropping-particle":"","parse-names":false,"suffix":""},{"dropping-particle":"","family":"Wang","given":"Xiaojiao","non-dropping-particle":"","parse-names":false,"suffix":""},{"dropping-particle":"","family":"Ren","given":"Guangxin","non-dropping-particle":"","parse-names":false,"suffix":""}],"container-title":"Renewable and Sustainable Energy Reviews","id":"ITEM-1","issued":{"date-parts":[["2015"]]},"page":"540-555","publisher":"Elsevier","title":"Review on research achievements of biogas from anaerobic digestion","type":"article-journal","volume":"45"},"uris":["http://www.mendeley.com/documents/?uuid=8f980546-dcd5-4d27-9e23-93fa618ec396"]}],"mendeley":{"formattedCitation":"(Mao et al., 2015)","manualFormatting":"Mao et al. (2015)","plainTextFormattedCitation":"(Mao et al., 2015)","previouslyFormattedCitation":"(Mao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Mao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{"citationItems":[{"id":"ITEM-1","itemData":{"DOI":"10.1016/S0032-9592(03)00233-4","ISBN":"0032-9592","ISSN":"00329592","abstract":"Evaluation of fed-batch composing, with three different moisture conditions, for Korean food wastes was conducted using the water extractable total organic carbon content (TOCw) of mixed materials. Composting with about 50% initial moisture content was slightly more effective than composting with about 60% initial moisture content and of that where the moisture content was constantly controlled at about 50%. These different efficiencies were shown well by various indices of the composting rates, especially those based on variations of the TOCw in the mixed materials. The TOCw content represents the easily biodegradable components of organic waste, rather than the volatile or dry solids contents. The rates of the TOCw degradation showed relatively good correlations with the rates of the total wet weight reduction, as well as the rate of CO2 evolution, during the composting process. Therefore, it could also be used as a more appropriate index for the evaluation of this kind of high-rate composting process. Additionally, variations in the TOCw clearly followed the Arrhenius equation and its degradation could be estimated quantitatively using a first order reaction model. Moreover, the percentage of TOCw degradation in each cycle could be predicted based on the similarity of variations in the TOCw of each cycle in a fed-batch composting process. ?? 2003 Elsevier Ltd. All rights reserved.","author":[{"dropping-particle":"","family":"Kwon","given":"Sung Hwan","non-dropping-particle":"","parse-names":false,"suffix":""},{"dropping-particle":"","family":"Lee","given":"Dong Hoon","non-dropping-particle":"","parse-names":false,"suffix":""}],"container-title":"Process Biochemistry","id":"ITEM-1","issue":"10","issued":{"date-parts":[["2004"]]},"page":"1183-1194","title":"Evaluation of Korean food waste composting with fed-batch operations I: Using water extractable total organic carbon contents (TOCw)","type":"article-journal","volume":"39"},"uris":["http://www.mendeley.com/documents/?uuid=f4f64f88-6e5a-42a8-b756-cbedf6fd58b2"]}],"mendeley":{"formattedCitation":"(Kwon and Lee, 2004)","manualFormatting":"Kwon &amp; Lee (2004)","plainTextFormattedCitation":"(Kwon and Lee, 2004)","previouslyFormattedCitation":"(Kwon and Lee, 2004)"},"properties":{"noteIndex":0},"schema":"https://github.com/citation-style-language/schema/raw/master/csl-citation.json"}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Kwon &amp; Lee (2004)</w:t>
            </w:r>
            <w:r w:rsidRPr="00C81B1E">
              <w:rPr>
                <w:rFonts w:eastAsia="Calibri"/>
                <w:lang w:val="en-GB" w:eastAsia="en-US"/>
              </w:rPr>
              <w:fldChar w:fldCharType="end"/>
            </w:r>
            <w:r w:rsidRPr="00C81B1E">
              <w:rPr>
                <w:rFonts w:eastAsia="Calibri"/>
                <w:lang w:val="es-ES" w:eastAsia="en-US"/>
              </w:rPr>
              <w:t xml:space="preserve">, </w:t>
            </w:r>
            <w:r w:rsidRPr="00C81B1E">
              <w:rPr>
                <w:rFonts w:eastAsia="Calibri"/>
                <w:lang w:val="en-GB" w:eastAsia="en-US"/>
              </w:rPr>
              <w:fldChar w:fldCharType="begin" w:fldLock="1"/>
            </w:r>
            <w:r w:rsidRPr="00C81B1E">
              <w:rPr>
                <w:rFonts w:eastAsia="Calibri"/>
                <w:lang w:val="es-ES" w:eastAsia="en-US"/>
              </w:rPr>
              <w:instrText>ADDIN CSL_CITATION {"citationItems":[{"id":"ITEM-1","itemData":{"ISSN":"00992240","PMID":"16345194","abstract":"A compost production system was employed to supply uniform material for controlled experiments of factorial design. Over a 96-h composting period, the cumulative amount of CO(2) evolved was maximal at 56 to 60 degrees C, an aeration rate that left an O(2) residual of 10 or 18% in the exhaust gas and a moisture content of 60% wet weight. Carbon dioxide evolution was submaximal at 64 degrees C and higher.","author":[{"dropping-particle":"","family":"Suler","given":"D. J.","non-dropping-particle":"","parse-names":false,"suffix":""},{"dropping-particle":"","family":"Finstein","given":"M. S.","non-dropping-particle":"","parse-names":false,"suffix":""}],"container-title":"Applied and Environmental Microbiology","id":"ITEM-1","issue":"2","issued":{"date-parts":[["1977"]]},"page":"345-350","title":"Effect of temperature, aeration, and moisture on CO2 formation in bench scale, continuously thermophilic composting of solid waste","type":"article-journal","volume":"33"},"uris":["http://www.mendeley.com/documents/?uuid=ba219214-8fe0-4eb5-94e1-96fea62b2160"]}],"mendeley":{"formattedCitation":"(Suler and Finstein, 1977)","manualFormatting":"Suler &amp; Finstein (1977)","plainTextFormattedCitation":"(Suler and Finstein, 1977)","previouslyFormattedCitation":"(Suler and Finstein, 1977)"},"properties":{"noteIndex":0},"schema":"https://github.com/citation-style-language/schema/raw/master/csl-citation.json"}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Suler &amp; Finstein (1977)</w:t>
            </w:r>
            <w:r w:rsidRPr="00C81B1E">
              <w:rPr>
                <w:rFonts w:eastAsia="Calibri"/>
                <w:lang w:val="en-GB" w:eastAsia="en-US"/>
              </w:rPr>
              <w:fldChar w:fldCharType="end"/>
            </w:r>
            <w:r w:rsidRPr="00C81B1E">
              <w:rPr>
                <w:rFonts w:eastAsia="Calibri"/>
                <w:lang w:val="es-ES" w:eastAsia="en-US"/>
              </w:rPr>
              <w:t xml:space="preserve">, TT: </w:t>
            </w:r>
            <w:r w:rsidRPr="00C81B1E">
              <w:rPr>
                <w:rFonts w:eastAsia="Calibri"/>
                <w:lang w:val="en-GB" w:eastAsia="en-US"/>
              </w:rPr>
              <w:fldChar w:fldCharType="begin" w:fldLock="1"/>
            </w:r>
            <w:r w:rsidRPr="00C81B1E">
              <w:rPr>
                <w:rFonts w:eastAsia="Calibri"/>
                <w:lang w:val="es-ES" w:eastAsia="en-US"/>
              </w:rPr>
              <w:instrText>ADDIN CSL_CITATION {"citationItems":[{"id":"ITEM-1","itemData":{"author":[{"dropping-particle":"","family":"Lohri","given":"Christian Riu","non-dropping-particle":"","parse-names":false,"suffix":""},{"dropping-particle":"","family":"Sweeney","given":"Dan","non-dropping-particle":"","parse-names":false,"suffix":""},{"dropping-particle":"","family":"Rajabu","given":"Hassan Mtoro","non-dropping-particle":"","parse-names":false,"suffix":""}],"id":"ITEM-1","issued":{"date-parts":[["2015"]]},"title":"Carbonizing urban biowaste for low-cost char production in developing countries - A review of knowledge, practices and technologies","type":"article-journal"},"uris":["http://www.mendeley.com/documents/?uuid=d1edbab1-e9d1-4e11-b2ec-6fc3d54e4435"]}],"mendeley":{"formattedCitation":"(Lohri et al., 2015)","manualFormatting":"Lohri et al. (2015)","plainTextFormattedCitation":"(Lohri et al., 2015)","previouslyFormattedCitation":"(Lohri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Lohri et al. (2015)</w:t>
            </w:r>
            <w:r w:rsidRPr="00C81B1E">
              <w:rPr>
                <w:rFonts w:eastAsia="Calibri"/>
                <w:lang w:val="en-GB" w:eastAsia="en-US"/>
              </w:rPr>
              <w:fldChar w:fldCharType="end"/>
            </w:r>
          </w:p>
        </w:tc>
      </w:tr>
      <w:tr w:rsidR="00C81B1E" w:rsidRPr="00C81B1E" w14:paraId="60ACE61D" w14:textId="77777777" w:rsidTr="00C81B1E">
        <w:trPr>
          <w:trHeight w:val="255"/>
        </w:trPr>
        <w:tc>
          <w:tcPr>
            <w:tcW w:w="1716" w:type="dxa"/>
            <w:shd w:val="clear" w:color="auto" w:fill="auto"/>
            <w:noWrap/>
            <w:vAlign w:val="center"/>
            <w:hideMark/>
          </w:tcPr>
          <w:p w14:paraId="1130EE92"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Pre-treatment</w:t>
            </w:r>
          </w:p>
        </w:tc>
        <w:tc>
          <w:tcPr>
            <w:tcW w:w="1843" w:type="dxa"/>
            <w:shd w:val="clear" w:color="auto" w:fill="auto"/>
            <w:noWrap/>
            <w:vAlign w:val="center"/>
            <w:hideMark/>
          </w:tcPr>
          <w:p w14:paraId="1D3D1E73" w14:textId="77777777" w:rsidR="00C7764C" w:rsidRPr="00C81B1E" w:rsidRDefault="00C7764C" w:rsidP="00C81B1E">
            <w:pPr>
              <w:pStyle w:val="MDPI42tablebody"/>
              <w:rPr>
                <w:rFonts w:eastAsia="Calibri"/>
                <w:lang w:val="en-GB" w:eastAsia="en-US"/>
              </w:rPr>
            </w:pPr>
            <w:r w:rsidRPr="00C81B1E">
              <w:rPr>
                <w:rFonts w:eastAsia="Calibri"/>
                <w:lang w:val="en-GB" w:eastAsia="en-US"/>
              </w:rPr>
              <w:t>Yes (type) / No</w:t>
            </w:r>
          </w:p>
        </w:tc>
        <w:tc>
          <w:tcPr>
            <w:tcW w:w="992" w:type="dxa"/>
            <w:shd w:val="clear" w:color="auto" w:fill="auto"/>
            <w:noWrap/>
            <w:vAlign w:val="center"/>
            <w:hideMark/>
          </w:tcPr>
          <w:p w14:paraId="4CC5D939"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536" w:type="dxa"/>
            <w:shd w:val="clear" w:color="auto" w:fill="auto"/>
            <w:noWrap/>
            <w:vAlign w:val="center"/>
            <w:hideMark/>
          </w:tcPr>
          <w:p w14:paraId="5D2B496E"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{"citationItems":[{"id":"ITEM-1","itemData":{"DOI":"10.1016/j.rser.2014.05.038","ISBN":"1364-0321","ISSN":"13640321","abstract":"The uncontrolled discharge of large amounts of food waste (FW) causes severe environmental pollution in many countries. Within different possible treatment routes, anaerobic digestion (AD) of FW into biogas, is a proven and effective solution for FW treatment and valorization. The present paper reviews the characteristics of FW, the principles of AD, the process parameters, and two approaches (pretreatment and co-digestion) for enhancing AD of food waste. Among the successive digestion reactions, hydrolysis is considered to be the rate-limiting step. To enhance the performance of AD, several physical, thermo-chemical, biological or combined pretreatments are reviewed. Moreover, a promising way for improving the performance of AD is the co-digestion of FW with other organic substrates, as confirmed by numerous studies, where a higher buffer capacity and an optimum nutrient balance enhance the biogas/methane yields of the co-digestion system. © 2014 Elsevier Ltd. All rights reserved.","author":[{"dropping-particle":"","family":"Zhang","given":"Cunsheng","non-dropping-particle":"","parse-names":false,"suffix":""},{"dropping-particle":"","family":"Su","given":"Haijia","non-dropping-particle":"","parse-names":false,"suffix":""},{"dropping-particle":"","family":"Baeyens","given":"Jan","non-dropping-particle":"","parse-names":false,"suffix":""},{"dropping-particle":"","family":"Tan","given":"Tianwei","non-dropping-particle":"","parse-names":false,"suffix":""}],"container-title":"Renewable and Sustainable Energy Reviews","id":"ITEM-1","issued":{"date-parts":[["2014"]]},"page":"383-392","publisher":"Elsevier","title":"Reviewing the anaerobic digestion of food waste for biogas production","type":"article-journal","volume":"38"},"uris":["http://www.mendeley.com/documents/?uuid=9fa6afa0-93be-4329-940d-3765aacc6233"]}],"mendeley":{"formattedCitation":"(Zhang et al., 2014)","manualFormatting":"Zhang et al. (2014)","plainTextFormattedCitation":"(Zhang et al., 2014)","previouslyFormattedCitation":"(Zhang et al.,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Zhang et al.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rtech.2014.12.094","ISSN":"09608524","author":[{"dropping-particle":"","family":"Nakasaki","given":"Kiyohiko","non-dropping-particle":"","parse-names":false,"suffix":""},{"dropping-particle":"","family":"Mimoto","given":"Hiroshi","non-dropping-particle":"","parse-names":false,"suffix":""},{"dropping-particle":"","family":"Tran","given":"Quyen Ngoc Minh","non-dropping-particle":"","parse-names":false,"suffix":""},{"dropping-particle":"","family":"Oinuma","given":"Akiko","non-dropping-particle":"","parse-names":false,"suffix":""}],"container-title":"Bioresource Technology","id":"ITEM-1","issued":{"date-parts":[["2015"]]},"page":"40-46","publisher":"Elsevier Ltd","title":"Composting of food waste subjected to hydrothermal pretreatment and inoculated with Paecilomyces sp. FA13","type":"article-journal","volume":"180"},"uris":["http://www.mendeley.com/documents/?uuid=161a4a33-6093-4168-b1a2-0a782621a01b"]}],"mendeley":{"formattedCitation":"(Nakasaki et al., 2015)","manualFormatting":"Nakasaki et al. (2015)","plainTextFormattedCitation":"(Nakasaki et al., 2015)","previouslyFormattedCitation":"(Nakasaki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Nakasaki et al. (2015)</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{"citationItems":[{"id":"ITEM-1","itemData":{"author":[{"dropping-particle":"","family":"Lohri","given":"Christian Riu","non-dropping-particle":"","parse-names":false,"suffix":""},{"dropping-particle":"","family":"Sweeney","given":"Dan","non-dropping-particle":"","parse-names":false,"suffix":""},{"dropping-particle":"","family":"Rajabu","given":"Hassan Mtoro","non-dropping-particle":"","parse-names":false,"suffix":""}],"id":"ITEM-1","issued":{"date-parts":[["2015"]]},"title":"Carbonizing urban biowaste for low-cost char production in developing countries - A review of knowledge, practices and technologies","type":"article-journal"},"uris":["http://www.mendeley.com/documents/?uuid=d1edbab1-e9d1-4e11-b2ec-6fc3d54e4435"]}],"mendeley":{"formattedCitation":"(Lohri et al., 2015)","manualFormatting":"Lohri et al. (2015)","plainTextFormattedCitation":"(Lohri et al., 2015)","previouslyFormattedCitation":"(Lohri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Lohri et al. (2015)</w:t>
            </w:r>
            <w:r w:rsidRPr="00C81B1E">
              <w:rPr>
                <w:rFonts w:eastAsia="Calibri"/>
                <w:lang w:val="en-GB" w:eastAsia="en-US"/>
              </w:rPr>
              <w:fldChar w:fldCharType="end"/>
            </w:r>
          </w:p>
        </w:tc>
      </w:tr>
      <w:tr w:rsidR="00C81B1E" w:rsidRPr="00C81B1E" w14:paraId="46B887AA" w14:textId="77777777" w:rsidTr="00C81B1E">
        <w:trPr>
          <w:trHeight w:val="255"/>
        </w:trPr>
        <w:tc>
          <w:tcPr>
            <w:tcW w:w="1716" w:type="dxa"/>
            <w:tcBorders>
              <w:top w:val="single" w:sz="4" w:space="0" w:color="7F7F7F"/>
              <w:bottom w:val="single" w:sz="4" w:space="0" w:color="7F7F7F"/>
            </w:tcBorders>
            <w:shd w:val="clear" w:color="auto" w:fill="auto"/>
            <w:noWrap/>
            <w:vAlign w:val="center"/>
            <w:hideMark/>
          </w:tcPr>
          <w:p w14:paraId="6404C89D"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Additives / Catalysts</w:t>
            </w:r>
          </w:p>
        </w:tc>
        <w:tc>
          <w:tcPr>
            <w:tcW w:w="1843" w:type="dxa"/>
            <w:tcBorders>
              <w:top w:val="single" w:sz="4" w:space="0" w:color="7F7F7F"/>
              <w:bottom w:val="single" w:sz="4" w:space="0" w:color="7F7F7F"/>
            </w:tcBorders>
            <w:shd w:val="clear" w:color="auto" w:fill="auto"/>
            <w:noWrap/>
            <w:vAlign w:val="center"/>
            <w:hideMark/>
          </w:tcPr>
          <w:p w14:paraId="26912653" w14:textId="77777777" w:rsidR="00C7764C" w:rsidRPr="00C81B1E" w:rsidRDefault="00C7764C" w:rsidP="00C81B1E">
            <w:pPr>
              <w:pStyle w:val="MDPI42tablebody"/>
              <w:rPr>
                <w:rFonts w:eastAsia="Calibri"/>
                <w:lang w:val="en-GB" w:eastAsia="en-US"/>
              </w:rPr>
            </w:pPr>
            <w:r w:rsidRPr="00C81B1E">
              <w:rPr>
                <w:rFonts w:eastAsia="Calibri"/>
                <w:lang w:val="en-GB" w:eastAsia="en-US"/>
              </w:rPr>
              <w:t>Yes (type and concentration) / No</w:t>
            </w:r>
          </w:p>
        </w:tc>
        <w:tc>
          <w:tcPr>
            <w:tcW w:w="992" w:type="dxa"/>
            <w:tcBorders>
              <w:top w:val="single" w:sz="4" w:space="0" w:color="7F7F7F"/>
              <w:bottom w:val="single" w:sz="4" w:space="0" w:color="7F7F7F"/>
            </w:tcBorders>
            <w:shd w:val="clear" w:color="auto" w:fill="auto"/>
            <w:noWrap/>
            <w:vAlign w:val="center"/>
            <w:hideMark/>
          </w:tcPr>
          <w:p w14:paraId="2977F839"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536" w:type="dxa"/>
            <w:tcBorders>
              <w:top w:val="single" w:sz="4" w:space="0" w:color="7F7F7F"/>
              <w:bottom w:val="single" w:sz="4" w:space="0" w:color="7F7F7F"/>
            </w:tcBorders>
            <w:shd w:val="clear" w:color="auto" w:fill="auto"/>
            <w:noWrap/>
            <w:vAlign w:val="center"/>
            <w:hideMark/>
          </w:tcPr>
          <w:p w14:paraId="7A7A73C7"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{"citationItems":[{"id":"ITEM-1","itemData":{"DOI":"10.1016/j.rser.2015.02.032","ISBN":"1364-0321","ISSN":"13640321","abstract":"With the rising demand for renewable energy and environmental protection, anaerobic digestion of biogas technology has attracted considerable attention within the scientific community. This paper presents a comprehensive review of research achievements on anaerobic digestion developments for biogas production. The review includes a discussion of factors affecting efficiency (temperature, pH, C/N ratio, OLR and retention time), accelerants (greenery biomass, biological pure culture and inorganic additives), reactors (conventional anaerobic reactors, sludge retention reactors and anaerobic membrane reactors) and biogas AD processes (lignocellulose waste, municipal solid waste, food waste, livestock manure and waste activated sludge) based on substrate characteristics and discusses the application of each forementioned aspect. The factors affecting efficiency are crucial to anaerobic digestion, because they play a major role in biogas production and determine the metabolic conditions for microorganism growth. As an additive, an accelerant is not only regarded as a nutrient resource, but can also improve biodegradability. The focus of reactor design is the sufficient utilization of a substrate by changing the feeding method and enhancing the attachment to biomass. The optimal digestion process balances the optimal digest conditions with the cost-optimal input/output ratio. Additionally, establishment of theoretical and technological studies should emphasize practicality based on laboratory-scale experiments because further development of biogas plants would allow for a transition from household to medium- and large-scale projects; therefore, improving stability and efficiency are recommended for advancing AD research.","author":[{"dropping-particle":"","family":"Mao","given":"Chunlan","non-dropping-particle":"","parse-names":false,"suffix":""},{"dropping-particle":"","family":"Feng","given":"Yongzhong","non-dropping-particle":"","parse-names":false,"suffix":""},{"dropping-particle":"","family":"Wang","given":"Xiaojiao","non-dropping-particle":"","parse-names":false,"suffix":""},{"dropping-particle":"","family":"Ren","given":"Guangxin","non-dropping-particle":"","parse-names":false,"suffix":""}],"container-title":"Renewable and Sustainable Energy Reviews","id":"ITEM-1","issued":{"date-parts":[["2015"]]},"page":"540-555","publisher":"Elsevier","title":"Review on research achievements of biogas from anaerobic digestion","type":"article-journal","volume":"45"},"uris":["http://www.mendeley.com/documents/?uuid=8f980546-dcd5-4d27-9e23-93fa618ec396"]}],"mendeley":{"formattedCitation":"(Mao et al., 2015)","manualFormatting":"Mao et al. (2015)","plainTextFormattedCitation":"(Mao et al., 2015)","previouslyFormattedCitation":"(Mao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Mao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{"citationItems":[{"id":"ITEM-1","itemData":{"DOI":"10.1023/B:WATE.0000019932.04020.b6","ISBN":"0049-6979","ISSN":"00496979","abstract":"Because of its agronomic benefits, farm-scale composting is an efficient means of recycling agricultural waste. Composting process is an aerobic degradation of fresh organic matter in mature compost. Nevertheless, according to the literature, composting may induce some environmental problems. The environmental impacts of composting will be described, along with an assessment of farm-scale composting practices which play a major role in pollution. The main environmental components potentially affected by composting pollution are air and water. Various gases released by composting, such as NH3, CH4 and N2O, can impact air quality and are therefore studied because they all have environmental impacts and can be controlled by composting management. The effect on water quality can be evaluated by considering loss of NO3-, NH4+, organic compounds and PO43-. Technical evaluation criteria for the impact of farm-scale composting on the air are determined from the physical and chemical characteristics of the raw materials, the use of additives, the turning method and frequency and the duration of the composting operations. Regarding water, the weather conditions at the beginning of the composting operation, the location of the heap, the protection against rain, the water addition during the process, the use of covers and the recovery of leaching and runoff water are also taken into account. The two main practices which control the air and water pollution from composting are: the choice of the raw material which influences gas emissions and the choice of composting location which have an high effect on losses by leaching and runoff. © 2004 Kluwer Academic Publishers.","author":[{"dropping-particle":"","family":"Peigne","given":"Josephine","non-dropping-particle":"","parse-names":false,"suffix":""},{"dropping-particle":"","family":"Girardin","given":"Philippe","non-dropping-particle":"","parse-names":false,"suffix":""}],"container-title":"Water, Air, and Soil Pollution","id":"ITEM-1","issued":{"date-parts":[["2004"]]},"page":"45-68","title":"Environmental impacts of farm-scale composting practices","type":"article-journal","volume":"153"},"uris":["http://www.mendeley.com/documents/?uuid=1cac405a-2c5f-4ec5-905c-fffa125841e9"]}],"mendeley":{"formattedCitation":"(Peigne and Girardin, 2004)","manualFormatting":"Peigne &amp; Girardin (2004)","plainTextFormattedCitation":"(Peigne and Girardin, 2004)","previouslyFormattedCitation":"(Peigne and Girardin, 2004)"},"properties":{"noteIndex":0},"schema":"https://github.com/citation-style-language/schema/raw/master/csl-citation.json"}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Peigne &amp; Girardin (2004)</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{"citationItems":[{"id":"ITEM-1","itemData":{"DOI":"10.1016/j.apenergy.2009.08.032","ISBN":"0306-2619","ISSN":"03062619","abstract":"Characteristics of syngas from the pyrolysis and gasification of food waste has been investigated. Characteristic differences in syngas properties and overall yields from pyrolysis and gasification were determined at two distinct high temperatures of 800 and 900 ??C. Pyrolysis and gasification behavior were evaluated in terms of syngas flow rate, hydrogen flow rate, output power, total syngas yield, total hydrogen yield, total energy yield, and apparent thermal efficiency. Gasification was more beneficial than pyrolysis based on investigated criteria, but longer time was needed to finish the gasification process. Longer time of gasification is attributed to slow reactions between the residual char and gasifying agent. Consequently, the char gasification kinetics was investigated. Inorganic constituents of food char were found to have a catalytic effect. Char reactivity increased with increased degree of conversion. In the conversion range from 0.1 to 0.9 the increase in reactivity was accompanied by an increase in pre-exponential factor, which suggested an increase in gasifying agent adsorption rate to char surface. However, in the conversion range from 0.93 to 0.98 the increase in reactivity was accompanied by a decrease in activation energy. A compensation effect was observed in this range of conversion of 0.93-0.98. ?? 2009 Elsevier Ltd. All rights reserved.","author":[{"dropping-particle":"","family":"Ahmed","given":"I. I.","non-dropping-particle":"","parse-names":false,"suffix":""},{"dropping-particle":"","family":"Gupta","given":"A. K.","non-dropping-particle":"","parse-names":false,"suffix":""}],"container-title":"Applied Energy","id":"ITEM-1","issue":"1","issued":{"date-parts":[["2010"]]},"page":"101-108","publisher":"Elsevier Ltd","title":"Pyrolysis and gasification of food waste: Syngas characteristics and char gasification kinetics","type":"article-journal","volume":"87"},"uris":["http://www.mendeley.com/documents/?uuid=ba947297-756d-4216-9a69-33c8820cc240"]}],"mendeley":{"formattedCitation":"(Ahmed and Gupta, 2010)","manualFormatting":"Ahmed &amp; Gupta (2010)","plainTextFormattedCitation":"(Ahmed and Gupta, 2010)","previouslyFormattedCitation":"(Ahmed and Gupta,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Ahmed &amp; Gupta (2010)</w:t>
            </w:r>
            <w:r w:rsidRPr="00C81B1E">
              <w:rPr>
                <w:rFonts w:eastAsia="Calibri"/>
                <w:lang w:val="en-GB" w:eastAsia="en-US"/>
              </w:rPr>
              <w:fldChar w:fldCharType="end"/>
            </w:r>
          </w:p>
        </w:tc>
      </w:tr>
      <w:tr w:rsidR="00C81B1E" w:rsidRPr="00C81B1E" w14:paraId="31DBF737" w14:textId="77777777" w:rsidTr="00C81B1E">
        <w:trPr>
          <w:trHeight w:val="255"/>
        </w:trPr>
        <w:tc>
          <w:tcPr>
            <w:tcW w:w="1716" w:type="dxa"/>
            <w:shd w:val="clear" w:color="auto" w:fill="auto"/>
            <w:noWrap/>
            <w:vAlign w:val="center"/>
            <w:hideMark/>
          </w:tcPr>
          <w:p w14:paraId="30394DA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Co-products</w:t>
            </w:r>
          </w:p>
        </w:tc>
        <w:tc>
          <w:tcPr>
            <w:tcW w:w="1843" w:type="dxa"/>
            <w:shd w:val="clear" w:color="auto" w:fill="auto"/>
            <w:noWrap/>
            <w:vAlign w:val="center"/>
            <w:hideMark/>
          </w:tcPr>
          <w:p w14:paraId="2165427C" w14:textId="77777777" w:rsidR="00C7764C" w:rsidRPr="00C81B1E" w:rsidRDefault="00C7764C" w:rsidP="00C81B1E">
            <w:pPr>
              <w:pStyle w:val="MDPI42tablebody"/>
              <w:rPr>
                <w:rFonts w:eastAsia="Calibri"/>
                <w:lang w:val="en-GB" w:eastAsia="en-US"/>
              </w:rPr>
            </w:pPr>
            <w:r w:rsidRPr="00C81B1E">
              <w:rPr>
                <w:rFonts w:eastAsia="Calibri"/>
                <w:lang w:val="en-GB" w:eastAsia="en-US"/>
              </w:rPr>
              <w:t>Type and quantity of co-product</w:t>
            </w:r>
          </w:p>
        </w:tc>
        <w:tc>
          <w:tcPr>
            <w:tcW w:w="992" w:type="dxa"/>
            <w:shd w:val="clear" w:color="auto" w:fill="auto"/>
            <w:noWrap/>
            <w:vAlign w:val="center"/>
            <w:hideMark/>
          </w:tcPr>
          <w:p w14:paraId="44B44CB7"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4536" w:type="dxa"/>
            <w:shd w:val="clear" w:color="auto" w:fill="auto"/>
            <w:noWrap/>
            <w:vAlign w:val="center"/>
            <w:hideMark/>
          </w:tcPr>
          <w:p w14:paraId="53EFCEC3"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{"citationItems":[{"id":"ITEM-1","itemData":{"DOI":"10.1016/j.rser.2015.02.032","ISBN":"1364-0321","ISSN":"13640321","abstract":"With the rising demand for renewable energy and environmental protection, anaerobic digestion of biogas technology has attracted considerable attention within the scientific community. This paper presents a comprehensive review of research achievements on anaerobic digestion developments for biogas production. The review includes a discussion of factors affecting efficiency (temperature, pH, C/N ratio, OLR and retention time), accelerants (greenery biomass, biological pure culture and inorganic additives), reactors (conventional anaerobic reactors, sludge retention reactors and anaerobic membrane reactors) and biogas AD processes (lignocellulose waste, municipal solid waste, food waste, livestock manure and waste activated sludge) based on substrate characteristics and discusses the application of each forementioned aspect. The factors affecting efficiency are crucial to anaerobic digestion, because they play a major role in biogas production and determine the metabolic conditions for microorganism growth. As an additive, an accelerant is not only regarded as a nutrient resource, but can also improve biodegradability. The focus of reactor design is the sufficient utilization of a substrate by changing the feeding method and enhancing the attachment to biomass. The optimal digestion process balances the optimal digest conditions with the cost-optimal input/output ratio. Additionally, establishment of theoretical and technological studies should emphasize practicality based on laboratory-scale experiments because further development of biogas plants would allow for a transition from household to medium- and large-scale projects; therefore, improving stability and efficiency are recommended for advancing AD research.","author":[{"dropping-particle":"","family":"Mao","given":"Chunlan","non-dropping-particle":"","parse-names":false,"suffix":""},{"dropping-particle":"","family":"Feng","given":"Yongzhong","non-dropping-particle":"","parse-names":false,"suffix":""},{"dropping-particle":"","family":"Wang","given":"Xiaojiao","non-dropping-particle":"","parse-names":false,"suffix":""},{"dropping-particle":"","family":"Ren","given":"Guangxin","non-dropping-particle":"","parse-names":false,"suffix":""}],"container-title":"Renewable and Sustainable Energy Reviews","id":"ITEM-1","issued":{"date-parts":[["2015"]]},"page":"540-555","publisher":"Elsevier","title":"Review on research achievements of biogas from anaerobic digestion","type":"article-journal","volume":"45"},"uris":["http://www.mendeley.com/documents/?uuid=8f980546-dcd5-4d27-9e23-93fa618ec396"]}],"mendeley":{"formattedCitation":"(Mao et al., 2015)","manualFormatting":"Mao et al. (2015)","plainTextFormattedCitation":"(Mao et al., 2015)","previouslyFormattedCitation":"(Mao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Mao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Cooperband (2002)</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{"citationItems":[{"id":"ITEM-1","itemData":{"DOI":"10.1177/0734242X16652965","ISSN":"0734-242X","abstract":"Trying to respond to the latest policy needs, the work presented in this article aims at developing a life-cycle based framework methodology to quantitatively evaluate the environmental and economic sustainability of European food waste management options. The methodology is structured into six steps aimed at defining boundaries and scope of the evaluation, evaluating environmental and economic impacts and identifying best performing options. The methodology is able to accommodate additional assessment criteria, for example the social dimension of sustainability, thus moving towards a comprehensive sustainability assessment framework. A numerical case study is also developed to provide an example of application of the proposed methodology to an average European context. Different options for food waste treatment are compared, including landfilling, composting, anaerobic digestion and incineration. The environmental dimension is evaluated with the software EASETECH, while the economic assessment is conducted based on different indicators expressing the costs associated with food waste management. Results show that the proposed methodology allows for a straightforward identification of the most sustainable options for food waste, thus can provide factual support to decision/policy making. However, it was also observed that results markedly depend on a number of user-defined assumptions, for example on the choice of the indicators to express the environmental and economic performance. © The Author(s) 2016.","author":[{"dropping-particle":"","family":"Manfredi","given":"S.","non-dropping-particle":"","parse-names":false,"suffix":""},{"dropping-particle":"","family":"Cristobal","given":"J.","non-dropping-particle":"","parse-names":false,"suffix":""}],"container-title":"Waste Management &amp; Research","id":"ITEM-1","issue":"9","issued":{"date-parts":[["2016"]]},"page":"1-12","title":"Towards more sustainable management of European food waste: Methodological approach and numerical application","type":"article-journal","volume":"34"},"uris":["http://www.mendeley.com/documents/?uuid=4b081298-fc3c-44eb-b037-20fb4c32924a"]}],"mendeley":{"formattedCitation":"(Manfredi and Cristobal, 2016)","manualFormatting":"Manfredi &amp; Cristobal (2016)","plainTextFormattedCitation":"(Manfredi and Cristobal, 2016)","previouslyFormattedCitation":"(Manfredi and Cristobal,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Manfredi &amp; Cristobal (2016)</w:t>
            </w:r>
            <w:r w:rsidRPr="00C81B1E">
              <w:rPr>
                <w:rFonts w:eastAsia="Calibri"/>
                <w:lang w:val="en-GB" w:eastAsia="en-US"/>
              </w:rPr>
              <w:fldChar w:fldCharType="end"/>
            </w:r>
          </w:p>
        </w:tc>
      </w:tr>
      <w:tr w:rsidR="00C81B1E" w:rsidRPr="00C81B1E" w14:paraId="3694D9F1" w14:textId="77777777" w:rsidTr="00C81B1E">
        <w:trPr>
          <w:trHeight w:val="255"/>
        </w:trPr>
        <w:tc>
          <w:tcPr>
            <w:tcW w:w="1716" w:type="dxa"/>
            <w:tcBorders>
              <w:top w:val="single" w:sz="4" w:space="0" w:color="7F7F7F"/>
              <w:bottom w:val="single" w:sz="4" w:space="0" w:color="7F7F7F"/>
            </w:tcBorders>
            <w:shd w:val="clear" w:color="auto" w:fill="auto"/>
            <w:noWrap/>
            <w:vAlign w:val="center"/>
            <w:hideMark/>
          </w:tcPr>
          <w:p w14:paraId="5EA7D3C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Inoculum / Seeding</w:t>
            </w:r>
          </w:p>
        </w:tc>
        <w:tc>
          <w:tcPr>
            <w:tcW w:w="1843" w:type="dxa"/>
            <w:tcBorders>
              <w:top w:val="single" w:sz="4" w:space="0" w:color="7F7F7F"/>
              <w:bottom w:val="single" w:sz="4" w:space="0" w:color="7F7F7F"/>
            </w:tcBorders>
            <w:shd w:val="clear" w:color="auto" w:fill="auto"/>
            <w:noWrap/>
            <w:vAlign w:val="center"/>
            <w:hideMark/>
          </w:tcPr>
          <w:p w14:paraId="6774F247" w14:textId="77777777" w:rsidR="00C7764C" w:rsidRPr="00C81B1E" w:rsidRDefault="00C7764C" w:rsidP="00C81B1E">
            <w:pPr>
              <w:pStyle w:val="MDPI42tablebody"/>
              <w:rPr>
                <w:rFonts w:eastAsia="Calibri"/>
                <w:lang w:val="en-GB" w:eastAsia="en-US"/>
              </w:rPr>
            </w:pPr>
            <w:r w:rsidRPr="00C81B1E">
              <w:rPr>
                <w:rFonts w:eastAsia="Calibri"/>
                <w:lang w:val="en-GB" w:eastAsia="en-US"/>
              </w:rPr>
              <w:t>Type and % mass</w:t>
            </w:r>
          </w:p>
        </w:tc>
        <w:tc>
          <w:tcPr>
            <w:tcW w:w="992" w:type="dxa"/>
            <w:tcBorders>
              <w:top w:val="single" w:sz="4" w:space="0" w:color="7F7F7F"/>
              <w:bottom w:val="single" w:sz="4" w:space="0" w:color="7F7F7F"/>
            </w:tcBorders>
            <w:shd w:val="clear" w:color="auto" w:fill="auto"/>
            <w:noWrap/>
            <w:vAlign w:val="center"/>
            <w:hideMark/>
          </w:tcPr>
          <w:p w14:paraId="0C7F7E57"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4536" w:type="dxa"/>
            <w:tcBorders>
              <w:top w:val="single" w:sz="4" w:space="0" w:color="7F7F7F"/>
              <w:bottom w:val="single" w:sz="4" w:space="0" w:color="7F7F7F"/>
            </w:tcBorders>
            <w:shd w:val="clear" w:color="auto" w:fill="auto"/>
            <w:noWrap/>
            <w:vAlign w:val="center"/>
            <w:hideMark/>
          </w:tcPr>
          <w:p w14:paraId="121E7C57"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{"citationItems":[{"id":"ITEM-1","itemData":{"DOI":"10.1016/j.jece.2014.07.024","ISSN":"22133437","abstract":"Food waste with high decomposition potential can be successfully digested anaerobically for the production of biogas. As the fossil-fuel reserves decline anaerobic digestion can be a better alternative as a renewable energy source. The byproducts such as biogas with 50–60% methane content can be efficiently used for electricity production and the final digested sludge as a fertilizer. Even though anaerobic digestion is a proven technology, still there exist some technical difficulties (organic loading rate, solid retention time, biogas composition, specific gas production) and scientific understandings (carbon to nitrogen ratio, volatile fatty acids production, pH variation, nutrient concentration) in operating reactors for solid organic wastes. First the paper gives an overview of certain fundamental aspects of anaerobic digestion considered important for the digestion of food waste and its biochemical reactions. Then it describes food waste as the substrate for anaerobic digestion and its optimal conditions for the increased activity of biogas production. Finally it has been reviewed about the performance of the different pre-treatment methods and anaerobic reactor configurations in the digestion of food waste for increasing methane content in the biogas.","author":[{"dropping-particle":"","family":"Kondusamy","given":"Dhamodharan","non-dropping-particle":"","parse-names":false,"suffix":""},{"dropping-particle":"","family":"Kalamdhad","given":"Ajay S.","non-dropping-particle":"","parse-names":false,"suffix":""}],"container-title":"Journal of Environmental Chemical Engineering","id":"ITEM-1","issue":"3","issued":{"date-parts":[["2014","9"]]},"page":"1821-1830","title":"Pre-treatment and anaerobic digestion of food waste for high rate methane production – A review","type":"article-journal","volume":"2"},"uris":["http://www.mendeley.com/documents/?uuid=e9beb031-9c8c-4795-ade7-780b98fd4c82"]}],"mendeley":{"formattedCitation":"(Kondusamy and Kalamdhad, 2014)","manualFormatting":"Kondusamy &amp; Kalamdhad (2014)","plainTextFormattedCitation":"(Kondusamy and Kalamdhad, 2014)","previouslyFormattedCitation":"(Kondusamy and Kalamdhad,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Kondusamy &amp; Kalamdhad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{"citationItems":[{"id":"ITEM-1","itemData":{"DOI":"10.1016/j.biortech.2005.02.013","ISBN":"09608524","ISSN":"09608524","PMID":"15990292","abstract":"A laboratory reactor was designed to study the effects of operating parameters (air suction rate, seeding and agitation) on the composting process of a synthetic food waste made of dog food. Experimental results showed that the synthetic food waste could be composted within 4 days and the final compost passed the maturity tests. In most cases except those with 32% of seeding, the process involved two major stages of composting. The two peak temperatures between 50 and 60??C occurred at 8-12th hour and 50-65th hour, respectively. Operating parameters that converted the most volatile solids and carbons in the feedstock were as follows: 1.6 l air/kg dry solid-min of air suction rate, 32% of seeding and 50% of agitation time. ?? 2005 Elsevier Ltd. All rights reserved.","author":[{"dropping-particle":"","family":"Chang","given":"James I.","non-dropping-particle":"","parse-names":false,"suffix":""},{"dropping-particle":"","family":"Tsai","given":"J. J.","non-dropping-particle":"","parse-names":false,"suffix":""},{"dropping-particle":"","family":"Wu","given":"K. H.","non-dropping-particle":"","parse-names":false,"suffix":""}],"container-title":"Bioresource Technology","id":"ITEM-1","issue":"1","issued":{"date-parts":[["2006"]]},"page":"116-122","title":"Thermophilic composting of food waste","type":"article-journal","volume":"97"},"uris":["http://www.mendeley.com/documents/?uuid=82a6af50-1555-4181-936c-c0828d75ea9f"]}],"mendeley":{"formattedCitation":"(Chang et al., 2006)","manualFormatting":"Chang et al. (2006)","plainTextFormattedCitation":"(Chang et al., 2006)","previouslyFormattedCitation":"(Chang et al., 2006)"},"properties":{"noteIndex":0},"schema":"https://github.com/citation-style-language/schema/raw/master/csl-citation.json"}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Chang et al. (2006)</w:t>
            </w:r>
            <w:r w:rsidRPr="00C81B1E">
              <w:rPr>
                <w:rFonts w:eastAsia="Calibri"/>
                <w:lang w:val="en-GB" w:eastAsia="en-US"/>
              </w:rPr>
              <w:fldChar w:fldCharType="end"/>
            </w:r>
          </w:p>
        </w:tc>
      </w:tr>
      <w:tr w:rsidR="00C81B1E" w:rsidRPr="00C81B1E" w14:paraId="4BEC5765" w14:textId="77777777" w:rsidTr="00C81B1E">
        <w:trPr>
          <w:trHeight w:val="255"/>
        </w:trPr>
        <w:tc>
          <w:tcPr>
            <w:tcW w:w="1716" w:type="dxa"/>
            <w:shd w:val="clear" w:color="auto" w:fill="auto"/>
            <w:noWrap/>
            <w:vAlign w:val="center"/>
            <w:hideMark/>
          </w:tcPr>
          <w:p w14:paraId="0779BF3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Agitation / Stirring</w:t>
            </w:r>
          </w:p>
        </w:tc>
        <w:tc>
          <w:tcPr>
            <w:tcW w:w="1843" w:type="dxa"/>
            <w:shd w:val="clear" w:color="auto" w:fill="auto"/>
            <w:noWrap/>
            <w:vAlign w:val="center"/>
            <w:hideMark/>
          </w:tcPr>
          <w:p w14:paraId="64A900C2" w14:textId="77777777" w:rsidR="00C7764C" w:rsidRPr="00C81B1E" w:rsidRDefault="00C7764C" w:rsidP="00C81B1E">
            <w:pPr>
              <w:pStyle w:val="MDPI42tablebody"/>
              <w:rPr>
                <w:rFonts w:eastAsia="Calibri"/>
                <w:lang w:val="en-GB" w:eastAsia="en-US"/>
              </w:rPr>
            </w:pPr>
            <w:r w:rsidRPr="00C81B1E">
              <w:rPr>
                <w:rFonts w:eastAsia="Calibri"/>
                <w:lang w:val="en-GB" w:eastAsia="en-US"/>
              </w:rPr>
              <w:t>Yes (type and speed / periodicity) / No</w:t>
            </w:r>
          </w:p>
        </w:tc>
        <w:tc>
          <w:tcPr>
            <w:tcW w:w="992" w:type="dxa"/>
            <w:shd w:val="clear" w:color="auto" w:fill="auto"/>
            <w:noWrap/>
            <w:vAlign w:val="center"/>
            <w:hideMark/>
          </w:tcPr>
          <w:p w14:paraId="428F0EA2"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4536" w:type="dxa"/>
            <w:shd w:val="clear" w:color="auto" w:fill="auto"/>
            <w:noWrap/>
            <w:vAlign w:val="center"/>
            <w:hideMark/>
          </w:tcPr>
          <w:p w14:paraId="053135DF"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{"citationItems":[{"id":"ITEM-1","itemData":{"DOI":"10.1080/15435075.2014.909355","ISSN":"1543-5075","author":[{"dropping-particle":"","family":"Leung","given":"Dennis Y. C.","non-dropping-particle":"","parse-names":false,"suffix":""},{"dropping-particle":"","family":"Wang","given":"Jing","non-dropping-particle":"","parse-names":false,"suffix":""}],"container-title":"International Journal of Green Energy","id":"ITEM-1","issue":"2","issued":{"date-parts":[["2016"]]},"page":"119-131","title":"An overview on biogas generation from anaerobic digestion of food waste","type":"article-journal","volume":"13"},"uris":["http://www.mendeley.com/documents/?uuid=b015d72a-0982-4f0a-8271-64681dad551d"]}],"mendeley":{"formattedCitation":"(Leung and Wang, 2016)","manualFormatting":"Leung &amp; Wang (2016)","plainTextFormattedCitation":"(Leung and Wang, 2016)","previouslyFormattedCitation":"(Leung and Wang,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Leung &amp; Wang (2016)</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Cooperband (2002)</w:t>
            </w:r>
            <w:r w:rsidRPr="00C81B1E">
              <w:rPr>
                <w:rFonts w:eastAsia="Calibri"/>
                <w:lang w:val="en-GB" w:eastAsia="en-US"/>
              </w:rPr>
              <w:fldChar w:fldCharType="end"/>
            </w:r>
          </w:p>
        </w:tc>
      </w:tr>
      <w:tr w:rsidR="00C81B1E" w:rsidRPr="00C81B1E" w14:paraId="5621EDD5" w14:textId="77777777" w:rsidTr="00C81B1E">
        <w:trPr>
          <w:trHeight w:val="255"/>
        </w:trPr>
        <w:tc>
          <w:tcPr>
            <w:tcW w:w="1716" w:type="dxa"/>
            <w:tcBorders>
              <w:top w:val="single" w:sz="4" w:space="0" w:color="7F7F7F"/>
              <w:bottom w:val="single" w:sz="4" w:space="0" w:color="7F7F7F"/>
            </w:tcBorders>
            <w:shd w:val="clear" w:color="auto" w:fill="auto"/>
            <w:noWrap/>
            <w:vAlign w:val="center"/>
            <w:hideMark/>
          </w:tcPr>
          <w:p w14:paraId="44E19E0D"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pH</w:t>
            </w:r>
          </w:p>
        </w:tc>
        <w:tc>
          <w:tcPr>
            <w:tcW w:w="1843" w:type="dxa"/>
            <w:tcBorders>
              <w:top w:val="single" w:sz="4" w:space="0" w:color="7F7F7F"/>
              <w:bottom w:val="single" w:sz="4" w:space="0" w:color="7F7F7F"/>
            </w:tcBorders>
            <w:shd w:val="clear" w:color="auto" w:fill="auto"/>
            <w:noWrap/>
            <w:vAlign w:val="center"/>
            <w:hideMark/>
          </w:tcPr>
          <w:p w14:paraId="1E7922D4" w14:textId="77777777" w:rsidR="00C7764C" w:rsidRPr="00C81B1E" w:rsidRDefault="00C7764C" w:rsidP="00C81B1E">
            <w:pPr>
              <w:pStyle w:val="MDPI42tablebody"/>
              <w:rPr>
                <w:rFonts w:eastAsia="Calibri"/>
                <w:lang w:val="en-GB" w:eastAsia="en-US"/>
              </w:rPr>
            </w:pPr>
            <w:r w:rsidRPr="00C81B1E">
              <w:rPr>
                <w:rFonts w:eastAsia="Calibri"/>
                <w:lang w:val="en-GB" w:eastAsia="en-US"/>
              </w:rPr>
              <w:t>0-14</w:t>
            </w:r>
          </w:p>
        </w:tc>
        <w:tc>
          <w:tcPr>
            <w:tcW w:w="992" w:type="dxa"/>
            <w:tcBorders>
              <w:top w:val="single" w:sz="4" w:space="0" w:color="7F7F7F"/>
              <w:bottom w:val="single" w:sz="4" w:space="0" w:color="7F7F7F"/>
            </w:tcBorders>
            <w:shd w:val="clear" w:color="auto" w:fill="auto"/>
            <w:noWrap/>
            <w:vAlign w:val="center"/>
            <w:hideMark/>
          </w:tcPr>
          <w:p w14:paraId="2839EB25"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4536" w:type="dxa"/>
            <w:tcBorders>
              <w:top w:val="single" w:sz="4" w:space="0" w:color="7F7F7F"/>
              <w:bottom w:val="single" w:sz="4" w:space="0" w:color="7F7F7F"/>
            </w:tcBorders>
            <w:shd w:val="clear" w:color="auto" w:fill="auto"/>
            <w:noWrap/>
            <w:vAlign w:val="center"/>
            <w:hideMark/>
          </w:tcPr>
          <w:p w14:paraId="50FEB2E5"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{"citationItems":[{"id":"ITEM-1","itemData":{"DOI":"10.1016/j.rser.2015.02.032","ISBN":"1364-0321","ISSN":"13640321","abstract":"With the rising demand for renewable energy and environmental protection, anaerobic digestion of biogas technology has attracted considerable attention within the scientific community. This paper presents a comprehensive review of research achievements on anaerobic digestion developments for biogas production. The review includes a discussion of factors affecting efficiency (temperature, pH, C/N ratio, OLR and retention time), accelerants (greenery biomass, biological pure culture and inorganic additives), reactors (conventional anaerobic reactors, sludge retention reactors and anaerobic membrane reactors) and biogas AD processes (lignocellulose waste, municipal solid waste, food waste, livestock manure and waste activated sludge) based on substrate characteristics and discusses the application of each forementioned aspect. The factors affecting efficiency are crucial to anaerobic digestion, because they play a major role in biogas production and determine the metabolic conditions for microorganism growth. As an additive, an accelerant is not only regarded as a nutrient resource, but can also improve biodegradability. The focus of reactor design is the sufficient utilization of a substrate by changing the feeding method and enhancing the attachment to biomass. The optimal digestion process balances the optimal digest conditions with the cost-optimal input/output ratio. Additionally, establishment of theoretical and technological studies should emphasize practicality based on laboratory-scale experiments because further development of biogas plants would allow for a transition from household to medium- and large-scale projects; therefore, improving stability and efficiency are recommended for advancing AD research.","author":[{"dropping-particle":"","family":"Mao","given":"Chunlan","non-dropping-particle":"","parse-names":false,"suffix":""},{"dropping-particle":"","family":"Feng","given":"Yongzhong","non-dropping-particle":"","parse-names":false,"suffix":""},{"dropping-particle":"","family":"Wang","given":"Xiaojiao","non-dropping-particle":"","parse-names":false,"suffix":""},{"dropping-particle":"","family":"Ren","given":"Guangxin","non-dropping-particle":"","parse-names":false,"suffix":""}],"container-title":"Renewable and Sustainable Energy Reviews","id":"ITEM-1","issued":{"date-parts":[["2015"]]},"page":"540-555","publisher":"Elsevier","title":"Review on research achievements of biogas from anaerobic digestion","type":"article-journal","volume":"45"},"uris":["http://www.mendeley.com/documents/?uuid=8f980546-dcd5-4d27-9e23-93fa618ec396"]}],"mendeley":{"formattedCitation":"(Mao et al., 2015)","manualFormatting":"Mao et al. (2015)","plainTextFormattedCitation":"(Mao et al., 2015)","previouslyFormattedCitation":"(Mao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Mao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Cooperband (2002)</w:t>
            </w:r>
            <w:r w:rsidRPr="00C81B1E">
              <w:rPr>
                <w:rFonts w:eastAsia="Calibri"/>
                <w:lang w:val="en-GB" w:eastAsia="en-US"/>
              </w:rPr>
              <w:fldChar w:fldCharType="end"/>
            </w:r>
          </w:p>
        </w:tc>
      </w:tr>
      <w:tr w:rsidR="00C81B1E" w:rsidRPr="00C81B1E" w14:paraId="62C88F71" w14:textId="77777777" w:rsidTr="00C81B1E">
        <w:trPr>
          <w:trHeight w:val="285"/>
        </w:trPr>
        <w:tc>
          <w:tcPr>
            <w:tcW w:w="1716" w:type="dxa"/>
            <w:shd w:val="clear" w:color="auto" w:fill="auto"/>
            <w:noWrap/>
            <w:vAlign w:val="center"/>
            <w:hideMark/>
          </w:tcPr>
          <w:p w14:paraId="6EADDAC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Organic loading rate (OLR)</w:t>
            </w:r>
          </w:p>
        </w:tc>
        <w:tc>
          <w:tcPr>
            <w:tcW w:w="1843" w:type="dxa"/>
            <w:shd w:val="clear" w:color="auto" w:fill="auto"/>
            <w:noWrap/>
            <w:vAlign w:val="center"/>
            <w:hideMark/>
          </w:tcPr>
          <w:p w14:paraId="1EAEA1F8" w14:textId="77777777" w:rsidR="00C7764C" w:rsidRPr="00C81B1E" w:rsidRDefault="00C7764C" w:rsidP="00C81B1E">
            <w:pPr>
              <w:pStyle w:val="MDPI42tablebody"/>
              <w:rPr>
                <w:rFonts w:eastAsia="Calibri"/>
                <w:lang w:val="en-GB" w:eastAsia="en-US"/>
              </w:rPr>
            </w:pPr>
            <w:r w:rsidRPr="00C81B1E">
              <w:rPr>
                <w:rFonts w:eastAsia="Calibri"/>
                <w:lang w:val="en-GB" w:eastAsia="en-US"/>
              </w:rPr>
              <w:t>kg VS/m</w:t>
            </w:r>
            <w:r w:rsidRPr="00C81B1E">
              <w:rPr>
                <w:rFonts w:eastAsia="Calibri"/>
                <w:vertAlign w:val="superscript"/>
                <w:lang w:val="en-GB" w:eastAsia="en-US"/>
              </w:rPr>
              <w:t>3</w:t>
            </w:r>
            <w:r w:rsidRPr="00C81B1E">
              <w:rPr>
                <w:rFonts w:eastAsia="Calibri"/>
                <w:lang w:val="en-GB" w:eastAsia="en-US"/>
              </w:rPr>
              <w:t xml:space="preserve"> day</w:t>
            </w:r>
          </w:p>
        </w:tc>
        <w:tc>
          <w:tcPr>
            <w:tcW w:w="992" w:type="dxa"/>
            <w:shd w:val="clear" w:color="auto" w:fill="auto"/>
            <w:noWrap/>
            <w:vAlign w:val="center"/>
            <w:hideMark/>
          </w:tcPr>
          <w:p w14:paraId="2C8857E0"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4536" w:type="dxa"/>
            <w:vMerge w:val="restart"/>
            <w:shd w:val="clear" w:color="auto" w:fill="auto"/>
            <w:noWrap/>
            <w:vAlign w:val="center"/>
            <w:hideMark/>
          </w:tcPr>
          <w:p w14:paraId="059FE95F"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{"citationItems":[{"id":"ITEM-1","itemData":{"DOI":"10.1016/j.rser.2015.02.032","ISBN":"1364-0321","ISSN":"13640321","abstract":"With the rising demand for renewable energy and environmental protection, anaerobic digestion of biogas technology has attracted considerable attention within the scientific community. This paper presents a comprehensive review of research achievements on anaerobic digestion developments for biogas production. The review includes a discussion of factors affecting efficiency (temperature, pH, C/N ratio, OLR and retention time), accelerants (greenery biomass, biological pure culture and inorganic additives), reactors (conventional anaerobic reactors, sludge retention reactors and anaerobic membrane reactors) and biogas AD processes (lignocellulose waste, municipal solid waste, food waste, livestock manure and waste activated sludge) based on substrate characteristics and discusses the application of each forementioned aspect. The factors affecting efficiency are crucial to anaerobic digestion, because they play a major role in biogas production and determine the metabolic conditions for microorganism growth. As an additive, an accelerant is not only regarded as a nutrient resource, but can also improve biodegradability. The focus of reactor design is the sufficient utilization of a substrate by changing the feeding method and enhancing the attachment to biomass. The optimal digestion process balances the optimal digest conditions with the cost-optimal input/output ratio. Additionally, establishment of theoretical and technological studies should emphasize practicality based on laboratory-scale experiments because further development of biogas plants would allow for a transition from household to medium- and large-scale projects; therefore, improving stability and efficiency are recommended for advancing AD research.","author":[{"dropping-particle":"","family":"Mao","given":"Chunlan","non-dropping-particle":"","parse-names":false,"suffix":""},{"dropping-particle":"","family":"Feng","given":"Yongzhong","non-dropping-particle":"","parse-names":false,"suffix":""},{"dropping-particle":"","family":"Wang","given":"Xiaojiao","non-dropping-particle":"","parse-names":false,"suffix":""},{"dropping-particle":"","family":"Ren","given":"Guangxin","non-dropping-particle":"","parse-names":false,"suffix":""}],"container-title":"Renewable and Sustainable Energy Reviews","id":"ITEM-1","issued":{"date-parts":[["2015"]]},"page":"540-555","publisher":"Elsevier","title":"Review on research achievements of biogas from anaerobic digestion","type":"article-journal","volume":"45"},"uris":["http://www.mendeley.com/documents/?uuid=8f980546-dcd5-4d27-9e23-93fa618ec396"]}],"mendeley":{"formattedCitation":"(Mao et al., 2015)","manualFormatting":"Mao et al. (2015)","plainTextFormattedCitation":"(Mao et al., 2015)","previouslyFormattedCitation":"(Mao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Mao et al. (2015)</w:t>
            </w:r>
            <w:r w:rsidRPr="00C81B1E">
              <w:rPr>
                <w:rFonts w:eastAsia="Calibri"/>
                <w:lang w:val="en-GB" w:eastAsia="en-US"/>
              </w:rPr>
              <w:fldChar w:fldCharType="end"/>
            </w:r>
          </w:p>
        </w:tc>
      </w:tr>
      <w:tr w:rsidR="00C81B1E" w:rsidRPr="00C81B1E" w14:paraId="31DE5827" w14:textId="77777777" w:rsidTr="00C81B1E">
        <w:trPr>
          <w:trHeight w:val="255"/>
        </w:trPr>
        <w:tc>
          <w:tcPr>
            <w:tcW w:w="1716" w:type="dxa"/>
            <w:tcBorders>
              <w:top w:val="single" w:sz="4" w:space="0" w:color="7F7F7F"/>
              <w:bottom w:val="single" w:sz="4" w:space="0" w:color="7F7F7F"/>
            </w:tcBorders>
            <w:shd w:val="clear" w:color="auto" w:fill="auto"/>
            <w:noWrap/>
            <w:vAlign w:val="center"/>
            <w:hideMark/>
          </w:tcPr>
          <w:p w14:paraId="4333C92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Hydraulic retention time (HRT)</w:t>
            </w:r>
          </w:p>
        </w:tc>
        <w:tc>
          <w:tcPr>
            <w:tcW w:w="1843" w:type="dxa"/>
            <w:tcBorders>
              <w:top w:val="single" w:sz="4" w:space="0" w:color="7F7F7F"/>
              <w:bottom w:val="single" w:sz="4" w:space="0" w:color="7F7F7F"/>
            </w:tcBorders>
            <w:shd w:val="clear" w:color="auto" w:fill="auto"/>
            <w:noWrap/>
            <w:vAlign w:val="center"/>
            <w:hideMark/>
          </w:tcPr>
          <w:p w14:paraId="34B8B49C" w14:textId="77777777" w:rsidR="00C7764C" w:rsidRPr="00C81B1E" w:rsidRDefault="00C7764C" w:rsidP="00C81B1E">
            <w:pPr>
              <w:pStyle w:val="MDPI42tablebody"/>
              <w:rPr>
                <w:rFonts w:eastAsia="Calibri"/>
                <w:lang w:val="en-GB" w:eastAsia="en-US"/>
              </w:rPr>
            </w:pPr>
            <w:r w:rsidRPr="00C81B1E">
              <w:rPr>
                <w:rFonts w:eastAsia="Calibri"/>
                <w:lang w:val="en-GB" w:eastAsia="en-US"/>
              </w:rPr>
              <w:t>Days</w:t>
            </w:r>
          </w:p>
        </w:tc>
        <w:tc>
          <w:tcPr>
            <w:tcW w:w="992" w:type="dxa"/>
            <w:tcBorders>
              <w:top w:val="single" w:sz="4" w:space="0" w:color="7F7F7F"/>
              <w:bottom w:val="single" w:sz="4" w:space="0" w:color="7F7F7F"/>
            </w:tcBorders>
            <w:shd w:val="clear" w:color="auto" w:fill="auto"/>
            <w:noWrap/>
            <w:vAlign w:val="center"/>
            <w:hideMark/>
          </w:tcPr>
          <w:p w14:paraId="2CF59D8A"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4536" w:type="dxa"/>
            <w:vMerge/>
            <w:tcBorders>
              <w:top w:val="single" w:sz="4" w:space="0" w:color="7F7F7F"/>
              <w:bottom w:val="single" w:sz="4" w:space="0" w:color="7F7F7F"/>
            </w:tcBorders>
            <w:shd w:val="clear" w:color="auto" w:fill="auto"/>
            <w:noWrap/>
            <w:vAlign w:val="center"/>
            <w:hideMark/>
          </w:tcPr>
          <w:p w14:paraId="65A97AF1" w14:textId="77777777" w:rsidR="00C7764C" w:rsidRPr="00C81B1E" w:rsidRDefault="00C7764C" w:rsidP="00C81B1E">
            <w:pPr>
              <w:pStyle w:val="MDPI42tablebody"/>
              <w:rPr>
                <w:rFonts w:eastAsia="Calibri"/>
                <w:lang w:val="en-GB" w:eastAsia="en-US"/>
              </w:rPr>
            </w:pPr>
          </w:p>
        </w:tc>
      </w:tr>
      <w:tr w:rsidR="00C81B1E" w:rsidRPr="00C81B1E" w14:paraId="42B4D327" w14:textId="77777777" w:rsidTr="00C81B1E">
        <w:trPr>
          <w:trHeight w:val="255"/>
        </w:trPr>
        <w:tc>
          <w:tcPr>
            <w:tcW w:w="1716" w:type="dxa"/>
            <w:shd w:val="clear" w:color="auto" w:fill="auto"/>
            <w:noWrap/>
            <w:vAlign w:val="center"/>
            <w:hideMark/>
          </w:tcPr>
          <w:p w14:paraId="39E8998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Composting of digestate</w:t>
            </w:r>
          </w:p>
        </w:tc>
        <w:tc>
          <w:tcPr>
            <w:tcW w:w="1843" w:type="dxa"/>
            <w:shd w:val="clear" w:color="auto" w:fill="auto"/>
            <w:noWrap/>
            <w:vAlign w:val="center"/>
            <w:hideMark/>
          </w:tcPr>
          <w:p w14:paraId="2B567CDA" w14:textId="77777777" w:rsidR="00C7764C" w:rsidRPr="00C81B1E" w:rsidRDefault="00C7764C" w:rsidP="00C81B1E">
            <w:pPr>
              <w:pStyle w:val="MDPI42tablebody"/>
              <w:rPr>
                <w:rFonts w:eastAsia="Calibri"/>
                <w:lang w:val="en-GB" w:eastAsia="en-US"/>
              </w:rPr>
            </w:pPr>
            <w:r w:rsidRPr="00C81B1E">
              <w:rPr>
                <w:rFonts w:eastAsia="Calibri"/>
                <w:lang w:val="en-GB" w:eastAsia="en-US"/>
              </w:rPr>
              <w:t>Yes (type) / No</w:t>
            </w:r>
          </w:p>
        </w:tc>
        <w:tc>
          <w:tcPr>
            <w:tcW w:w="992" w:type="dxa"/>
            <w:shd w:val="clear" w:color="auto" w:fill="auto"/>
            <w:noWrap/>
            <w:vAlign w:val="center"/>
            <w:hideMark/>
          </w:tcPr>
          <w:p w14:paraId="30008280"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4536" w:type="dxa"/>
            <w:shd w:val="clear" w:color="auto" w:fill="auto"/>
            <w:noWrap/>
            <w:vAlign w:val="center"/>
            <w:hideMark/>
          </w:tcPr>
          <w:p w14:paraId="1E9B3108"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{"citationItems":[{"id":"ITEM-1","itemData":{"DOI":"10.1016/j.jece.2014.07.024","ISSN":"22133437","abstract":"Food waste with high decomposition potential can be successfully digested anaerobically for the production of biogas. As the fossil-fuel reserves decline anaerobic digestion can be a better alternative as a renewable energy source. The byproducts such as biogas with 50–60% methane content can be efficiently used for electricity production and the final digested sludge as a fertilizer. Even though anaerobic digestion is a proven technology, still there exist some technical difficulties (organic loading rate, solid retention time, biogas composition, specific gas production) and scientific understandings (carbon to nitrogen ratio, volatile fatty acids production, pH variation, nutrient concentration) in operating reactors for solid organic wastes. First the paper gives an overview of certain fundamental aspects of anaerobic digestion considered important for the digestion of food waste and its biochemical reactions. Then it describes food waste as the substrate for anaerobic digestion and its optimal conditions for the increased activity of biogas production. Finally it has been reviewed about the performance of the different pre-treatment methods and anaerobic reactor configurations in the digestion of food waste for increasing methane content in the biogas.","author":[{"dropping-particle":"","family":"Kondusamy","given":"Dhamodharan","non-dropping-particle":"","parse-names":false,"suffix":""},{"dropping-particle":"","family":"Kalamdhad","given":"Ajay S.","non-dropping-particle":"","parse-names":false,"suffix":""}],"container-title":"Journal of Environmental Chemical Engineering","id":"ITEM-1","issue":"3","issued":{"date-parts":[["2014","9"]]},"page":"1821-1830","title":"Pre-treatment and anaerobic digestion of food waste for high rate methane production – A review","type":"article-journal","volume":"2"},"uris":["http://www.mendeley.com/documents/?uuid=e9beb031-9c8c-4795-ade7-780b98fd4c82"]}],"mendeley":{"formattedCitation":"(Kondusamy and Kalamdhad, 2014)","manualFormatting":"Kondusamy &amp; Kalamdhad (2014)","plainTextFormattedCitation":"(Kondusamy and Kalamdhad, 2014)","previouslyFormattedCitation":"(Kondusamy and Kalamdhad,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Kondusamy &amp; Kalamdhad (2014)</w:t>
            </w:r>
            <w:r w:rsidRPr="00C81B1E">
              <w:rPr>
                <w:rFonts w:eastAsia="Calibri"/>
                <w:lang w:val="en-GB" w:eastAsia="en-US"/>
              </w:rPr>
              <w:fldChar w:fldCharType="end"/>
            </w:r>
          </w:p>
        </w:tc>
      </w:tr>
      <w:tr w:rsidR="00C81B1E" w:rsidRPr="00C81B1E" w14:paraId="0A5CE612" w14:textId="77777777" w:rsidTr="00C81B1E">
        <w:trPr>
          <w:trHeight w:val="255"/>
        </w:trPr>
        <w:tc>
          <w:tcPr>
            <w:tcW w:w="1716" w:type="dxa"/>
            <w:tcBorders>
              <w:top w:val="single" w:sz="4" w:space="0" w:color="7F7F7F"/>
              <w:bottom w:val="single" w:sz="4" w:space="0" w:color="7F7F7F"/>
            </w:tcBorders>
            <w:shd w:val="clear" w:color="auto" w:fill="auto"/>
            <w:noWrap/>
            <w:vAlign w:val="center"/>
            <w:hideMark/>
          </w:tcPr>
          <w:p w14:paraId="2E155171"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Oxygen concentration / Air ratio</w:t>
            </w:r>
          </w:p>
        </w:tc>
        <w:tc>
          <w:tcPr>
            <w:tcW w:w="1843" w:type="dxa"/>
            <w:tcBorders>
              <w:top w:val="single" w:sz="4" w:space="0" w:color="7F7F7F"/>
              <w:bottom w:val="single" w:sz="4" w:space="0" w:color="7F7F7F"/>
            </w:tcBorders>
            <w:shd w:val="clear" w:color="auto" w:fill="auto"/>
            <w:noWrap/>
            <w:vAlign w:val="center"/>
            <w:hideMark/>
          </w:tcPr>
          <w:p w14:paraId="02E22077" w14:textId="77777777" w:rsidR="00C7764C" w:rsidRPr="00C81B1E" w:rsidRDefault="00C7764C" w:rsidP="00C81B1E">
            <w:pPr>
              <w:pStyle w:val="MDPI42tablebody"/>
              <w:rPr>
                <w:rFonts w:eastAsia="Calibri"/>
                <w:lang w:val="en-GB" w:eastAsia="en-US"/>
              </w:rPr>
            </w:pPr>
            <w:r w:rsidRPr="00C81B1E">
              <w:rPr>
                <w:rFonts w:eastAsia="Calibri"/>
                <w:lang w:val="en-GB" w:eastAsia="en-US"/>
              </w:rPr>
              <w:t>%</w:t>
            </w:r>
          </w:p>
        </w:tc>
        <w:tc>
          <w:tcPr>
            <w:tcW w:w="992" w:type="dxa"/>
            <w:tcBorders>
              <w:top w:val="single" w:sz="4" w:space="0" w:color="7F7F7F"/>
              <w:bottom w:val="single" w:sz="4" w:space="0" w:color="7F7F7F"/>
            </w:tcBorders>
            <w:shd w:val="clear" w:color="auto" w:fill="auto"/>
            <w:noWrap/>
            <w:vAlign w:val="center"/>
            <w:hideMark/>
          </w:tcPr>
          <w:p w14:paraId="3804227D" w14:textId="77777777" w:rsidR="00C7764C" w:rsidRPr="00C81B1E" w:rsidRDefault="00C7764C" w:rsidP="00C81B1E">
            <w:pPr>
              <w:pStyle w:val="MDPI42tablebody"/>
              <w:rPr>
                <w:rFonts w:eastAsia="Calibri"/>
                <w:lang w:val="en-GB" w:eastAsia="en-US"/>
              </w:rPr>
            </w:pPr>
            <w:r w:rsidRPr="00C81B1E">
              <w:rPr>
                <w:rFonts w:eastAsia="Calibri"/>
                <w:lang w:val="en-GB" w:eastAsia="en-US"/>
              </w:rPr>
              <w:t>C, TT</w:t>
            </w:r>
          </w:p>
        </w:tc>
        <w:tc>
          <w:tcPr>
            <w:tcW w:w="4536" w:type="dxa"/>
            <w:tcBorders>
              <w:top w:val="single" w:sz="4" w:space="0" w:color="7F7F7F"/>
              <w:bottom w:val="single" w:sz="4" w:space="0" w:color="7F7F7F"/>
            </w:tcBorders>
            <w:shd w:val="clear" w:color="auto" w:fill="auto"/>
            <w:noWrap/>
            <w:vAlign w:val="center"/>
            <w:hideMark/>
          </w:tcPr>
          <w:p w14:paraId="11ABE42A"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C: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Cooperband (2002)</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{"citationItems":[{"id":"ITEM-1","itemData":{"DOI":"10.1016/j.enconman.2009.12.025","ISBN":"0196-8904","ISSN":"01968904","abstract":"Energy recovery from food waste was studied using the food service at the US Naval Academy as a case study. Post-consumer food waste was captured over a period of ten days to estimate individual waste per meal and total waste per month. The food waste was analyzed for chemical composition and water content using ultimate and proximate analysis, and for energy content, and compared with the same analyses of wood (a more typical biomass fuel). Three different samples of food waste showed relative uniformity of properties despite being sampled on different days, with different menus. Food waste had lower oxygen content, higher nitrogen and ash content, and higher energy content than wood. The food waste in this study had approximately 70% water content. Temperatures and emissions from combustion of wood pellets, dried pelletized food waste, and dried non-pelletized food waste were measured and compared using a modified residential pellet stove. Temperatures were higher for food waste due to the higher energy content. Emissions of NO, HC, and soot were slightly higher for food waste. Despite the large water content, thermodynamic analysis showed that regenerative dehydration, in which waste energy from the combustion system is used to remove water from the incoming wet fuel, is possible. An excess enthalpy ratio is defined to formalize the comparison of waste sensible enthalpy with the energy required for dehydration. Analysis of fuel-lean combustion and fuel-rich gasification shows that little, if any, external energy would necessarily be required to remove the water from the incoming fuel. An equilibrium model was used to simulate waste food gasification by extending the simulation to high water content levels. Probable ranges for successful food waste gasification are identified. Energy recovery of waste food could result in cost savings by offsetting traditional fuel-use (e.g. natural gas for heating) and by reducing disposal costs.","author":[{"dropping-particle":"","family":"Caton","given":"P. a.","non-dropping-particle":"","parse-names":false,"suffix":""},{"dropping-particle":"","family":"Carr","given":"M. a.","non-dropping-particle":"","parse-names":false,"suffix":""},{"dropping-particle":"","family":"Kim","given":"S. S.","non-dropping-particle":"","parse-names":false,"suffix":""},{"dropping-particle":"","family":"Beautyman","given":"M. J.","non-dropping-particle":"","parse-names":false,"suffix":""}],"container-title":"Energy Conversion and Management","id":"ITEM-1","issue":"6","issued":{"date-parts":[["2010"]]},"page":"1157-1169","publisher":"Elsevier Ltd","title":"Energy recovery from waste food by combustion or gasification with the potential for regenerative dehydration: A case study","type":"article-journal","volume":"51"},"uris":["http://www.mendeley.com/documents/?uuid=4e1869b1-94de-4948-9bd3-b0a18b67b3b4"]}],"mendeley":{"formattedCitation":"(Caton et al., 2010)","manualFormatting":"Caton et al. (2010)","plainTextFormattedCitation":"(Caton et al., 2010)","previouslyFormattedCitation":"(Caton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Caton et al. (2010)</w:t>
            </w:r>
            <w:r w:rsidRPr="00C81B1E">
              <w:rPr>
                <w:rFonts w:eastAsia="Calibri"/>
                <w:lang w:val="en-GB" w:eastAsia="en-US"/>
              </w:rPr>
              <w:fldChar w:fldCharType="end"/>
            </w:r>
          </w:p>
        </w:tc>
      </w:tr>
      <w:tr w:rsidR="00C81B1E" w:rsidRPr="00C81B1E" w14:paraId="0EE48AEB" w14:textId="77777777" w:rsidTr="00C81B1E">
        <w:trPr>
          <w:trHeight w:val="255"/>
        </w:trPr>
        <w:tc>
          <w:tcPr>
            <w:tcW w:w="1716" w:type="dxa"/>
            <w:shd w:val="clear" w:color="auto" w:fill="auto"/>
            <w:noWrap/>
            <w:vAlign w:val="center"/>
            <w:hideMark/>
          </w:tcPr>
          <w:p w14:paraId="28F2E69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Pile size</w:t>
            </w:r>
          </w:p>
        </w:tc>
        <w:tc>
          <w:tcPr>
            <w:tcW w:w="1843" w:type="dxa"/>
            <w:shd w:val="clear" w:color="auto" w:fill="auto"/>
            <w:noWrap/>
            <w:vAlign w:val="center"/>
            <w:hideMark/>
          </w:tcPr>
          <w:p w14:paraId="09858647" w14:textId="77777777" w:rsidR="00C7764C" w:rsidRPr="00C81B1E" w:rsidRDefault="00C7764C" w:rsidP="00C81B1E">
            <w:pPr>
              <w:pStyle w:val="MDPI42tablebody"/>
              <w:rPr>
                <w:rFonts w:eastAsia="Calibri"/>
                <w:lang w:val="en-GB" w:eastAsia="en-US"/>
              </w:rPr>
            </w:pPr>
            <w:r w:rsidRPr="00C81B1E">
              <w:rPr>
                <w:rFonts w:eastAsia="Calibri"/>
                <w:lang w:val="en-GB" w:eastAsia="en-US"/>
              </w:rPr>
              <w:t>cm high, m wide</w:t>
            </w:r>
          </w:p>
        </w:tc>
        <w:tc>
          <w:tcPr>
            <w:tcW w:w="992" w:type="dxa"/>
            <w:shd w:val="clear" w:color="auto" w:fill="auto"/>
            <w:noWrap/>
            <w:vAlign w:val="center"/>
            <w:hideMark/>
          </w:tcPr>
          <w:p w14:paraId="627D0D95"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4536" w:type="dxa"/>
            <w:shd w:val="clear" w:color="auto" w:fill="auto"/>
            <w:noWrap/>
            <w:vAlign w:val="center"/>
            <w:hideMark/>
          </w:tcPr>
          <w:p w14:paraId="727F0B61"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Cooperband (2002)</w:t>
            </w:r>
            <w:r w:rsidRPr="00C81B1E">
              <w:rPr>
                <w:rFonts w:eastAsia="Calibri"/>
                <w:lang w:val="en-GB" w:eastAsia="en-US"/>
              </w:rPr>
              <w:fldChar w:fldCharType="end"/>
            </w:r>
          </w:p>
        </w:tc>
      </w:tr>
      <w:tr w:rsidR="00C81B1E" w:rsidRPr="00C81B1E" w14:paraId="1AAD952F" w14:textId="77777777" w:rsidTr="00C81B1E">
        <w:trPr>
          <w:trHeight w:val="255"/>
        </w:trPr>
        <w:tc>
          <w:tcPr>
            <w:tcW w:w="1716" w:type="dxa"/>
            <w:tcBorders>
              <w:top w:val="single" w:sz="4" w:space="0" w:color="7F7F7F"/>
              <w:bottom w:val="single" w:sz="4" w:space="0" w:color="7F7F7F"/>
            </w:tcBorders>
            <w:shd w:val="clear" w:color="auto" w:fill="auto"/>
            <w:noWrap/>
            <w:vAlign w:val="center"/>
            <w:hideMark/>
          </w:tcPr>
          <w:p w14:paraId="70B20474"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Pressure</w:t>
            </w:r>
          </w:p>
        </w:tc>
        <w:tc>
          <w:tcPr>
            <w:tcW w:w="1843" w:type="dxa"/>
            <w:tcBorders>
              <w:top w:val="single" w:sz="4" w:space="0" w:color="7F7F7F"/>
              <w:bottom w:val="single" w:sz="4" w:space="0" w:color="7F7F7F"/>
            </w:tcBorders>
            <w:shd w:val="clear" w:color="auto" w:fill="auto"/>
            <w:noWrap/>
            <w:vAlign w:val="center"/>
            <w:hideMark/>
          </w:tcPr>
          <w:p w14:paraId="7861C0FC" w14:textId="55FC00D7" w:rsidR="00C7764C" w:rsidRPr="00C81B1E" w:rsidRDefault="003B4242" w:rsidP="00C81B1E">
            <w:pPr>
              <w:pStyle w:val="MDPI42tablebody"/>
              <w:rPr>
                <w:rFonts w:eastAsia="Calibri"/>
                <w:lang w:val="en-GB" w:eastAsia="en-US"/>
              </w:rPr>
            </w:pPr>
            <w:r>
              <w:rPr>
                <w:rFonts w:eastAsia="Calibri"/>
                <w:lang w:val="en-GB" w:eastAsia="en-US"/>
              </w:rPr>
              <w:t>b</w:t>
            </w:r>
            <w:r w:rsidR="00C7764C" w:rsidRPr="00C81B1E">
              <w:rPr>
                <w:rFonts w:eastAsia="Calibri"/>
                <w:lang w:val="en-GB" w:eastAsia="en-US"/>
              </w:rPr>
              <w:t>ar</w:t>
            </w:r>
          </w:p>
        </w:tc>
        <w:tc>
          <w:tcPr>
            <w:tcW w:w="992" w:type="dxa"/>
            <w:tcBorders>
              <w:top w:val="single" w:sz="4" w:space="0" w:color="7F7F7F"/>
              <w:bottom w:val="single" w:sz="4" w:space="0" w:color="7F7F7F"/>
            </w:tcBorders>
            <w:shd w:val="clear" w:color="auto" w:fill="auto"/>
            <w:noWrap/>
            <w:vAlign w:val="center"/>
            <w:hideMark/>
          </w:tcPr>
          <w:p w14:paraId="593584A6"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4536" w:type="dxa"/>
            <w:tcBorders>
              <w:top w:val="single" w:sz="4" w:space="0" w:color="7F7F7F"/>
              <w:bottom w:val="single" w:sz="4" w:space="0" w:color="7F7F7F"/>
            </w:tcBorders>
            <w:shd w:val="clear" w:color="auto" w:fill="auto"/>
            <w:noWrap/>
            <w:vAlign w:val="center"/>
            <w:hideMark/>
          </w:tcPr>
          <w:p w14:paraId="752EACF1"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{"citationItems":[{"id":"ITEM-1","itemData":{"author":[{"dropping-particle":"","family":"Lohri","given":"Christian Riu","non-dropping-particle":"","parse-names":false,"suffix":""},{"dropping-particle":"","family":"Sweeney","given":"Dan","non-dropping-particle":"","parse-names":false,"suffix":""},{"dropping-particle":"","family":"Rajabu","given":"Hassan Mtoro","non-dropping-particle":"","parse-names":false,"suffix":""}],"id":"ITEM-1","issued":{"date-parts":[["2015"]]},"title":"Carbonizing urban biowaste for low-cost char production in developing countries - A review of knowledge, practices and technologies","type":"article-journal"},"uris":["http://www.mendeley.com/documents/?uuid=d1edbab1-e9d1-4e11-b2ec-6fc3d54e4435"]}],"mendeley":{"formattedCitation":"(Lohri et al., 2015)","manualFormatting":"Lohri et al. (2015)","plainTextFormattedCitation":"(Lohri et al., 2015)","previouslyFormattedCitation":"(Lohri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Lohri et al. (2015)</w:t>
            </w:r>
            <w:r w:rsidRPr="00C81B1E">
              <w:rPr>
                <w:rFonts w:eastAsia="Calibri"/>
                <w:lang w:val="en-GB" w:eastAsia="en-US"/>
              </w:rPr>
              <w:fldChar w:fldCharType="end"/>
            </w:r>
          </w:p>
        </w:tc>
      </w:tr>
      <w:tr w:rsidR="00C81B1E" w:rsidRPr="00C81B1E" w14:paraId="5C0EC620" w14:textId="77777777" w:rsidTr="00C81B1E">
        <w:trPr>
          <w:trHeight w:val="270"/>
        </w:trPr>
        <w:tc>
          <w:tcPr>
            <w:tcW w:w="1716" w:type="dxa"/>
            <w:shd w:val="clear" w:color="auto" w:fill="auto"/>
            <w:noWrap/>
            <w:vAlign w:val="center"/>
            <w:hideMark/>
          </w:tcPr>
          <w:p w14:paraId="1040FAD4"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Steam injection</w:t>
            </w:r>
          </w:p>
        </w:tc>
        <w:tc>
          <w:tcPr>
            <w:tcW w:w="1843" w:type="dxa"/>
            <w:shd w:val="clear" w:color="auto" w:fill="auto"/>
            <w:noWrap/>
            <w:vAlign w:val="center"/>
            <w:hideMark/>
          </w:tcPr>
          <w:p w14:paraId="27E346D2" w14:textId="77777777" w:rsidR="00C7764C" w:rsidRPr="00C81B1E" w:rsidRDefault="00C7764C" w:rsidP="00C81B1E">
            <w:pPr>
              <w:pStyle w:val="MDPI42tablebody"/>
              <w:rPr>
                <w:rFonts w:eastAsia="Calibri"/>
                <w:lang w:val="en-GB" w:eastAsia="en-US"/>
              </w:rPr>
            </w:pPr>
            <w:r w:rsidRPr="00C81B1E">
              <w:rPr>
                <w:rFonts w:eastAsia="Calibri"/>
                <w:lang w:val="en-GB" w:eastAsia="en-US"/>
              </w:rPr>
              <w:t>Yes (quantity, temperature, pressure) / No</w:t>
            </w:r>
          </w:p>
        </w:tc>
        <w:tc>
          <w:tcPr>
            <w:tcW w:w="992" w:type="dxa"/>
            <w:shd w:val="clear" w:color="auto" w:fill="auto"/>
            <w:noWrap/>
            <w:vAlign w:val="center"/>
            <w:hideMark/>
          </w:tcPr>
          <w:p w14:paraId="5520BBC8"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4536" w:type="dxa"/>
            <w:shd w:val="clear" w:color="auto" w:fill="auto"/>
            <w:noWrap/>
            <w:vAlign w:val="center"/>
            <w:hideMark/>
          </w:tcPr>
          <w:p w14:paraId="63D0CB29"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{"citationItems":[{"id":"ITEM-1","itemData":{"DOI":"10.1016/j.biombioe.2011.06.005","ISBN":"0961-9534","ISSN":"09619534","abstract":"Steady state simulation model for gasification has been developed using Aspen Plus. The model can be used as a predictive tool for optimization of the gasifier performance.The Gasifier has been modeled in three stages. In first stage moisture content of biomass feed is reduced. In second stage biomass is decomposed into its elements by specifying yield distribution. In third stage gasification reactions have been modeled using Gibbs free energy minimization approach. The simulation results are compared with the experimental results obtained through hybrid biomass gasifier. In the simulation study, the operating parameters like Temperature, Equivalence Ratio (ER), Biomass Moisture Content and Steam Injection have been varied over wide range and the effect of these parameters on syngas composition, High Heating Value (HHV) and Cold Gas Efficiency (CGE) has been investigated. Temperature increases the production of CO and H2. Increasing ER decreases the production of CO and H2 which decreases the CGE. Biomass moisture content is an important parameter affecting the heating value of the gas. Steam injection favors hydrogen production. The performance of the simulated gasifier has been compared using experimental data for Municipal Solid Waste (MSW), Food Waste (FW) and Poultry Waste (PW). ?? 2011 Elsevier Ltd.","author":[{"dropping-particle":"","family":"Ramzan","given":"Naveed","non-dropping-particle":"","parse-names":false,"suffix":""},{"dropping-particle":"","family":"Ashraf","given":"Asma","non-dropping-particle":"","parse-names":false,"suffix":""},{"dropping-particle":"","family":"Naveed","given":"Shahid","non-dropping-particle":"","parse-names":false,"suffix":""},{"dropping-particle":"","family":"Malik","given":"Abdullah","non-dropping-particle":"","parse-names":false,"suffix":""}],"container-title":"Biomass and Bioenergy","id":"ITEM-1","issue":"9","issued":{"date-parts":[["2011"]]},"page":"3962-3969","publisher":"Elsevier Ltd","title":"Simulation of hybrid biomass gasification using Aspen plus: A comparative performance analysis for food, municipal solid and poultry waste","type":"article-journal","volume":"35"},"uris":["http://www.mendeley.com/documents/?uuid=33da61f1-d152-45e6-a60d-0161320f45f4"]}],"mendeley":{"formattedCitation":"(Ramzan et al., 2011)","manualFormatting":"Ramzan et al. (2011)","plainTextFormattedCitation":"(Ramzan et al., 2011)","previouslyFormattedCitation":"(Ramzan et al.,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Ramzan et al. (2011)</w:t>
            </w:r>
            <w:r w:rsidRPr="00C81B1E">
              <w:rPr>
                <w:rFonts w:eastAsia="Calibri"/>
                <w:lang w:val="en-GB" w:eastAsia="en-US"/>
              </w:rPr>
              <w:fldChar w:fldCharType="end"/>
            </w:r>
          </w:p>
        </w:tc>
      </w:tr>
    </w:tbl>
    <w:p w14:paraId="798DA53C" w14:textId="77777777" w:rsidR="00C7764C" w:rsidRPr="00C7764C" w:rsidRDefault="00C7764C" w:rsidP="00C7764C">
      <w:pPr>
        <w:spacing w:after="160" w:line="259" w:lineRule="auto"/>
        <w:rPr>
          <w:rFonts w:eastAsia="Calibri"/>
          <w:color w:val="auto"/>
          <w:sz w:val="16"/>
          <w:szCs w:val="16"/>
          <w:lang w:val="en-GB" w:eastAsia="en-US"/>
        </w:rPr>
      </w:pPr>
    </w:p>
    <w:p w14:paraId="4A08E6FB" w14:textId="77777777" w:rsidR="00C7764C" w:rsidRPr="00C7764C" w:rsidRDefault="00C7764C" w:rsidP="00BA2E09">
      <w:pPr>
        <w:pStyle w:val="MDPI41tablecaption"/>
        <w:rPr>
          <w:rFonts w:eastAsia="Calibri"/>
          <w:lang w:val="en-GB" w:eastAsia="en-US"/>
        </w:rPr>
      </w:pPr>
      <w:r w:rsidRPr="00C7764C">
        <w:rPr>
          <w:rFonts w:eastAsia="Calibri"/>
          <w:lang w:val="en-GB" w:eastAsia="en-US"/>
        </w:rPr>
        <w:t xml:space="preserve">Table </w:t>
      </w:r>
      <w:r w:rsidRPr="00C7764C">
        <w:rPr>
          <w:rFonts w:eastAsia="Calibri"/>
          <w:lang w:val="en-GB" w:eastAsia="en-US"/>
        </w:rPr>
        <w:fldChar w:fldCharType="begin"/>
      </w:r>
      <w:r w:rsidRPr="00C7764C">
        <w:rPr>
          <w:rFonts w:eastAsia="Calibri"/>
          <w:lang w:val="en-GB" w:eastAsia="en-US"/>
        </w:rPr>
        <w:instrText xml:space="preserve"> SEQ Table \* ARABIC </w:instrText>
      </w:r>
      <w:r w:rsidRPr="00C7764C">
        <w:rPr>
          <w:rFonts w:eastAsia="Calibri"/>
          <w:lang w:val="en-GB" w:eastAsia="en-US"/>
        </w:rPr>
        <w:fldChar w:fldCharType="separate"/>
      </w:r>
      <w:r w:rsidRPr="00C7764C">
        <w:rPr>
          <w:rFonts w:eastAsia="Calibri"/>
          <w:noProof/>
          <w:lang w:val="en-GB" w:eastAsia="en-US"/>
        </w:rPr>
        <w:t>5</w:t>
      </w:r>
      <w:r w:rsidRPr="00C7764C">
        <w:rPr>
          <w:rFonts w:eastAsia="Calibri"/>
          <w:lang w:val="en-GB" w:eastAsia="en-US"/>
        </w:rPr>
        <w:fldChar w:fldCharType="end"/>
      </w:r>
      <w:r w:rsidRPr="00C7764C">
        <w:rPr>
          <w:rFonts w:eastAsia="Calibri"/>
          <w:lang w:val="en-GB" w:eastAsia="en-US"/>
        </w:rPr>
        <w:t>. FWM performance factors</w:t>
      </w:r>
    </w:p>
    <w:tbl>
      <w:tblPr>
        <w:tblW w:w="8950" w:type="dxa"/>
        <w:tblBorders>
          <w:top w:val="single" w:sz="4" w:space="0" w:color="7F7F7F"/>
          <w:bottom w:val="single" w:sz="4" w:space="0" w:color="7F7F7F"/>
        </w:tblBorders>
        <w:tblLook w:val="04A0" w:firstRow="1" w:lastRow="0" w:firstColumn="1" w:lastColumn="0" w:noHBand="0" w:noVBand="1"/>
      </w:tblPr>
      <w:tblGrid>
        <w:gridCol w:w="3402"/>
        <w:gridCol w:w="1842"/>
        <w:gridCol w:w="1135"/>
        <w:gridCol w:w="2571"/>
      </w:tblGrid>
      <w:tr w:rsidR="00C81B1E" w:rsidRPr="00C81B1E" w14:paraId="26674104" w14:textId="77777777" w:rsidTr="00C81B1E">
        <w:trPr>
          <w:trHeight w:val="255"/>
        </w:trPr>
        <w:tc>
          <w:tcPr>
            <w:tcW w:w="3402" w:type="dxa"/>
            <w:tcBorders>
              <w:bottom w:val="single" w:sz="4" w:space="0" w:color="7F7F7F"/>
            </w:tcBorders>
            <w:shd w:val="clear" w:color="auto" w:fill="auto"/>
            <w:noWrap/>
            <w:vAlign w:val="center"/>
            <w:hideMark/>
          </w:tcPr>
          <w:p w14:paraId="52921282"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Factor</w:t>
            </w:r>
          </w:p>
        </w:tc>
        <w:tc>
          <w:tcPr>
            <w:tcW w:w="1842" w:type="dxa"/>
            <w:tcBorders>
              <w:bottom w:val="single" w:sz="4" w:space="0" w:color="7F7F7F"/>
            </w:tcBorders>
            <w:shd w:val="clear" w:color="auto" w:fill="auto"/>
            <w:noWrap/>
            <w:vAlign w:val="center"/>
            <w:hideMark/>
          </w:tcPr>
          <w:p w14:paraId="48DCF19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Example or unit</w:t>
            </w:r>
          </w:p>
        </w:tc>
        <w:tc>
          <w:tcPr>
            <w:tcW w:w="1135" w:type="dxa"/>
            <w:tcBorders>
              <w:bottom w:val="single" w:sz="4" w:space="0" w:color="7F7F7F"/>
            </w:tcBorders>
            <w:shd w:val="clear" w:color="auto" w:fill="auto"/>
            <w:noWrap/>
            <w:vAlign w:val="center"/>
            <w:hideMark/>
          </w:tcPr>
          <w:p w14:paraId="5F2C60E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FWMS</w:t>
            </w:r>
          </w:p>
        </w:tc>
        <w:tc>
          <w:tcPr>
            <w:tcW w:w="2571" w:type="dxa"/>
            <w:tcBorders>
              <w:bottom w:val="single" w:sz="4" w:space="0" w:color="7F7F7F"/>
            </w:tcBorders>
            <w:shd w:val="clear" w:color="auto" w:fill="auto"/>
            <w:noWrap/>
            <w:vAlign w:val="center"/>
            <w:hideMark/>
          </w:tcPr>
          <w:p w14:paraId="448E693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Reference</w:t>
            </w:r>
          </w:p>
        </w:tc>
      </w:tr>
      <w:tr w:rsidR="00C81B1E" w:rsidRPr="00C81B1E" w14:paraId="3AB41E41" w14:textId="77777777" w:rsidTr="00C81B1E">
        <w:trPr>
          <w:trHeight w:val="255"/>
        </w:trPr>
        <w:tc>
          <w:tcPr>
            <w:tcW w:w="3402" w:type="dxa"/>
            <w:tcBorders>
              <w:top w:val="single" w:sz="4" w:space="0" w:color="7F7F7F"/>
              <w:bottom w:val="single" w:sz="4" w:space="0" w:color="7F7F7F"/>
            </w:tcBorders>
            <w:shd w:val="clear" w:color="auto" w:fill="auto"/>
            <w:noWrap/>
            <w:vAlign w:val="center"/>
            <w:hideMark/>
          </w:tcPr>
          <w:p w14:paraId="62360EB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Quantity of food redistributed</w:t>
            </w:r>
          </w:p>
        </w:tc>
        <w:tc>
          <w:tcPr>
            <w:tcW w:w="1842" w:type="dxa"/>
            <w:tcBorders>
              <w:top w:val="single" w:sz="4" w:space="0" w:color="7F7F7F"/>
              <w:bottom w:val="single" w:sz="4" w:space="0" w:color="7F7F7F"/>
            </w:tcBorders>
            <w:shd w:val="clear" w:color="auto" w:fill="auto"/>
            <w:noWrap/>
            <w:vAlign w:val="center"/>
            <w:hideMark/>
          </w:tcPr>
          <w:p w14:paraId="4EDF81A2" w14:textId="77777777" w:rsidR="00C7764C" w:rsidRPr="00C81B1E" w:rsidRDefault="00C7764C" w:rsidP="00C81B1E">
            <w:pPr>
              <w:pStyle w:val="MDPI42tablebody"/>
              <w:rPr>
                <w:rFonts w:eastAsia="Calibri"/>
                <w:lang w:val="en-GB" w:eastAsia="en-US"/>
              </w:rPr>
            </w:pPr>
            <w:r w:rsidRPr="00C81B1E">
              <w:rPr>
                <w:rFonts w:eastAsia="Calibri"/>
                <w:lang w:val="en-GB" w:eastAsia="en-US"/>
              </w:rPr>
              <w:t>kg/day</w:t>
            </w:r>
          </w:p>
        </w:tc>
        <w:tc>
          <w:tcPr>
            <w:tcW w:w="1135" w:type="dxa"/>
            <w:tcBorders>
              <w:top w:val="single" w:sz="4" w:space="0" w:color="7F7F7F"/>
              <w:bottom w:val="single" w:sz="4" w:space="0" w:color="7F7F7F"/>
            </w:tcBorders>
            <w:shd w:val="clear" w:color="auto" w:fill="auto"/>
            <w:noWrap/>
            <w:vAlign w:val="center"/>
            <w:hideMark/>
          </w:tcPr>
          <w:p w14:paraId="6F7D070E" w14:textId="77777777" w:rsidR="00C7764C" w:rsidRPr="00C81B1E" w:rsidRDefault="00C7764C" w:rsidP="00C81B1E">
            <w:pPr>
              <w:pStyle w:val="MDPI42tablebody"/>
              <w:rPr>
                <w:rFonts w:eastAsia="Calibri"/>
                <w:lang w:val="en-GB" w:eastAsia="en-US"/>
              </w:rPr>
            </w:pPr>
            <w:r w:rsidRPr="00C81B1E">
              <w:rPr>
                <w:rFonts w:eastAsia="Calibri"/>
                <w:lang w:val="en-GB" w:eastAsia="en-US"/>
              </w:rPr>
              <w:t>R</w:t>
            </w:r>
          </w:p>
        </w:tc>
        <w:tc>
          <w:tcPr>
            <w:tcW w:w="2571" w:type="dxa"/>
            <w:tcBorders>
              <w:top w:val="single" w:sz="4" w:space="0" w:color="7F7F7F"/>
              <w:bottom w:val="single" w:sz="4" w:space="0" w:color="7F7F7F"/>
            </w:tcBorders>
            <w:shd w:val="clear" w:color="auto" w:fill="auto"/>
            <w:noWrap/>
            <w:vAlign w:val="center"/>
            <w:hideMark/>
          </w:tcPr>
          <w:p w14:paraId="2A8490CF"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10.1016/j.wasman.2016.03.035","ISSN":"0956053X","PMID":"27026493","author":[{"dropping-particle":"","family":"Bilska","given":"Beata","non-dropping-particle":"","parse-names":false,"suffix":""},{"dropping-particle":"","family":"Wrzosek","given":"Małgorzata","non-dropping-particle":"","parse-names":false,"suffix":""},{"dropping-particle":"","family":"Kołożyn-Krajewska","given":"Danuta","non-dropping-particle":"","parse-names":false,"suffix":""},{"dropping-particle":"","family":"Krajewski","given":"Karol","non-dropping-particle":"","parse-names":false,"suffix":""}],"container-title":"Waste Management","id":"ITEM-1","issued":{"date-parts":[["2016"]]},"page":"269-277","title":"Risk of food losses and potential of food recovery for social purposes","type":"article-journal","volume":"52"},"uris":["http://www.mendeley.com/documents/?uuid=64d39440-d986-4dc3-8b6e-c0536a5a5d46"]}],"mendeley":{"formattedCitation":"(Bilska et al., 2016)","manualFormatting":"Bilska et al. (2016)","plainTextFormattedCitation":"(Bilska et al., 2016)","previouslyFormattedCitation":"(Bilska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Bilska et al. (2016)</w:t>
            </w:r>
            <w:r w:rsidRPr="00C81B1E">
              <w:rPr>
                <w:rFonts w:eastAsia="Calibri"/>
                <w:lang w:val="en-GB" w:eastAsia="en-US"/>
              </w:rPr>
              <w:fldChar w:fldCharType="end"/>
            </w:r>
          </w:p>
        </w:tc>
      </w:tr>
      <w:tr w:rsidR="00C81B1E" w:rsidRPr="00C81B1E" w14:paraId="32084E39" w14:textId="77777777" w:rsidTr="00C81B1E">
        <w:trPr>
          <w:trHeight w:val="255"/>
        </w:trPr>
        <w:tc>
          <w:tcPr>
            <w:tcW w:w="3402" w:type="dxa"/>
            <w:shd w:val="clear" w:color="auto" w:fill="auto"/>
            <w:noWrap/>
            <w:vAlign w:val="center"/>
            <w:hideMark/>
          </w:tcPr>
          <w:p w14:paraId="2AF9814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Quantity animal feed produced</w:t>
            </w:r>
          </w:p>
        </w:tc>
        <w:tc>
          <w:tcPr>
            <w:tcW w:w="1842" w:type="dxa"/>
            <w:shd w:val="clear" w:color="auto" w:fill="auto"/>
            <w:noWrap/>
            <w:vAlign w:val="center"/>
            <w:hideMark/>
          </w:tcPr>
          <w:p w14:paraId="40E13638" w14:textId="77777777" w:rsidR="00C7764C" w:rsidRPr="00C81B1E" w:rsidRDefault="00C7764C" w:rsidP="00C81B1E">
            <w:pPr>
              <w:pStyle w:val="MDPI42tablebody"/>
              <w:rPr>
                <w:rFonts w:eastAsia="Calibri"/>
                <w:lang w:val="en-GB" w:eastAsia="en-US"/>
              </w:rPr>
            </w:pPr>
            <w:r w:rsidRPr="00C81B1E">
              <w:rPr>
                <w:rFonts w:eastAsia="Calibri"/>
                <w:lang w:val="en-GB" w:eastAsia="en-US"/>
              </w:rPr>
              <w:t>kg/day</w:t>
            </w:r>
          </w:p>
        </w:tc>
        <w:tc>
          <w:tcPr>
            <w:tcW w:w="1135" w:type="dxa"/>
            <w:shd w:val="clear" w:color="auto" w:fill="auto"/>
            <w:noWrap/>
            <w:vAlign w:val="center"/>
            <w:hideMark/>
          </w:tcPr>
          <w:p w14:paraId="1AE9C961" w14:textId="77777777" w:rsidR="00C7764C" w:rsidRPr="00C81B1E" w:rsidRDefault="00C7764C" w:rsidP="00C81B1E">
            <w:pPr>
              <w:pStyle w:val="MDPI42tablebody"/>
              <w:rPr>
                <w:rFonts w:eastAsia="Calibri"/>
                <w:lang w:val="en-GB" w:eastAsia="en-US"/>
              </w:rPr>
            </w:pPr>
            <w:r w:rsidRPr="00C81B1E">
              <w:rPr>
                <w:rFonts w:eastAsia="Calibri"/>
                <w:lang w:val="en-GB" w:eastAsia="en-US"/>
              </w:rPr>
              <w:t>AF</w:t>
            </w:r>
          </w:p>
        </w:tc>
        <w:tc>
          <w:tcPr>
            <w:tcW w:w="2571" w:type="dxa"/>
            <w:shd w:val="clear" w:color="auto" w:fill="auto"/>
            <w:noWrap/>
            <w:vAlign w:val="center"/>
            <w:hideMark/>
          </w:tcPr>
          <w:p w14:paraId="15DF4936"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{"citationItems":[{"id":"ITEM-1","itemData":{"author":[{"dropping-particle":"","family":"Westendorf","given":"Michael L.","non-dropping-particle":"","parse-names":false,"suffix":""}],"edition":"First edit","editor":[{"dropping-particle":"","family":"Westendorf","given":"Michael L.","non-dropping-particle":"","parse-names":false,"suffix":""}],"id":"ITEM-1","issued":{"date-parts":[["2000"]]},"publisher":"Iowa State University Press","publisher-place":"Ames, Iowa","title":"Food waste to animal feed","type":"book"},"uris":["http://www.mendeley.com/documents/?uuid=abd2accf-f90a-4597-8a32-949d1dcff573"]}],"mendeley":{"formattedCitation":"(Westendorf, 2000)","manualFormatting":"Westendorf (2000)","plainTextFormattedCitation":"(Westendorf, 2000)","previouslyFormattedCitation":"(Westendorf, 2000)"},"properties":{"noteIndex":0},"schema":"https://github.com/citation-style-language/schema/raw/master/csl-citation.json"}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Westendorf (2000)</w:t>
            </w:r>
            <w:r w:rsidRPr="00C81B1E">
              <w:rPr>
                <w:rFonts w:eastAsia="Calibri"/>
                <w:lang w:val="en-GB" w:eastAsia="en-US"/>
              </w:rPr>
              <w:fldChar w:fldCharType="end"/>
            </w:r>
          </w:p>
        </w:tc>
      </w:tr>
      <w:tr w:rsidR="00C81B1E" w:rsidRPr="00C81B1E" w14:paraId="40333290" w14:textId="77777777" w:rsidTr="00C81B1E">
        <w:trPr>
          <w:trHeight w:val="255"/>
        </w:trPr>
        <w:tc>
          <w:tcPr>
            <w:tcW w:w="3402" w:type="dxa"/>
            <w:tcBorders>
              <w:top w:val="single" w:sz="4" w:space="0" w:color="7F7F7F"/>
              <w:bottom w:val="single" w:sz="4" w:space="0" w:color="7F7F7F"/>
            </w:tcBorders>
            <w:shd w:val="clear" w:color="auto" w:fill="auto"/>
            <w:noWrap/>
            <w:vAlign w:val="center"/>
            <w:hideMark/>
          </w:tcPr>
          <w:p w14:paraId="03AD9DA1"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Biogas production rate</w:t>
            </w:r>
          </w:p>
        </w:tc>
        <w:tc>
          <w:tcPr>
            <w:tcW w:w="1842" w:type="dxa"/>
            <w:tcBorders>
              <w:top w:val="single" w:sz="4" w:space="0" w:color="7F7F7F"/>
              <w:bottom w:val="single" w:sz="4" w:space="0" w:color="7F7F7F"/>
            </w:tcBorders>
            <w:shd w:val="clear" w:color="auto" w:fill="auto"/>
            <w:noWrap/>
            <w:vAlign w:val="center"/>
            <w:hideMark/>
          </w:tcPr>
          <w:p w14:paraId="3684D074" w14:textId="77777777" w:rsidR="00C7764C" w:rsidRPr="00C81B1E" w:rsidRDefault="00C7764C" w:rsidP="00C81B1E">
            <w:pPr>
              <w:pStyle w:val="MDPI42tablebody"/>
              <w:rPr>
                <w:rFonts w:eastAsia="Calibri"/>
                <w:lang w:val="en-GB" w:eastAsia="en-US"/>
              </w:rPr>
            </w:pPr>
            <w:r w:rsidRPr="00C81B1E">
              <w:rPr>
                <w:rFonts w:eastAsia="Calibri"/>
                <w:lang w:val="en-GB" w:eastAsia="en-US"/>
              </w:rPr>
              <w:t>l/day</w:t>
            </w:r>
          </w:p>
        </w:tc>
        <w:tc>
          <w:tcPr>
            <w:tcW w:w="1135" w:type="dxa"/>
            <w:tcBorders>
              <w:top w:val="single" w:sz="4" w:space="0" w:color="7F7F7F"/>
              <w:bottom w:val="single" w:sz="4" w:space="0" w:color="7F7F7F"/>
            </w:tcBorders>
            <w:shd w:val="clear" w:color="auto" w:fill="auto"/>
            <w:noWrap/>
            <w:vAlign w:val="center"/>
            <w:hideMark/>
          </w:tcPr>
          <w:p w14:paraId="203DB701"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2571" w:type="dxa"/>
            <w:vMerge w:val="restart"/>
            <w:tcBorders>
              <w:top w:val="single" w:sz="4" w:space="0" w:color="7F7F7F"/>
              <w:bottom w:val="single" w:sz="4" w:space="0" w:color="7F7F7F"/>
            </w:tcBorders>
            <w:shd w:val="clear" w:color="auto" w:fill="auto"/>
            <w:noWrap/>
            <w:vAlign w:val="center"/>
            <w:hideMark/>
          </w:tcPr>
          <w:p w14:paraId="7AA25210"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{"citationItems":[{"id":"ITEM-1","itemData":{"DOI":"10.3965/j.issn.1934-6344.2010.04.061-072","ISBN":"1530752264","ISSN":"19346344","abstract":"Five types of food wastes were investigated as feedstock for a potential centralized anaerobic digester system in the area of Sacramento, California to produce biogas energy. The wastes were from a soup processing plant, a cafeteria, a commercial kitchen, a fish farm, and grease trap collection service. Digestibilities of the food wastes, individually and in mixtures, were conducted at mesophilic (35C) and thermophilic (50C) temperatures and at two food to microorganism ratios (F/M) of 0.5 and 1.0, for 28 days. A continuously fed mesophilic single-stage anaerobic digester was evaluated using a mixture of the five food wastes at organic loading rates of 0.5 to 1.0 g VS/L/d. In the batch digestion tests, fish and grease trap wastes required longer time to complete the digestion and had higher biogas yields than the other wastes. The continuously-fed digester required the addition of sodium hydroxide to maintain pH at proper levels in the digester. Alkalinity of about 2,500 mg CaCO3/L and pH above 7 was maintained by adding 0.2 g NaOH/g VS. The results of this study indicated that it was necessary to use the chemicals, such as NaOH, to control the pH of the single-stage anaerobic digester treating the food waste. For commercial applications, the cost of chemicals and proper management of additional salts in the digester effluent need to be carefully considered. ABSTRACT FROM AUTHOR","author":[{"dropping-particle":"","family":"Chen","given":"Xiguang","non-dropping-particle":"","parse-names":false,"suffix":""},{"dropping-particle":"","family":"Romano","given":"Rowena T.","non-dropping-particle":"","parse-names":false,"suffix":""},{"dropping-particle":"","family":"Zhang","given":"Ruihong","non-dropping-particle":"","parse-names":false,"suffix":""}],"container-title":"International Journal of Agricultural &amp; Biological Engineering","id":"ITEM-1","issue":"4","issued":{"date-parts":[["2010"]]},"page":"61-72","title":"Anaerobic digestion of food wastes for biogas production","type":"article-journal","volume":"3"},"uris":["http://www.mendeley.com/documents/?uuid=2bdf5abc-1896-4dee-a157-4b77b16f898d"]}],"mendeley":{"formattedCitation":"(Chen et al., 2010)","manualFormatting":"Chen et al. (2010)","plainTextFormattedCitation":"(Chen et al., 2010)","previouslyFormattedCitation":"(Chen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Chen et al. (2010)</w:t>
            </w:r>
            <w:r w:rsidRPr="00C81B1E">
              <w:rPr>
                <w:rFonts w:eastAsia="Calibri"/>
                <w:lang w:val="en-GB" w:eastAsia="en-US"/>
              </w:rPr>
              <w:fldChar w:fldCharType="end"/>
            </w:r>
          </w:p>
        </w:tc>
      </w:tr>
      <w:tr w:rsidR="00C81B1E" w:rsidRPr="00C81B1E" w14:paraId="2EF012E6" w14:textId="77777777" w:rsidTr="00C81B1E">
        <w:trPr>
          <w:trHeight w:val="255"/>
        </w:trPr>
        <w:tc>
          <w:tcPr>
            <w:tcW w:w="3402" w:type="dxa"/>
            <w:shd w:val="clear" w:color="auto" w:fill="auto"/>
            <w:noWrap/>
            <w:vAlign w:val="center"/>
            <w:hideMark/>
          </w:tcPr>
          <w:p w14:paraId="072796CE"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[CH</w:t>
            </w:r>
            <w:r w:rsidRPr="000C1128">
              <w:rPr>
                <w:rFonts w:eastAsia="Calibri"/>
                <w:b/>
                <w:bCs/>
                <w:vertAlign w:val="subscript"/>
                <w:lang w:val="en-GB" w:eastAsia="en-US"/>
              </w:rPr>
              <w:t>4</w:t>
            </w:r>
            <w:r w:rsidRPr="00C81B1E">
              <w:rPr>
                <w:rFonts w:eastAsia="Calibri"/>
                <w:b/>
                <w:bCs/>
                <w:lang w:val="en-GB" w:eastAsia="en-US"/>
              </w:rPr>
              <w:t>] in biogas</w:t>
            </w:r>
          </w:p>
        </w:tc>
        <w:tc>
          <w:tcPr>
            <w:tcW w:w="1842" w:type="dxa"/>
            <w:shd w:val="clear" w:color="auto" w:fill="auto"/>
            <w:noWrap/>
            <w:vAlign w:val="center"/>
            <w:hideMark/>
          </w:tcPr>
          <w:p w14:paraId="14D1242C" w14:textId="77777777" w:rsidR="00C7764C" w:rsidRPr="00C81B1E" w:rsidRDefault="00C7764C" w:rsidP="00C81B1E">
            <w:pPr>
              <w:pStyle w:val="MDPI42tablebody"/>
              <w:rPr>
                <w:rFonts w:eastAsia="Calibri"/>
                <w:lang w:val="en-GB" w:eastAsia="en-US"/>
              </w:rPr>
            </w:pPr>
            <w:r w:rsidRPr="00C81B1E">
              <w:rPr>
                <w:rFonts w:eastAsia="Calibri"/>
                <w:lang w:val="en-GB" w:eastAsia="en-US"/>
              </w:rPr>
              <w:t>% volume</w:t>
            </w:r>
          </w:p>
        </w:tc>
        <w:tc>
          <w:tcPr>
            <w:tcW w:w="1135" w:type="dxa"/>
            <w:shd w:val="clear" w:color="auto" w:fill="auto"/>
            <w:noWrap/>
            <w:vAlign w:val="center"/>
            <w:hideMark/>
          </w:tcPr>
          <w:p w14:paraId="36655C77"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2571" w:type="dxa"/>
            <w:vMerge/>
            <w:shd w:val="clear" w:color="auto" w:fill="auto"/>
            <w:noWrap/>
            <w:vAlign w:val="center"/>
          </w:tcPr>
          <w:p w14:paraId="699908B6" w14:textId="77777777" w:rsidR="00C7764C" w:rsidRPr="00C81B1E" w:rsidRDefault="00C7764C" w:rsidP="00C81B1E">
            <w:pPr>
              <w:pStyle w:val="MDPI42tablebody"/>
              <w:rPr>
                <w:rFonts w:eastAsia="Calibri"/>
                <w:lang w:val="en-GB" w:eastAsia="en-US"/>
              </w:rPr>
            </w:pPr>
          </w:p>
        </w:tc>
      </w:tr>
      <w:tr w:rsidR="00C81B1E" w:rsidRPr="00C81B1E" w14:paraId="7F437E29" w14:textId="77777777" w:rsidTr="00C81B1E">
        <w:trPr>
          <w:trHeight w:val="255"/>
        </w:trPr>
        <w:tc>
          <w:tcPr>
            <w:tcW w:w="3402" w:type="dxa"/>
            <w:tcBorders>
              <w:top w:val="single" w:sz="4" w:space="0" w:color="7F7F7F"/>
              <w:bottom w:val="single" w:sz="4" w:space="0" w:color="7F7F7F"/>
            </w:tcBorders>
            <w:shd w:val="clear" w:color="auto" w:fill="auto"/>
            <w:noWrap/>
            <w:vAlign w:val="center"/>
            <w:hideMark/>
          </w:tcPr>
          <w:p w14:paraId="4B11C0C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Digestate flow rate</w:t>
            </w:r>
          </w:p>
        </w:tc>
        <w:tc>
          <w:tcPr>
            <w:tcW w:w="1842" w:type="dxa"/>
            <w:tcBorders>
              <w:top w:val="single" w:sz="4" w:space="0" w:color="7F7F7F"/>
              <w:bottom w:val="single" w:sz="4" w:space="0" w:color="7F7F7F"/>
            </w:tcBorders>
            <w:shd w:val="clear" w:color="auto" w:fill="auto"/>
            <w:noWrap/>
            <w:vAlign w:val="center"/>
            <w:hideMark/>
          </w:tcPr>
          <w:p w14:paraId="031E1147" w14:textId="77777777" w:rsidR="00C7764C" w:rsidRPr="00C81B1E" w:rsidRDefault="00C7764C" w:rsidP="00C81B1E">
            <w:pPr>
              <w:pStyle w:val="MDPI42tablebody"/>
              <w:rPr>
                <w:rFonts w:eastAsia="Calibri"/>
                <w:lang w:val="en-GB" w:eastAsia="en-US"/>
              </w:rPr>
            </w:pPr>
            <w:r w:rsidRPr="00C81B1E">
              <w:rPr>
                <w:rFonts w:eastAsia="Calibri"/>
                <w:lang w:val="en-GB" w:eastAsia="en-US"/>
              </w:rPr>
              <w:t>l/day</w:t>
            </w:r>
          </w:p>
        </w:tc>
        <w:tc>
          <w:tcPr>
            <w:tcW w:w="1135" w:type="dxa"/>
            <w:tcBorders>
              <w:top w:val="single" w:sz="4" w:space="0" w:color="7F7F7F"/>
              <w:bottom w:val="single" w:sz="4" w:space="0" w:color="7F7F7F"/>
            </w:tcBorders>
            <w:shd w:val="clear" w:color="auto" w:fill="auto"/>
            <w:noWrap/>
            <w:vAlign w:val="center"/>
            <w:hideMark/>
          </w:tcPr>
          <w:p w14:paraId="338988FE"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2571" w:type="dxa"/>
            <w:vMerge/>
            <w:tcBorders>
              <w:top w:val="single" w:sz="4" w:space="0" w:color="7F7F7F"/>
              <w:bottom w:val="single" w:sz="4" w:space="0" w:color="7F7F7F"/>
            </w:tcBorders>
            <w:shd w:val="clear" w:color="auto" w:fill="auto"/>
            <w:noWrap/>
            <w:vAlign w:val="center"/>
          </w:tcPr>
          <w:p w14:paraId="3E593498" w14:textId="77777777" w:rsidR="00C7764C" w:rsidRPr="00C81B1E" w:rsidRDefault="00C7764C" w:rsidP="00C81B1E">
            <w:pPr>
              <w:pStyle w:val="MDPI42tablebody"/>
              <w:rPr>
                <w:rFonts w:eastAsia="Calibri"/>
                <w:lang w:val="en-GB" w:eastAsia="en-US"/>
              </w:rPr>
            </w:pPr>
          </w:p>
        </w:tc>
      </w:tr>
      <w:tr w:rsidR="00C81B1E" w:rsidRPr="00C81B1E" w14:paraId="059FBCE9" w14:textId="77777777" w:rsidTr="00C81B1E">
        <w:trPr>
          <w:trHeight w:val="255"/>
        </w:trPr>
        <w:tc>
          <w:tcPr>
            <w:tcW w:w="3402" w:type="dxa"/>
            <w:shd w:val="clear" w:color="auto" w:fill="auto"/>
            <w:noWrap/>
            <w:vAlign w:val="center"/>
            <w:hideMark/>
          </w:tcPr>
          <w:p w14:paraId="5B4BEE0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Digestate composition</w:t>
            </w:r>
          </w:p>
        </w:tc>
        <w:tc>
          <w:tcPr>
            <w:tcW w:w="1842" w:type="dxa"/>
            <w:shd w:val="clear" w:color="auto" w:fill="auto"/>
            <w:noWrap/>
            <w:vAlign w:val="center"/>
            <w:hideMark/>
          </w:tcPr>
          <w:p w14:paraId="0AF70ADD"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1135" w:type="dxa"/>
            <w:shd w:val="clear" w:color="auto" w:fill="auto"/>
            <w:noWrap/>
            <w:vAlign w:val="center"/>
            <w:hideMark/>
          </w:tcPr>
          <w:p w14:paraId="426879FB"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2571" w:type="dxa"/>
            <w:vMerge/>
            <w:shd w:val="clear" w:color="auto" w:fill="auto"/>
            <w:noWrap/>
            <w:vAlign w:val="center"/>
          </w:tcPr>
          <w:p w14:paraId="3D1C66C7" w14:textId="77777777" w:rsidR="00C7764C" w:rsidRPr="00C81B1E" w:rsidRDefault="00C7764C" w:rsidP="00C81B1E">
            <w:pPr>
              <w:pStyle w:val="MDPI42tablebody"/>
              <w:rPr>
                <w:rFonts w:eastAsia="Calibri"/>
                <w:lang w:val="en-GB" w:eastAsia="en-US"/>
              </w:rPr>
            </w:pPr>
          </w:p>
        </w:tc>
      </w:tr>
      <w:tr w:rsidR="00C81B1E" w:rsidRPr="00C81B1E" w14:paraId="7ACFEA04" w14:textId="77777777" w:rsidTr="00C81B1E">
        <w:trPr>
          <w:trHeight w:val="255"/>
        </w:trPr>
        <w:tc>
          <w:tcPr>
            <w:tcW w:w="3402" w:type="dxa"/>
            <w:tcBorders>
              <w:top w:val="single" w:sz="4" w:space="0" w:color="7F7F7F"/>
              <w:bottom w:val="single" w:sz="4" w:space="0" w:color="7F7F7F"/>
            </w:tcBorders>
            <w:shd w:val="clear" w:color="auto" w:fill="auto"/>
            <w:noWrap/>
            <w:vAlign w:val="center"/>
            <w:hideMark/>
          </w:tcPr>
          <w:p w14:paraId="5C1ED73D"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Compost production rate</w:t>
            </w:r>
          </w:p>
        </w:tc>
        <w:tc>
          <w:tcPr>
            <w:tcW w:w="1842" w:type="dxa"/>
            <w:tcBorders>
              <w:top w:val="single" w:sz="4" w:space="0" w:color="7F7F7F"/>
              <w:bottom w:val="single" w:sz="4" w:space="0" w:color="7F7F7F"/>
            </w:tcBorders>
            <w:shd w:val="clear" w:color="auto" w:fill="auto"/>
            <w:noWrap/>
            <w:vAlign w:val="center"/>
            <w:hideMark/>
          </w:tcPr>
          <w:p w14:paraId="26341987" w14:textId="77777777" w:rsidR="00C7764C" w:rsidRPr="00C81B1E" w:rsidRDefault="00C7764C" w:rsidP="00C81B1E">
            <w:pPr>
              <w:pStyle w:val="MDPI42tablebody"/>
              <w:rPr>
                <w:rFonts w:eastAsia="Calibri"/>
                <w:lang w:val="en-GB" w:eastAsia="en-US"/>
              </w:rPr>
            </w:pPr>
            <w:r w:rsidRPr="00C81B1E">
              <w:rPr>
                <w:rFonts w:eastAsia="Calibri"/>
                <w:lang w:val="en-GB" w:eastAsia="en-US"/>
              </w:rPr>
              <w:t>kg/day</w:t>
            </w:r>
          </w:p>
        </w:tc>
        <w:tc>
          <w:tcPr>
            <w:tcW w:w="1135" w:type="dxa"/>
            <w:tcBorders>
              <w:top w:val="single" w:sz="4" w:space="0" w:color="7F7F7F"/>
              <w:bottom w:val="single" w:sz="4" w:space="0" w:color="7F7F7F"/>
            </w:tcBorders>
            <w:shd w:val="clear" w:color="auto" w:fill="auto"/>
            <w:noWrap/>
            <w:vAlign w:val="center"/>
            <w:hideMark/>
          </w:tcPr>
          <w:p w14:paraId="37C405C4"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2571" w:type="dxa"/>
            <w:vMerge w:val="restart"/>
            <w:tcBorders>
              <w:top w:val="single" w:sz="4" w:space="0" w:color="7F7F7F"/>
              <w:bottom w:val="single" w:sz="4" w:space="0" w:color="7F7F7F"/>
            </w:tcBorders>
            <w:shd w:val="clear" w:color="auto" w:fill="auto"/>
            <w:noWrap/>
            <w:vAlign w:val="center"/>
            <w:hideMark/>
          </w:tcPr>
          <w:p w14:paraId="761E131B"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Cooperband (2002)</w:t>
            </w:r>
            <w:r w:rsidRPr="00C81B1E">
              <w:rPr>
                <w:rFonts w:eastAsia="Calibri"/>
                <w:lang w:val="en-GB" w:eastAsia="en-US"/>
              </w:rPr>
              <w:fldChar w:fldCharType="end"/>
            </w:r>
          </w:p>
        </w:tc>
      </w:tr>
      <w:tr w:rsidR="00C81B1E" w:rsidRPr="00C81B1E" w14:paraId="4F63AD52" w14:textId="77777777" w:rsidTr="00C81B1E">
        <w:trPr>
          <w:trHeight w:val="255"/>
        </w:trPr>
        <w:tc>
          <w:tcPr>
            <w:tcW w:w="3402" w:type="dxa"/>
            <w:shd w:val="clear" w:color="auto" w:fill="auto"/>
            <w:noWrap/>
            <w:vAlign w:val="center"/>
            <w:hideMark/>
          </w:tcPr>
          <w:p w14:paraId="15519B5C"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Compost composition</w:t>
            </w:r>
          </w:p>
        </w:tc>
        <w:tc>
          <w:tcPr>
            <w:tcW w:w="1842" w:type="dxa"/>
            <w:shd w:val="clear" w:color="auto" w:fill="auto"/>
            <w:noWrap/>
            <w:vAlign w:val="center"/>
            <w:hideMark/>
          </w:tcPr>
          <w:p w14:paraId="76C1CE4B"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1135" w:type="dxa"/>
            <w:shd w:val="clear" w:color="auto" w:fill="auto"/>
            <w:noWrap/>
            <w:vAlign w:val="center"/>
            <w:hideMark/>
          </w:tcPr>
          <w:p w14:paraId="04140418"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2571" w:type="dxa"/>
            <w:vMerge/>
            <w:shd w:val="clear" w:color="auto" w:fill="auto"/>
            <w:noWrap/>
            <w:vAlign w:val="center"/>
            <w:hideMark/>
          </w:tcPr>
          <w:p w14:paraId="0EEDAF1D" w14:textId="77777777" w:rsidR="00C7764C" w:rsidRPr="00C81B1E" w:rsidRDefault="00C7764C" w:rsidP="00C81B1E">
            <w:pPr>
              <w:pStyle w:val="MDPI42tablebody"/>
              <w:rPr>
                <w:rFonts w:eastAsia="Calibri"/>
                <w:lang w:val="en-GB" w:eastAsia="en-US"/>
              </w:rPr>
            </w:pPr>
          </w:p>
        </w:tc>
      </w:tr>
      <w:tr w:rsidR="00C81B1E" w:rsidRPr="00C81B1E" w14:paraId="60B249E9" w14:textId="77777777" w:rsidTr="00C81B1E">
        <w:trPr>
          <w:trHeight w:val="285"/>
        </w:trPr>
        <w:tc>
          <w:tcPr>
            <w:tcW w:w="3402" w:type="dxa"/>
            <w:tcBorders>
              <w:top w:val="single" w:sz="4" w:space="0" w:color="7F7F7F"/>
              <w:bottom w:val="single" w:sz="4" w:space="0" w:color="7F7F7F"/>
            </w:tcBorders>
            <w:shd w:val="clear" w:color="auto" w:fill="auto"/>
            <w:noWrap/>
            <w:vAlign w:val="center"/>
            <w:hideMark/>
          </w:tcPr>
          <w:p w14:paraId="3DFD0F1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Gas flow rate</w:t>
            </w:r>
          </w:p>
        </w:tc>
        <w:tc>
          <w:tcPr>
            <w:tcW w:w="1842" w:type="dxa"/>
            <w:tcBorders>
              <w:top w:val="single" w:sz="4" w:space="0" w:color="7F7F7F"/>
              <w:bottom w:val="single" w:sz="4" w:space="0" w:color="7F7F7F"/>
            </w:tcBorders>
            <w:shd w:val="clear" w:color="auto" w:fill="auto"/>
            <w:noWrap/>
            <w:vAlign w:val="center"/>
            <w:hideMark/>
          </w:tcPr>
          <w:p w14:paraId="30379E59" w14:textId="77777777" w:rsidR="00C7764C" w:rsidRPr="00C81B1E" w:rsidRDefault="00C7764C" w:rsidP="00C81B1E">
            <w:pPr>
              <w:pStyle w:val="MDPI42tablebody"/>
              <w:rPr>
                <w:rFonts w:eastAsia="Calibri"/>
                <w:lang w:val="en-GB" w:eastAsia="en-US"/>
              </w:rPr>
            </w:pPr>
            <w:r w:rsidRPr="00C81B1E">
              <w:rPr>
                <w:rFonts w:eastAsia="Calibri"/>
                <w:lang w:val="en-GB" w:eastAsia="en-US"/>
              </w:rPr>
              <w:t>Nm</w:t>
            </w:r>
            <w:r w:rsidRPr="000C1128">
              <w:rPr>
                <w:rFonts w:eastAsia="Calibri"/>
                <w:vertAlign w:val="superscript"/>
                <w:lang w:val="en-GB" w:eastAsia="en-US"/>
              </w:rPr>
              <w:t>3</w:t>
            </w:r>
            <w:r w:rsidRPr="00C81B1E">
              <w:rPr>
                <w:rFonts w:eastAsia="Calibri"/>
                <w:lang w:val="en-GB" w:eastAsia="en-US"/>
              </w:rPr>
              <w:t>/day</w:t>
            </w:r>
          </w:p>
        </w:tc>
        <w:tc>
          <w:tcPr>
            <w:tcW w:w="1135" w:type="dxa"/>
            <w:tcBorders>
              <w:top w:val="single" w:sz="4" w:space="0" w:color="7F7F7F"/>
              <w:bottom w:val="single" w:sz="4" w:space="0" w:color="7F7F7F"/>
            </w:tcBorders>
            <w:shd w:val="clear" w:color="auto" w:fill="auto"/>
            <w:noWrap/>
            <w:vAlign w:val="center"/>
            <w:hideMark/>
          </w:tcPr>
          <w:p w14:paraId="60C28563"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2571" w:type="dxa"/>
            <w:vMerge w:val="restart"/>
            <w:tcBorders>
              <w:top w:val="single" w:sz="4" w:space="0" w:color="7F7F7F"/>
              <w:bottom w:val="single" w:sz="4" w:space="0" w:color="7F7F7F"/>
            </w:tcBorders>
            <w:shd w:val="clear" w:color="auto" w:fill="auto"/>
            <w:noWrap/>
            <w:vAlign w:val="center"/>
            <w:hideMark/>
          </w:tcPr>
          <w:p w14:paraId="218404A1"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ISBN":"978-1-4471-2305-7","author":[{"dropping-particle":"","family":"Buragohain","given":"Buljit","non-dropping-particle":"","parse-names":false,"suffix":""},{"dropping-particle":"","family":"Mahanta","given":"Pinakeswar","non-dropping-particle":"","parse-names":false,"suffix":""},{"dropping-particle":"","family":"Moholkar","given":"Vijayanand Suryakant","non-dropping-particle":"","parse-names":false,"suffix":""}],"container-title":"Waste to Energy. Opportunities and Challenges for Developing and Transition Economies","editor":[{"dropping-particle":"","family":"Karagiannidis","given":"Avraam","non-dropping-particle":"","parse-names":false,"suffix":""}],"id":"ITEM-1","issued":{"date-parts":[["2012"]]},"page":"182-183","publisher":"Springer","title":"Thermodynamic Approach to Design and Optimization of Biomass Gasifier Utilizing Agro-Residues","type":"chapter"},"uris":["http://www.mendeley.com/documents/?uuid=12403ba5-0278-4138-a31a-ee9ffb1c3596"]}],"mendeley":{"formattedCitation":"(Buragohain et al., 2012)","manualFormatting":"Buragohain et al. (2012)","plainTextFormattedCitation":"(Buragohain et al., 2012)","previouslyFormattedCitation":"(Buragohain et al., 2012)"},"properties":{"noteIndex":0},"schema":"https://github.com/citation-style-language/schema/raw/master/csl-citation.json"}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Buragohain et al. (2012)</w:t>
            </w:r>
            <w:r w:rsidRPr="00C81B1E">
              <w:rPr>
                <w:rFonts w:eastAsia="Calibri"/>
                <w:lang w:val="en-GB" w:eastAsia="en-US"/>
              </w:rPr>
              <w:fldChar w:fldCharType="end"/>
            </w:r>
          </w:p>
        </w:tc>
      </w:tr>
      <w:tr w:rsidR="00C81B1E" w:rsidRPr="00C81B1E" w14:paraId="4A86C43D" w14:textId="77777777" w:rsidTr="00C81B1E">
        <w:trPr>
          <w:trHeight w:val="285"/>
        </w:trPr>
        <w:tc>
          <w:tcPr>
            <w:tcW w:w="3402" w:type="dxa"/>
            <w:shd w:val="clear" w:color="auto" w:fill="auto"/>
            <w:noWrap/>
            <w:vAlign w:val="center"/>
            <w:hideMark/>
          </w:tcPr>
          <w:p w14:paraId="32CA5D0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Lower heating value of gas</w:t>
            </w:r>
          </w:p>
        </w:tc>
        <w:tc>
          <w:tcPr>
            <w:tcW w:w="1842" w:type="dxa"/>
            <w:shd w:val="clear" w:color="auto" w:fill="auto"/>
            <w:noWrap/>
            <w:vAlign w:val="center"/>
            <w:hideMark/>
          </w:tcPr>
          <w:p w14:paraId="186029F8" w14:textId="77777777" w:rsidR="00C7764C" w:rsidRPr="00C81B1E" w:rsidRDefault="00C7764C" w:rsidP="00C81B1E">
            <w:pPr>
              <w:pStyle w:val="MDPI42tablebody"/>
              <w:rPr>
                <w:rFonts w:eastAsia="Calibri"/>
                <w:lang w:val="en-GB" w:eastAsia="en-US"/>
              </w:rPr>
            </w:pPr>
            <w:r w:rsidRPr="00C81B1E">
              <w:rPr>
                <w:rFonts w:eastAsia="Calibri"/>
                <w:lang w:val="en-GB" w:eastAsia="en-US"/>
              </w:rPr>
              <w:t>MJ/m</w:t>
            </w:r>
            <w:r w:rsidRPr="000C1128">
              <w:rPr>
                <w:rFonts w:eastAsia="Calibri"/>
                <w:vertAlign w:val="superscript"/>
                <w:lang w:val="en-GB" w:eastAsia="en-US"/>
              </w:rPr>
              <w:t>3</w:t>
            </w:r>
          </w:p>
        </w:tc>
        <w:tc>
          <w:tcPr>
            <w:tcW w:w="1135" w:type="dxa"/>
            <w:shd w:val="clear" w:color="auto" w:fill="auto"/>
            <w:noWrap/>
            <w:vAlign w:val="center"/>
            <w:hideMark/>
          </w:tcPr>
          <w:p w14:paraId="3C36C0B2"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2571" w:type="dxa"/>
            <w:vMerge/>
            <w:shd w:val="clear" w:color="auto" w:fill="auto"/>
            <w:noWrap/>
            <w:vAlign w:val="center"/>
          </w:tcPr>
          <w:p w14:paraId="1B8B4FF2" w14:textId="77777777" w:rsidR="00C7764C" w:rsidRPr="00C81B1E" w:rsidRDefault="00C7764C" w:rsidP="00C81B1E">
            <w:pPr>
              <w:pStyle w:val="MDPI42tablebody"/>
              <w:rPr>
                <w:rFonts w:eastAsia="Calibri"/>
                <w:lang w:val="en-GB" w:eastAsia="en-US"/>
              </w:rPr>
            </w:pPr>
          </w:p>
        </w:tc>
      </w:tr>
      <w:tr w:rsidR="00C81B1E" w:rsidRPr="00C81B1E" w14:paraId="06F42E2E" w14:textId="77777777" w:rsidTr="00C81B1E">
        <w:trPr>
          <w:trHeight w:val="255"/>
        </w:trPr>
        <w:tc>
          <w:tcPr>
            <w:tcW w:w="3402" w:type="dxa"/>
            <w:tcBorders>
              <w:top w:val="single" w:sz="4" w:space="0" w:color="7F7F7F"/>
              <w:bottom w:val="single" w:sz="4" w:space="0" w:color="7F7F7F"/>
            </w:tcBorders>
            <w:shd w:val="clear" w:color="auto" w:fill="auto"/>
            <w:noWrap/>
            <w:vAlign w:val="center"/>
            <w:hideMark/>
          </w:tcPr>
          <w:p w14:paraId="2F234362"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Char production rate</w:t>
            </w:r>
          </w:p>
        </w:tc>
        <w:tc>
          <w:tcPr>
            <w:tcW w:w="1842" w:type="dxa"/>
            <w:tcBorders>
              <w:top w:val="single" w:sz="4" w:space="0" w:color="7F7F7F"/>
              <w:bottom w:val="single" w:sz="4" w:space="0" w:color="7F7F7F"/>
            </w:tcBorders>
            <w:shd w:val="clear" w:color="auto" w:fill="auto"/>
            <w:noWrap/>
            <w:vAlign w:val="center"/>
            <w:hideMark/>
          </w:tcPr>
          <w:p w14:paraId="76DCDDAA" w14:textId="77777777" w:rsidR="00C7764C" w:rsidRPr="00C81B1E" w:rsidRDefault="00C7764C" w:rsidP="00C81B1E">
            <w:pPr>
              <w:pStyle w:val="MDPI42tablebody"/>
              <w:rPr>
                <w:rFonts w:eastAsia="Calibri"/>
                <w:lang w:val="en-GB" w:eastAsia="en-US"/>
              </w:rPr>
            </w:pPr>
            <w:r w:rsidRPr="00C81B1E">
              <w:rPr>
                <w:rFonts w:eastAsia="Calibri"/>
                <w:lang w:val="en-GB" w:eastAsia="en-US"/>
              </w:rPr>
              <w:t>kg/day</w:t>
            </w:r>
          </w:p>
        </w:tc>
        <w:tc>
          <w:tcPr>
            <w:tcW w:w="1135" w:type="dxa"/>
            <w:tcBorders>
              <w:top w:val="single" w:sz="4" w:space="0" w:color="7F7F7F"/>
              <w:bottom w:val="single" w:sz="4" w:space="0" w:color="7F7F7F"/>
            </w:tcBorders>
            <w:shd w:val="clear" w:color="auto" w:fill="auto"/>
            <w:noWrap/>
            <w:vAlign w:val="center"/>
            <w:hideMark/>
          </w:tcPr>
          <w:p w14:paraId="1230C583"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2571" w:type="dxa"/>
            <w:vMerge w:val="restart"/>
            <w:tcBorders>
              <w:top w:val="single" w:sz="4" w:space="0" w:color="7F7F7F"/>
              <w:bottom w:val="single" w:sz="4" w:space="0" w:color="7F7F7F"/>
            </w:tcBorders>
            <w:shd w:val="clear" w:color="auto" w:fill="auto"/>
            <w:noWrap/>
            <w:vAlign w:val="center"/>
            <w:hideMark/>
          </w:tcPr>
          <w:p w14:paraId="7415E4B7"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{"citationItems":[{"id":"ITEM-1","itemData":{"author":[{"dropping-particle":"","family":"Lohri","given":"Christian Riu","non-dropping-particle":"","parse-names":false,"suffix":""},{"dropping-particle":"","family":"Sweeney","given":"Dan","non-dropping-particle":"","parse-names":false,"suffix":""},{"dropping-particle":"","family":"Rajabu","given":"Hassan Mtoro","non-dropping-particle":"","parse-names":false,"suffix":""}],"id":"ITEM-1","issued":{"date-parts":[["2015"]]},"title":"Carbonizing urban biowaste for low-cost char production in developing countries - A review of knowledge, practices and technologies","type":"article-journal"},"uris":["http://www.mendeley.com/documents/?uuid=d1edbab1-e9d1-4e11-b2ec-6fc3d54e4435"]}],"mendeley":{"formattedCitation":"(Lohri et al., 2015)","manualFormatting":"Lohri et al. (2015)","plainTextFormattedCitation":"(Lohri et al., 2015)","previouslyFormattedCitation":"(Lohri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Lohri et al. (2015)</w:t>
            </w:r>
            <w:r w:rsidRPr="00C81B1E">
              <w:rPr>
                <w:rFonts w:eastAsia="Calibri"/>
                <w:lang w:val="en-GB" w:eastAsia="en-US"/>
              </w:rPr>
              <w:fldChar w:fldCharType="end"/>
            </w:r>
          </w:p>
        </w:tc>
      </w:tr>
      <w:tr w:rsidR="00C81B1E" w:rsidRPr="00C81B1E" w14:paraId="3843CD20" w14:textId="77777777" w:rsidTr="00C81B1E">
        <w:trPr>
          <w:trHeight w:val="270"/>
        </w:trPr>
        <w:tc>
          <w:tcPr>
            <w:tcW w:w="3402" w:type="dxa"/>
            <w:shd w:val="clear" w:color="auto" w:fill="auto"/>
            <w:noWrap/>
            <w:vAlign w:val="center"/>
            <w:hideMark/>
          </w:tcPr>
          <w:p w14:paraId="609C4B3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Heating value of char</w:t>
            </w:r>
          </w:p>
        </w:tc>
        <w:tc>
          <w:tcPr>
            <w:tcW w:w="1842" w:type="dxa"/>
            <w:shd w:val="clear" w:color="auto" w:fill="auto"/>
            <w:noWrap/>
            <w:vAlign w:val="center"/>
            <w:hideMark/>
          </w:tcPr>
          <w:p w14:paraId="66FD5E48" w14:textId="77777777" w:rsidR="00C7764C" w:rsidRPr="00C81B1E" w:rsidRDefault="00C7764C" w:rsidP="00C81B1E">
            <w:pPr>
              <w:pStyle w:val="MDPI42tablebody"/>
              <w:rPr>
                <w:rFonts w:eastAsia="Calibri"/>
                <w:lang w:val="en-GB" w:eastAsia="en-US"/>
              </w:rPr>
            </w:pPr>
            <w:r w:rsidRPr="00C81B1E">
              <w:rPr>
                <w:rFonts w:eastAsia="Calibri"/>
                <w:lang w:val="en-GB" w:eastAsia="en-US"/>
              </w:rPr>
              <w:t>MJ/kg</w:t>
            </w:r>
          </w:p>
        </w:tc>
        <w:tc>
          <w:tcPr>
            <w:tcW w:w="1135" w:type="dxa"/>
            <w:shd w:val="clear" w:color="auto" w:fill="auto"/>
            <w:noWrap/>
            <w:vAlign w:val="center"/>
            <w:hideMark/>
          </w:tcPr>
          <w:p w14:paraId="2116D4F0"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2571" w:type="dxa"/>
            <w:vMerge/>
            <w:shd w:val="clear" w:color="auto" w:fill="auto"/>
            <w:noWrap/>
            <w:vAlign w:val="center"/>
            <w:hideMark/>
          </w:tcPr>
          <w:p w14:paraId="03F3BA6E" w14:textId="77777777" w:rsidR="00C7764C" w:rsidRPr="00C81B1E" w:rsidRDefault="00C7764C" w:rsidP="00C81B1E">
            <w:pPr>
              <w:pStyle w:val="MDPI42tablebody"/>
              <w:rPr>
                <w:rFonts w:eastAsia="Calibri"/>
                <w:lang w:val="en-GB" w:eastAsia="en-US"/>
              </w:rPr>
            </w:pPr>
          </w:p>
        </w:tc>
      </w:tr>
    </w:tbl>
    <w:p w14:paraId="3E4FA4C1" w14:textId="77777777" w:rsidR="00C7764C" w:rsidRPr="00C7764C" w:rsidRDefault="00C7764C" w:rsidP="00C7764C">
      <w:pPr>
        <w:spacing w:after="160" w:line="259" w:lineRule="auto"/>
        <w:rPr>
          <w:rFonts w:eastAsia="Calibri"/>
          <w:color w:val="auto"/>
          <w:sz w:val="16"/>
          <w:szCs w:val="16"/>
          <w:lang w:val="en-GB" w:eastAsia="en-US"/>
        </w:rPr>
      </w:pPr>
    </w:p>
    <w:p w14:paraId="1070626C" w14:textId="77777777" w:rsidR="00C7764C" w:rsidRPr="00C7764C" w:rsidRDefault="00C7764C" w:rsidP="00BA2E09">
      <w:pPr>
        <w:pStyle w:val="MDPI41tablecaption"/>
        <w:rPr>
          <w:rFonts w:eastAsia="Calibri"/>
          <w:lang w:val="en-GB" w:eastAsia="en-US"/>
        </w:rPr>
      </w:pPr>
      <w:r w:rsidRPr="00C7764C">
        <w:rPr>
          <w:rFonts w:eastAsia="Calibri"/>
          <w:b/>
          <w:lang w:val="en-GB" w:eastAsia="en-US"/>
        </w:rPr>
        <w:t xml:space="preserve">Table </w:t>
      </w:r>
      <w:r w:rsidRPr="00C7764C">
        <w:rPr>
          <w:rFonts w:eastAsia="Calibri"/>
          <w:b/>
          <w:lang w:val="en-GB" w:eastAsia="en-US"/>
        </w:rPr>
        <w:fldChar w:fldCharType="begin"/>
      </w:r>
      <w:r w:rsidRPr="00C7764C">
        <w:rPr>
          <w:rFonts w:eastAsia="Calibri"/>
          <w:b/>
          <w:lang w:val="en-GB" w:eastAsia="en-US"/>
        </w:rPr>
        <w:instrText xml:space="preserve"> SEQ Table \* ARABIC </w:instrText>
      </w:r>
      <w:r w:rsidRPr="00C7764C">
        <w:rPr>
          <w:rFonts w:eastAsia="Calibri"/>
          <w:b/>
          <w:lang w:val="en-GB" w:eastAsia="en-US"/>
        </w:rPr>
        <w:fldChar w:fldCharType="separate"/>
      </w:r>
      <w:r w:rsidRPr="00C7764C">
        <w:rPr>
          <w:rFonts w:eastAsia="Calibri"/>
          <w:b/>
          <w:noProof/>
          <w:lang w:val="en-GB" w:eastAsia="en-US"/>
        </w:rPr>
        <w:t>6</w:t>
      </w:r>
      <w:r w:rsidRPr="00C7764C">
        <w:rPr>
          <w:rFonts w:eastAsia="Calibri"/>
          <w:b/>
          <w:lang w:val="en-GB" w:eastAsia="en-US"/>
        </w:rPr>
        <w:fldChar w:fldCharType="end"/>
      </w:r>
      <w:r w:rsidRPr="00C7764C">
        <w:rPr>
          <w:rFonts w:eastAsia="Calibri"/>
          <w:lang w:val="en-GB" w:eastAsia="en-US"/>
        </w:rPr>
        <w:t>. Environmental indicators: impacts to air</w:t>
      </w:r>
    </w:p>
    <w:tbl>
      <w:tblPr>
        <w:tblW w:w="9066" w:type="dxa"/>
        <w:tblBorders>
          <w:top w:val="single" w:sz="4" w:space="0" w:color="7F7F7F"/>
          <w:bottom w:val="single" w:sz="4" w:space="0" w:color="7F7F7F"/>
        </w:tblBorders>
        <w:tblLook w:val="04A0" w:firstRow="1" w:lastRow="0" w:firstColumn="1" w:lastColumn="0" w:noHBand="0" w:noVBand="1"/>
      </w:tblPr>
      <w:tblGrid>
        <w:gridCol w:w="1560"/>
        <w:gridCol w:w="1004"/>
        <w:gridCol w:w="899"/>
        <w:gridCol w:w="5615"/>
      </w:tblGrid>
      <w:tr w:rsidR="00C81B1E" w:rsidRPr="00C81B1E" w14:paraId="2469F453" w14:textId="77777777" w:rsidTr="00C81B1E">
        <w:trPr>
          <w:trHeight w:val="285"/>
        </w:trPr>
        <w:tc>
          <w:tcPr>
            <w:tcW w:w="1560" w:type="dxa"/>
            <w:tcBorders>
              <w:bottom w:val="single" w:sz="4" w:space="0" w:color="7F7F7F"/>
            </w:tcBorders>
            <w:shd w:val="clear" w:color="auto" w:fill="auto"/>
            <w:noWrap/>
            <w:vAlign w:val="center"/>
          </w:tcPr>
          <w:p w14:paraId="427C88B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Indicator</w:t>
            </w:r>
          </w:p>
        </w:tc>
        <w:tc>
          <w:tcPr>
            <w:tcW w:w="992" w:type="dxa"/>
            <w:tcBorders>
              <w:bottom w:val="single" w:sz="4" w:space="0" w:color="7F7F7F"/>
            </w:tcBorders>
            <w:shd w:val="clear" w:color="auto" w:fill="auto"/>
            <w:noWrap/>
            <w:vAlign w:val="center"/>
          </w:tcPr>
          <w:p w14:paraId="3E950F1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 xml:space="preserve">Example </w:t>
            </w:r>
            <w:r w:rsidRPr="00C81B1E">
              <w:rPr>
                <w:rFonts w:eastAsia="Calibri"/>
                <w:b/>
                <w:bCs/>
                <w:lang w:val="en-GB" w:eastAsia="en-US"/>
              </w:rPr>
              <w:lastRenderedPageBreak/>
              <w:t>or unit</w:t>
            </w:r>
          </w:p>
        </w:tc>
        <w:tc>
          <w:tcPr>
            <w:tcW w:w="899" w:type="dxa"/>
            <w:tcBorders>
              <w:bottom w:val="single" w:sz="4" w:space="0" w:color="7F7F7F"/>
            </w:tcBorders>
            <w:shd w:val="clear" w:color="auto" w:fill="auto"/>
            <w:noWrap/>
            <w:vAlign w:val="center"/>
          </w:tcPr>
          <w:p w14:paraId="7771044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lastRenderedPageBreak/>
              <w:t>FWMS</w:t>
            </w:r>
          </w:p>
        </w:tc>
        <w:tc>
          <w:tcPr>
            <w:tcW w:w="5615" w:type="dxa"/>
            <w:tcBorders>
              <w:bottom w:val="single" w:sz="4" w:space="0" w:color="7F7F7F"/>
            </w:tcBorders>
            <w:shd w:val="clear" w:color="auto" w:fill="auto"/>
            <w:noWrap/>
            <w:vAlign w:val="center"/>
          </w:tcPr>
          <w:p w14:paraId="45BDFB9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Reference</w:t>
            </w:r>
          </w:p>
        </w:tc>
      </w:tr>
      <w:tr w:rsidR="00C81B1E" w:rsidRPr="00C81B1E" w14:paraId="62A5159B"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0FCEE28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Total emissions to air</w:t>
            </w:r>
          </w:p>
        </w:tc>
        <w:tc>
          <w:tcPr>
            <w:tcW w:w="992" w:type="dxa"/>
            <w:tcBorders>
              <w:top w:val="single" w:sz="4" w:space="0" w:color="7F7F7F"/>
              <w:bottom w:val="single" w:sz="4" w:space="0" w:color="7F7F7F"/>
            </w:tcBorders>
            <w:shd w:val="clear" w:color="auto" w:fill="auto"/>
            <w:noWrap/>
            <w:vAlign w:val="center"/>
            <w:hideMark/>
          </w:tcPr>
          <w:p w14:paraId="0ED52EBC" w14:textId="77777777" w:rsidR="00C7764C" w:rsidRPr="00C81B1E" w:rsidRDefault="00C7764C" w:rsidP="00C81B1E">
            <w:pPr>
              <w:pStyle w:val="MDPI42tablebody"/>
              <w:rPr>
                <w:rFonts w:eastAsia="Calibri"/>
                <w:lang w:val="en-GB" w:eastAsia="en-US"/>
              </w:rPr>
            </w:pPr>
            <w:r w:rsidRPr="00C81B1E">
              <w:rPr>
                <w:rFonts w:eastAsia="Calibri"/>
                <w:lang w:val="en-GB" w:eastAsia="en-US"/>
              </w:rPr>
              <w:t>m</w:t>
            </w:r>
            <w:r w:rsidRPr="00C81B1E">
              <w:rPr>
                <w:rFonts w:eastAsia="Calibri"/>
                <w:vertAlign w:val="superscript"/>
                <w:lang w:val="en-GB" w:eastAsia="en-US"/>
              </w:rPr>
              <w:t>3</w:t>
            </w:r>
            <w:r w:rsidRPr="00C81B1E">
              <w:rPr>
                <w:rFonts w:eastAsia="Calibri"/>
                <w:lang w:val="en-GB" w:eastAsia="en-US"/>
              </w:rPr>
              <w:t>/day</w:t>
            </w:r>
          </w:p>
        </w:tc>
        <w:tc>
          <w:tcPr>
            <w:tcW w:w="899" w:type="dxa"/>
            <w:tcBorders>
              <w:top w:val="single" w:sz="4" w:space="0" w:color="7F7F7F"/>
              <w:bottom w:val="single" w:sz="4" w:space="0" w:color="7F7F7F"/>
            </w:tcBorders>
            <w:shd w:val="clear" w:color="auto" w:fill="auto"/>
            <w:noWrap/>
            <w:vAlign w:val="center"/>
            <w:hideMark/>
          </w:tcPr>
          <w:p w14:paraId="236EA609" w14:textId="77777777" w:rsidR="00C7764C" w:rsidRPr="00C81B1E" w:rsidRDefault="00C7764C" w:rsidP="00C81B1E">
            <w:pPr>
              <w:pStyle w:val="MDPI42tablebody"/>
              <w:rPr>
                <w:rFonts w:eastAsia="Calibri"/>
                <w:lang w:val="en-GB" w:eastAsia="en-US"/>
              </w:rPr>
            </w:pPr>
            <w:r w:rsidRPr="00C81B1E">
              <w:rPr>
                <w:rFonts w:eastAsia="Calibri"/>
                <w:lang w:val="en-GB" w:eastAsia="en-US"/>
              </w:rPr>
              <w:t>T, AD, C, TT</w:t>
            </w:r>
          </w:p>
        </w:tc>
        <w:tc>
          <w:tcPr>
            <w:tcW w:w="5615" w:type="dxa"/>
            <w:vMerge w:val="restart"/>
            <w:tcBorders>
              <w:top w:val="single" w:sz="4" w:space="0" w:color="7F7F7F"/>
              <w:bottom w:val="single" w:sz="4" w:space="0" w:color="7F7F7F"/>
            </w:tcBorders>
            <w:shd w:val="clear" w:color="auto" w:fill="auto"/>
            <w:noWrap/>
            <w:vAlign w:val="center"/>
            <w:hideMark/>
          </w:tcPr>
          <w:p w14:paraId="66E46289"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oer","given":"Eelco","non-dropping-particle":"den","parse-names":false,"suffix":""},{"dropping-particle":"","family":"Brouwer","given":"Femke","non-dropping-particle":"","parse-names":false,"suffix":""},{"dropping-particle":"","family":"Schroten","given":"Arno","non-dropping-particle":"","parse-names":false,"suffix":""},{"dropping-particle":"","family":"Essen","given":"Huib","non-dropping-particle":"van","parse-names":false,"suffix":""}],"container-title":"CE Delft","id":"ITEM-1","issue":"January","issued":{"date-parts":[["2009"]]},"publisher-place":"Delft (The Netherlands)","title":"Are trucks taking their toll? The environmental, safety and congestion impacts of lorries in the EU","type":"report"},"uris":["http://www.mendeley.com/documents/?uuid=0a2a7979-9117-494f-a663-f531463bad76"]}],"mendeley":{"formattedCitation":"(den Boer et al., 2009)","manualFormatting":"den Boer et al. (2009)","plainTextFormattedCitation":"(den Boer et al., 2009)","previouslyFormattedCitation":"(den Boer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den Boer et al. (2009)</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{"citationItems":[{"id":"ITEM-1","itemData":{"DOI":"10.1016/j.energy.2014.03.103","ISBN":"03605442","ISSN":"03605442","abstract":"Financial incentives in many European countries have led to a surge in anaerobic digestion (AD) installations to produce heat and/or electricity from biogas. This paper presents the life cycle environmental impacts of a system producing biogas from agricultural wastes by AD and co-generating heat and electricity in a combined heat and power (CHP) plant. The results suggest that this can lead to significant reductions in most impacts compared to fossil-fuel alternatives, including the global warming potential (GWP) which can be reduced by up to 50%. However, the acidification and eutrophication potentials are respectively 25 and 12 times higher than for natural gas CHP. The impacts are influenced by the type and source of feedstock, digestate storage and its application on land. Using energy crops such as maize instead of waste reduces the GWP owing to higher biogas yields, but eight out of 11 impacts increase compared to using waste feedstocks. If digestate is not used to displace artificial fertilisers, the majority of impacts are higher than from natural gas CHP. Some other bioenergy options have lower GWP than energy from biogas, including woodchip CHP plants. Implications for policy are discussed based on the results of the study. © 2014 The Authors.","author":[{"dropping-particle":"","family":"Whiting","given":"Andrew","non-dropping-particle":"","parse-names":false,"suffix":""},{"dropping-particle":"","family":"Azapagic","given":"Adisa","non-dropping-particle":"","parse-names":false,"suffix":""}],"container-title":"Energy","id":"ITEM-1","issued":{"date-parts":[["2014"]]},"page":"181-193","publisher":"Elsevier Ltd","title":"Life cycle environmental impacts of generating electricity and heat from biogas produced by anaerobic digestion","type":"article-journal","volume":"70"},"uris":["http://www.mendeley.com/documents/?uuid=dabbd94e-5d5b-4ed5-8217-adaa6d9d308e"]}],"mendeley":{"formattedCitation":"(Whiting and Azapagic, 2014)","manualFormatting":"Whiting &amp; Azapagic (2014)","plainTextFormattedCitation":"(Whiting and Azapagic, 2014)","previouslyFormattedCitation":"(Whiting and Azapagic,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Whiting &amp; Azapagic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{"citationItems":[{"id":"ITEM-1","itemData":{"DOI":"10.1016/j.scitotenv.2009.10.072","ISBN":"0048-9697","ISSN":"00489697","PMID":"19926117","abstract":"Proper management and recycling of huge volumes of food waste is one of the challenges faced by Singapore. Semakau island - the only offshore landfill of the nation - only accepts inert, inorganic solid waste and therefore a large bulk of food waste is directed to incinerators. A remaining small percent is sent for recycling via anaerobic digestion (AD), followed by composting of the digestate material. This article investigates the environmental performance of four food waste conversion scenarios - based on a life cycle assessment perspective - taking into account air emissions, useful energy from the incinerators and AD process, as well as carbon dioxide mitigation from the compost products derived from the digestate material and a proposed aerobic composting system. The life cycle impact results were generated for global warming, acidification, eutrophication, photochemical oxidation and energy use. The total normalized results showed that a small-scale proposed aerobic composting system is more environmentally favorable than incinerators, but less ideal compared to the AD process. By making full use of the AD's Recycling Phase II process alone, the Singapore Green Plan's 2012 aim to increase the recycling of food waste to 30% can easily be achieved, along with reduced global warming impacts. ?? 2009 Elsevier B.V. All rights reserved.","author":[{"dropping-particle":"","family":"Khoo","given":"Hsien H.","non-dropping-particle":"","parse-names":false,"suffix":""},{"dropping-particle":"","family":"Lim","given":"Teik Z.","non-dropping-particle":"","parse-names":false,"suffix":""},{"dropping-particle":"","family":"Tan","given":"Reginald B H","non-dropping-particle":"","parse-names":false,"suffix":""}],"container-title":"Science of the Total Environment","id":"ITEM-1","issue":"6","issued":{"date-parts":[["2010"]]},"page":"1367-1373","publisher":"Elsevier B.V.","title":"Food waste conversion options in Singapore: Environmental impacts based on an LCA perspective","type":"article-journal","volume":"408"},"uris":["http://www.mendeley.com/documents/?uuid=8c6e4075-a5b0-4950-8220-cc542c7811eb"]}],"mendeley":{"formattedCitation":"(Khoo et al., 2010)","manualFormatting":"Khoo et al. (2010)","plainTextFormattedCitation":"(Khoo et al., 2010)","previouslyFormattedCitation":"(Khoo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Khoo et al. (2010)</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1B8424F7" w14:textId="77777777" w:rsidTr="00C81B1E">
        <w:trPr>
          <w:trHeight w:val="315"/>
        </w:trPr>
        <w:tc>
          <w:tcPr>
            <w:tcW w:w="1560" w:type="dxa"/>
            <w:shd w:val="clear" w:color="auto" w:fill="auto"/>
            <w:noWrap/>
            <w:vAlign w:val="center"/>
            <w:hideMark/>
          </w:tcPr>
          <w:p w14:paraId="723AD47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CO</w:t>
            </w:r>
            <w:r w:rsidRPr="00C81B1E">
              <w:rPr>
                <w:rFonts w:eastAsia="Calibri"/>
                <w:b/>
                <w:bCs/>
                <w:vertAlign w:val="subscript"/>
                <w:lang w:val="en-GB" w:eastAsia="en-US"/>
              </w:rPr>
              <w:t>2</w:t>
            </w:r>
          </w:p>
        </w:tc>
        <w:tc>
          <w:tcPr>
            <w:tcW w:w="992" w:type="dxa"/>
            <w:shd w:val="clear" w:color="auto" w:fill="auto"/>
            <w:noWrap/>
            <w:vAlign w:val="center"/>
            <w:hideMark/>
          </w:tcPr>
          <w:p w14:paraId="55F5CE6B"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51FCBC02" w14:textId="77777777" w:rsidR="00C7764C" w:rsidRPr="00C81B1E" w:rsidRDefault="00C7764C" w:rsidP="00C81B1E">
            <w:pPr>
              <w:pStyle w:val="MDPI42tablebody"/>
              <w:rPr>
                <w:rFonts w:eastAsia="Calibri"/>
                <w:lang w:val="en-GB" w:eastAsia="en-US"/>
              </w:rPr>
            </w:pPr>
            <w:r w:rsidRPr="00C81B1E">
              <w:rPr>
                <w:rFonts w:eastAsia="Calibri"/>
                <w:lang w:val="en-GB" w:eastAsia="en-US"/>
              </w:rPr>
              <w:t>T, AD, C, TT</w:t>
            </w:r>
          </w:p>
        </w:tc>
        <w:tc>
          <w:tcPr>
            <w:tcW w:w="5615" w:type="dxa"/>
            <w:vMerge/>
            <w:shd w:val="clear" w:color="auto" w:fill="auto"/>
            <w:noWrap/>
            <w:vAlign w:val="center"/>
            <w:hideMark/>
          </w:tcPr>
          <w:p w14:paraId="67C56A19" w14:textId="77777777" w:rsidR="00C7764C" w:rsidRPr="00C81B1E" w:rsidRDefault="00C7764C" w:rsidP="00C81B1E">
            <w:pPr>
              <w:pStyle w:val="MDPI42tablebody"/>
              <w:rPr>
                <w:rFonts w:eastAsia="Calibri"/>
                <w:lang w:val="en-GB" w:eastAsia="en-US"/>
              </w:rPr>
            </w:pPr>
          </w:p>
        </w:tc>
      </w:tr>
      <w:tr w:rsidR="00C81B1E" w:rsidRPr="00C81B1E" w14:paraId="785D36F3" w14:textId="77777777" w:rsidTr="00C81B1E">
        <w:trPr>
          <w:trHeight w:val="315"/>
        </w:trPr>
        <w:tc>
          <w:tcPr>
            <w:tcW w:w="1560" w:type="dxa"/>
            <w:tcBorders>
              <w:top w:val="single" w:sz="4" w:space="0" w:color="7F7F7F"/>
              <w:bottom w:val="single" w:sz="4" w:space="0" w:color="7F7F7F"/>
            </w:tcBorders>
            <w:shd w:val="clear" w:color="auto" w:fill="auto"/>
            <w:noWrap/>
            <w:vAlign w:val="center"/>
            <w:hideMark/>
          </w:tcPr>
          <w:p w14:paraId="378AD014"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CH</w:t>
            </w:r>
            <w:r w:rsidRPr="00C81B1E">
              <w:rPr>
                <w:rFonts w:eastAsia="Calibri"/>
                <w:b/>
                <w:bCs/>
                <w:vertAlign w:val="subscript"/>
                <w:lang w:val="en-GB" w:eastAsia="en-US"/>
              </w:rPr>
              <w:t>4</w:t>
            </w:r>
          </w:p>
        </w:tc>
        <w:tc>
          <w:tcPr>
            <w:tcW w:w="992" w:type="dxa"/>
            <w:tcBorders>
              <w:top w:val="single" w:sz="4" w:space="0" w:color="7F7F7F"/>
              <w:bottom w:val="single" w:sz="4" w:space="0" w:color="7F7F7F"/>
            </w:tcBorders>
            <w:shd w:val="clear" w:color="auto" w:fill="auto"/>
            <w:noWrap/>
            <w:vAlign w:val="center"/>
            <w:hideMark/>
          </w:tcPr>
          <w:p w14:paraId="635D5985"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0F401D62" w14:textId="77777777" w:rsidR="00C7764C" w:rsidRPr="00C81B1E" w:rsidRDefault="00C7764C" w:rsidP="00C81B1E">
            <w:pPr>
              <w:pStyle w:val="MDPI42tablebody"/>
              <w:rPr>
                <w:rFonts w:eastAsia="Calibri"/>
                <w:lang w:val="en-GB" w:eastAsia="en-US"/>
              </w:rPr>
            </w:pPr>
            <w:r w:rsidRPr="00C81B1E">
              <w:rPr>
                <w:rFonts w:eastAsia="Calibri"/>
                <w:lang w:val="en-GB" w:eastAsia="en-US"/>
              </w:rPr>
              <w:t>T, AD, C, TT</w:t>
            </w:r>
          </w:p>
        </w:tc>
        <w:tc>
          <w:tcPr>
            <w:tcW w:w="5615" w:type="dxa"/>
            <w:tcBorders>
              <w:top w:val="single" w:sz="4" w:space="0" w:color="7F7F7F"/>
              <w:bottom w:val="single" w:sz="4" w:space="0" w:color="7F7F7F"/>
            </w:tcBorders>
            <w:shd w:val="clear" w:color="auto" w:fill="auto"/>
            <w:noWrap/>
            <w:vAlign w:val="center"/>
            <w:hideMark/>
          </w:tcPr>
          <w:p w14:paraId="29B3F8D1"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oer","given":"Eelco","non-dropping-particle":"den","parse-names":false,"suffix":""},{"dropping-particle":"","family":"Brouwer","given":"Femke","non-dropping-particle":"","parse-names":false,"suffix":""},{"dropping-particle":"","family":"Schroten","given":"Arno","non-dropping-particle":"","parse-names":false,"suffix":""},{"dropping-particle":"","family":"Essen","given":"Huib","non-dropping-particle":"van","parse-names":false,"suffix":""}],"container-title":"CE Delft","id":"ITEM-1","issue":"January","issued":{"date-parts":[["2009"]]},"publisher-place":"Delft (The Netherlands)","title":"Are trucks taking their toll? The environmental, safety and congestion impacts of lorries in the EU","type":"report"},"uris":["http://www.mendeley.com/documents/?uuid=0a2a7979-9117-494f-a663-f531463bad76"]}],"mendeley":{"formattedCitation":"(den Boer et al., 2009)","manualFormatting":"den Boer et al. (2009)","plainTextFormattedCitation":"(den Boer et al., 2009)","previouslyFormattedCitation":"(den Boer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den Boer et al. (2009)</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{"citationItems":[{"id":"ITEM-1","itemData":{"DOI":"10.1016/j.energy.2014.03.103","ISBN":"03605442","ISSN":"03605442","abstract":"Financial incentives in many European countries have led to a surge in anaerobic digestion (AD) installations to produce heat and/or electricity from biogas. This paper presents the life cycle environmental impacts of a system producing biogas from agricultural wastes by AD and co-generating heat and electricity in a combined heat and power (CHP) plant. The results suggest that this can lead to significant reductions in most impacts compared to fossil-fuel alternatives, including the global warming potential (GWP) which can be reduced by up to 50%. However, the acidification and eutrophication potentials are respectively 25 and 12 times higher than for natural gas CHP. The impacts are influenced by the type and source of feedstock, digestate storage and its application on land. Using energy crops such as maize instead of waste reduces the GWP owing to higher biogas yields, but eight out of 11 impacts increase compared to using waste feedstocks. If digestate is not used to displace artificial fertilisers, the majority of impacts are higher than from natural gas CHP. Some other bioenergy options have lower GWP than energy from biogas, including woodchip CHP plants. Implications for policy are discussed based on the results of the study. © 2014 The Authors.","author":[{"dropping-particle":"","family":"Whiting","given":"Andrew","non-dropping-particle":"","parse-names":false,"suffix":""},{"dropping-particle":"","family":"Azapagic","given":"Adisa","non-dropping-particle":"","parse-names":false,"suffix":""}],"container-title":"Energy","id":"ITEM-1","issued":{"date-parts":[["2014"]]},"page":"181-193","publisher":"Elsevier Ltd","title":"Life cycle environmental impacts of generating electricity and heat from biogas produced by anaerobic digestion","type":"article-journal","volume":"70"},"uris":["http://www.mendeley.com/documents/?uuid=dabbd94e-5d5b-4ed5-8217-adaa6d9d308e"]}],"mendeley":{"formattedCitation":"(Whiting and Azapagic, 2014)","manualFormatting":"Whiting &amp; Azapagic (2014)","plainTextFormattedCitation":"(Whiting and Azapagic, 2014)","previouslyFormattedCitation":"(Whiting and Azapagic,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Whiting &amp; Azapagic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{"citationItems":[{"id":"ITEM-1","itemData":{"DOI":"10.1016/j.biombioe.2007.01.004","ISBN":"0961-9534","ISSN":"09619534","abstract":"This paper analyses the overall environmental impact when biogas systems are introduced and replace various reference systems for energy generation, waste management and agricultural production. The analyses are based on Swedish conditions using a life-cycle perspective. The biogas systems included are based on different combinations of raw materials and final use of the biogas produced (heat, power and transportation fuel). A general conclusion is that biogas systems normally lead to environmental improvements, which in some cases are considerable. This is often due to indirect environmental benefits of changed land use and handling of organic waste products (e.g. reduced nitrogen leaching, emissions of ammonia and methane), which often exceed the direct environmental benefits achieved when fossil fuels are replaced by biogas (e.g. reduced emissions of carbon dioxide and air pollutants). Such indirect benefits are seldom considered when biogas is evaluated from an environmental point of view. The environmental impact from different biogas systems can, however, vary significantly due to factors such as the raw materials utilised, energy service provided and reference system replaced. ?? 2007 Elsevier Ltd. All rights reserved.","author":[{"dropping-particle":"","family":"Börjesson","given":"Pål","non-dropping-particle":"","parse-names":false,"suffix":""},{"dropping-particle":"","family":"Berglund","given":"Maria","non-dropping-particle":"","parse-names":false,"suffix":""}],"container-title":"Biomass and Bioenergy","id":"ITEM-1","issue":"5","issued":{"date-parts":[["2007"]]},"page":"326-344","title":"Environmental systems analysis of biogas systems-Part II: The environmental impact of replacing various reference systems","type":"article-journal","volume":"31"},"uris":["http://www.mendeley.com/documents/?uuid=fca78283-61e2-4f30-b071-4bb06735615d"]}],"mendeley":{"formattedCitation":"(Börjesson and Berglund, 2007)","manualFormatting":"Börjesson &amp; Berglund (2007)","plainTextFormattedCitation":"(Börjesson and Berglund, 2007)","previouslyFormattedCitation":"(Börjesson and Berglund,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Börjesson &amp; Berglund (2007)</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43B30067" w14:textId="77777777" w:rsidTr="00C81B1E">
        <w:trPr>
          <w:trHeight w:val="315"/>
        </w:trPr>
        <w:tc>
          <w:tcPr>
            <w:tcW w:w="1560" w:type="dxa"/>
            <w:shd w:val="clear" w:color="auto" w:fill="auto"/>
            <w:noWrap/>
            <w:vAlign w:val="center"/>
            <w:hideMark/>
          </w:tcPr>
          <w:p w14:paraId="2B11FDFE"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w:t>
            </w:r>
            <w:r w:rsidRPr="00C81B1E">
              <w:rPr>
                <w:rFonts w:eastAsia="Calibri"/>
                <w:b/>
                <w:bCs/>
                <w:vertAlign w:val="subscript"/>
                <w:lang w:val="en-GB" w:eastAsia="en-US"/>
              </w:rPr>
              <w:t>2</w:t>
            </w:r>
            <w:r w:rsidRPr="00C81B1E">
              <w:rPr>
                <w:rFonts w:eastAsia="Calibri"/>
                <w:b/>
                <w:bCs/>
                <w:lang w:val="en-GB" w:eastAsia="en-US"/>
              </w:rPr>
              <w:t>O</w:t>
            </w:r>
          </w:p>
        </w:tc>
        <w:tc>
          <w:tcPr>
            <w:tcW w:w="992" w:type="dxa"/>
            <w:shd w:val="clear" w:color="auto" w:fill="auto"/>
            <w:noWrap/>
            <w:vAlign w:val="center"/>
            <w:hideMark/>
          </w:tcPr>
          <w:p w14:paraId="6C49BA89"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6385FBA0" w14:textId="77777777" w:rsidR="00C7764C" w:rsidRPr="00C81B1E" w:rsidRDefault="00C7764C" w:rsidP="00C81B1E">
            <w:pPr>
              <w:pStyle w:val="MDPI42tablebody"/>
              <w:rPr>
                <w:rFonts w:eastAsia="Calibri"/>
                <w:lang w:val="en-GB" w:eastAsia="en-US"/>
              </w:rPr>
            </w:pPr>
            <w:r w:rsidRPr="00C81B1E">
              <w:rPr>
                <w:rFonts w:eastAsia="Calibri"/>
                <w:lang w:val="en-GB" w:eastAsia="en-US"/>
              </w:rPr>
              <w:t>T, AD, C, TT</w:t>
            </w:r>
          </w:p>
        </w:tc>
        <w:tc>
          <w:tcPr>
            <w:tcW w:w="5615" w:type="dxa"/>
            <w:shd w:val="clear" w:color="auto" w:fill="auto"/>
            <w:noWrap/>
            <w:vAlign w:val="center"/>
            <w:hideMark/>
          </w:tcPr>
          <w:p w14:paraId="26130BA8"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oer","given":"Eelco","non-dropping-particle":"den","parse-names":false,"suffix":""},{"dropping-particle":"","family":"Brouwer","given":"Femke","non-dropping-particle":"","parse-names":false,"suffix":""},{"dropping-particle":"","family":"Schroten","given":"Arno","non-dropping-particle":"","parse-names":false,"suffix":""},{"dropping-particle":"","family":"Essen","given":"Huib","non-dropping-particle":"van","parse-names":false,"suffix":""}],"container-title":"CE Delft","id":"ITEM-1","issue":"January","issued":{"date-parts":[["2009"]]},"publisher-place":"Delft (The Netherlands)","title":"Are trucks taking their toll? The environmental, safety and congestion impacts of lorries in the EU","type":"report"},"uris":["http://www.mendeley.com/documents/?uuid=0a2a7979-9117-494f-a663-f531463bad76"]}],"mendeley":{"formattedCitation":"(den Boer et al., 2009)","manualFormatting":"den Boer et al. (2009)","plainTextFormattedCitation":"(den Boer et al., 2009)","previouslyFormattedCitation":"(den Boer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den Boer et al. (2009)</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{"citationItems":[{"id":"ITEM-1","itemData":{"DOI":"10.1177/0734242X09344876","ISBN":"0734-242X","ISSN":"0734-242X","PMID":"19748957","abstract":"Anaerobic digestion (AD) of source-separated municipal solid waste (MSW) and use of the digestate is presented from a global warming (GW) point of view by providing ranges of greenhouse gas (GHG) emissions that are useful for calculation of global warming factors (GWFs), i.e. the contribution to GW measured in CO(2)-equivalents per tonne of wet waste. The GHG accounting was done by distinguishing between direct contributions at the AD facility and indirect upstream or downstream contributions. GHG accounting for a generic AD facility with either biogas utilization at the facility or upgrading of the gas for vehicle fuel resulted in a GWF from -375 (a saving) to 111 (a load) kg CO(2)-eq. tonne(-1) wet waste. In both cases the digestate was used for fertilizer substitution. This large range was a result of the variation found for a number of key parameters: energy substitution by biogas, N(2)O-emission from digestate in soil, fugitive emission of CH( 4), unburned CH(4), carbon bound in soil and fertilizer substitution. GWF for a specific type of AD facility was in the range -95 to -4 kg CO(2)-eq. tonne(-1) wet waste. The ranges of uncertainty, especially of fugitive losses of CH(4) and carbon sequestration highly influenced the result. In comparison with the few published GWFs for AD, the range of our data was much larger demonstrating the need to use a consistent and robust approach to GHG accounting and simultaneously accept that some key parameters are highly uncertain.","author":[{"dropping-particle":"","family":"Møller","given":"Jacob","non-dropping-particle":"","parse-names":false,"suffix":""},{"dropping-particle":"","family":"Boldrin","given":"Alessio","non-dropping-particle":"","parse-names":false,"suffix":""},{"dropping-particle":"","family":"Christensen","given":"Thomas H.","non-dropping-particle":"","parse-names":false,"suffix":""}],"container-title":"Waste Management &amp; Research","id":"ITEM-1","issue":"8","issued":{"date-parts":[["2009"]]},"page":"813-824","title":"Anaerobic digestion and digestate use: accounting of greenhouse gases and global warming contribution","type":"article-journal","volume":"27"},"uris":["http://www.mendeley.com/documents/?uuid=4ba52093-93e7-4201-999d-940482bfbc5f"]}],"mendeley":{"formattedCitation":"(Møller et al., 2009)","manualFormatting":"Møller et al. (2009)","plainTextFormattedCitation":"(Møller et al., 2009)","previouslyFormattedCitation":"(Møller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Møller et al. (2009)</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{"citationItems":[{"id":"ITEM-1","itemData":{"DOI":"10.1177/0734242X07088432","ISBN":"0734-242X (Print)","ISSN":"0734-242X","PMID":"18338701","abstract":"In order to carry out life-cycle assessments as a basis for far-reaching decisions about environmentally sustainable waste treatment, it is important that the input data be reliable and sound. A comparison of the potential greenhouse gas (GHG) emissions associated with each solid waste treatment option is essential. This paper addresses GHG emissions from controlled composting processes. Some important methodological prerequisites for proper measurement and data interpretation are described, and a common scale and dimension of emission data are proposed so that data from different studies can be compared. A range of emission factors associated with home composting, open windrow composting, encapsulated composting systems with waste air treatment and mechanical biological waste treatment (MBT) are presented from our own investigations as well as from the literature. The composition of source materials along with process management issues such as aeration, mechanical agitation, moisture control and temperature regime are the most important factors controlling methane (CH4), nitrous oxide (N2O) and ammoniac (NH3) emissions. If ammoniac is not stripped during the initial rotting phase or eliminated by acid scrubber systems, biofiltration of waste air provides only limited GHG mitigation, since additional N2O may be synthesized during the oxidation of NH3, and only a small amount of CH4 degradation occurs in the biofilter. It is estimated that composting contributes very little to national GHG inventories generating only 0.01-0.06% of global emissions. This analysis does not include emissions from preceding or post-treatment activities (such as collection, transport, energy consumption during processing and land spreading), so that for a full emissions account, emissions from these activities would need to be added to an analysis.","author":[{"dropping-particle":"","family":"Amlinger","given":"Florian","non-dropping-particle":"","parse-names":false,"suffix":""},{"dropping-particle":"","family":"Peyr","given":"Stefan","non-dropping-particle":"","parse-names":false,"suffix":""},{"dropping-particle":"","family":"Cuhls","given":"Carsten","non-dropping-particle":"","parse-names":false,"suffix":""}],"container-title":"Waste Management &amp; Research","id":"ITEM-1","issue":"1","issued":{"date-parts":[["2008"]]},"page":"47-60","title":"Green house gas emissions from composting and mechanical biological treatment","type":"article-journal","volume":"26"},"uris":["http://www.mendeley.com/documents/?uuid=b1f428a4-1bb2-437c-aa1e-cf8d2b95545e"]}],"mendeley":{"formattedCitation":"(Amlinger et al., 2008)","manualFormatting":"Amlinger et al. (2008)","plainTextFormattedCitation":"(Amlinger et al., 2008)","previouslyFormattedCitation":"(Amlinger et al., 2008)"},"properties":{"noteIndex":0},"schema":"https://github.com/citation-style-language/schema/raw/master/csl-citation.json"}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Amlinger et al. (2008)</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AF527D" w14:paraId="79D3F427"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4523372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NOx</w:t>
            </w:r>
          </w:p>
        </w:tc>
        <w:tc>
          <w:tcPr>
            <w:tcW w:w="992" w:type="dxa"/>
            <w:tcBorders>
              <w:top w:val="single" w:sz="4" w:space="0" w:color="7F7F7F"/>
              <w:bottom w:val="single" w:sz="4" w:space="0" w:color="7F7F7F"/>
            </w:tcBorders>
            <w:shd w:val="clear" w:color="auto" w:fill="auto"/>
            <w:noWrap/>
            <w:vAlign w:val="center"/>
            <w:hideMark/>
          </w:tcPr>
          <w:p w14:paraId="730699F1"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5F4CB227" w14:textId="77777777" w:rsidR="00C7764C" w:rsidRPr="00C81B1E" w:rsidRDefault="00C7764C" w:rsidP="00C81B1E">
            <w:pPr>
              <w:pStyle w:val="MDPI42tablebody"/>
              <w:rPr>
                <w:rFonts w:eastAsia="Calibri"/>
                <w:lang w:val="en-GB" w:eastAsia="en-US"/>
              </w:rPr>
            </w:pPr>
            <w:r w:rsidRPr="00C81B1E">
              <w:rPr>
                <w:rFonts w:eastAsia="Calibri"/>
                <w:lang w:val="en-GB" w:eastAsia="en-US"/>
              </w:rPr>
              <w:t>T, AD, C, TT</w:t>
            </w:r>
          </w:p>
        </w:tc>
        <w:tc>
          <w:tcPr>
            <w:tcW w:w="5615" w:type="dxa"/>
            <w:tcBorders>
              <w:top w:val="single" w:sz="4" w:space="0" w:color="7F7F7F"/>
              <w:bottom w:val="single" w:sz="4" w:space="0" w:color="7F7F7F"/>
            </w:tcBorders>
            <w:shd w:val="clear" w:color="auto" w:fill="auto"/>
            <w:noWrap/>
            <w:vAlign w:val="center"/>
            <w:hideMark/>
          </w:tcPr>
          <w:p w14:paraId="1C5B68E6" w14:textId="77777777" w:rsidR="00C7764C" w:rsidRPr="00C81B1E" w:rsidRDefault="00C7764C" w:rsidP="00C81B1E">
            <w:pPr>
              <w:pStyle w:val="MDPI42tablebody"/>
              <w:rPr>
                <w:rFonts w:eastAsia="Calibri"/>
                <w:lang w:val="es-ES" w:eastAsia="en-US"/>
              </w:rPr>
            </w:pPr>
            <w:r w:rsidRPr="00C81B1E">
              <w:rPr>
                <w:rFonts w:eastAsia="Calibri"/>
                <w:lang w:val="en-GB" w:eastAsia="en-US"/>
              </w:rPr>
              <w:t xml:space="preserve">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oer","given":"Eelco","non-dropping-particle":"den","parse-names":false,"suffix":""},{"dropping-particle":"","family":"Brouwer","given":"Femke","non-dropping-particle":"","parse-names":false,"suffix":""},{"dropping-particle":"","family":"Schroten","given":"Arno","non-dropping-particle":"","parse-names":false,"suffix":""},{"dropping-particle":"","family":"Essen","given":"Huib","non-dropping-particle":"van","parse-names":false,"suffix":""}],"container-title":"CE Delft","id":"ITEM-1","issue":"January","issued":{"date-parts":[["2009"]]},"publisher-place":"Delft (The Netherlands)","title":"Are trucks taking their toll? The environmental, safety and congestion impacts of lorries in the EU","type":"report"},"uris":["http://www.mendeley.com/documents/?uuid=0a2a7979-9117-494f-a663-f531463bad76"]}],"mendeley":{"formattedCitation":"(den Boer et al., 2009)","manualFormatting":"den Boer et al. (2009)","plainTextFormattedCitation":"(den Boer et al., 2009)","previouslyFormattedCitation":"(den Boer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den Boer et al. (2009)</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{"citationItems":[{"id":"ITEM-1","itemData":{"DOI":"10.1016/j.scitotenv.2016.03.236","ISSN":"18791026","PMID":"27101461","abstract":"Anaerobic digestion (AD) is expanding rapidly in the UK. Previous life cycle assessment (LCA) studies have highlighted the sensitivity of environmental outcomes to feedstock type, fugitive emissions, biomethane use, energy conversion efficiency and digestate management. We combined statistics on current and planned AD deployment with operational data from a survey of biogas plant operators to evaluate the environmental balance of the UK biogas sector for the years 2014 and 2017. Consequential LCA was applied to account for all major environmental credits and burdens incurred, including: (i) substitution of composting, incineration, sewer disposal, field decomposition and animal feeding of wastes; (ii) indirect land use change (ILUC) incurred by the cultivation of crops used for biogas production and to compensate for bakery and brewery wastes diverted from animal feed. In 2014, the UK biogas sector reduced greenhouse gas (GHG) emissions by 551-755 Gg CO2e excluding ILUC, or 238-755 Gg CO2e including ILUC uncertainty. Fossil energy depletion was reduced by 8.9-10.8 PJe, but eutrophication and acidification burdens were increased by 1.8-3.4 Gg PO4e and 8.1-14.6 Gg SO2e, respectively. Food waste and manure feedstocks dominate GHG abatement, largely through substitution of in-vessel composting and manure storage, whilst food waste and crop feedstocks dominate fossil energy credit, primarily through substitution of natural gas power generation. Biogas expansion is projected to increase environmental credits and loadings by a factor of 2.4 by 2017. If all AD bioelectricity replaced coal generation, or if 90% of biomethane replace</w:instrText>
            </w:r>
            <w:r w:rsidRPr="00C81B1E">
              <w:rPr>
                <w:rFonts w:eastAsia="Calibri"/>
                <w:lang w:val="es-ES" w:eastAsia="en-US"/>
              </w:rPr>
              <w:instrText>d transport diesel or grid natural gas, GHG abatement would increase by 131%, 38% and 20%, respectively. Policies to encourage digestion of food waste and manures could maximize GHG abatement, avoiding the risk of carbon leakage associated with use of crops and wastes otherwise used to feed livestock. Covering digestate stores could largely mitigate net eutrophication and acidification burdens.","author":[{"dropping-particle":"","family":"Styles","given":"David","non-dropping-particle":"","parse-names":false,"suffix":""},{"dropping-particle":"","family":"Dominguez","given":"Eduardo Mesa","non-dropping-particle":"","parse-names":false,"suffix":""},{"dropping-particle":"","family":"Chadwick","given":"Dave","non-dropping-particle":"","parse-names":false,"suffix":""}],"container-title":"Science of the Total Environment","id":"ITEM-1","issued":{"date-parts":[["2016"]]},"page":"241-253","publisher":"Elsevier B.V.","title":"Environmental balance of the of the UK biogas sector: An evaluation by consequential life cycle assessment","type":"article-journal","volume":"560-561"},"uris":["http://www.mendeley.com/documents/?uuid=eb2d83a2-c1b2-4004-9aa1-54e3aa1bd22a"]}],"mendeley":{"formattedCitation":"(Styles et al., 2016)","manualFormatting":"Styles et al. (2016)","plainTextFormattedCitation":"(Styles et al., 2016)","previouslyFormattedCitation":"(Styles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Styles et al. (2016)</w:t>
            </w:r>
            <w:r w:rsidRPr="00C81B1E">
              <w:rPr>
                <w:rFonts w:eastAsia="Calibri"/>
                <w:lang w:val="en-GB" w:eastAsia="en-US"/>
              </w:rPr>
              <w:fldChar w:fldCharType="end"/>
            </w:r>
            <w:r w:rsidRPr="00C81B1E">
              <w:rPr>
                <w:rFonts w:eastAsia="Calibri"/>
                <w:lang w:val="es-ES" w:eastAsia="en-US"/>
              </w:rPr>
              <w:t xml:space="preserve">, C: </w:t>
            </w:r>
            <w:r w:rsidRPr="00C81B1E">
              <w:rPr>
                <w:rFonts w:eastAsia="Calibri"/>
                <w:lang w:val="en-GB" w:eastAsia="en-US"/>
              </w:rPr>
              <w:fldChar w:fldCharType="begin" w:fldLock="1"/>
            </w:r>
            <w:r w:rsidRPr="00C81B1E">
              <w:rPr>
                <w:rFonts w:eastAsia="Calibri"/>
                <w:lang w:val="es-ES" w:eastAsia="en-US"/>
              </w:rPr>
              <w:instrText>ADDIN CSL_CITATION {"citationItems":[{"id":"ITEM-1","itemData":{"DOI":"10.1023/B:WATE.0000019932.04020.b6","ISBN":"0049-6979","ISSN":"00496979","abstract":"Because of its agronomic benefits, farm-scale composting is an efficient means of recycling agricultural waste. Composting process is an aerobic degradation of fresh organic matter in mature compost. Nevertheless, according to the literature, composting may induce some environmental problems. The environmental impacts of composting will be described, along with an assessment of farm-scale composting practices which play a major role in pollution. The main environmental components potentially affected by composting pollution are air and water. Various gases released by composting, such as NH3, CH4 and N2O, can impact air quality and are therefore studied because they all have environmental impacts and can be controlled by composting management. The effect on water quality can be evaluated by considering loss of NO3-, NH4+, organic compounds and PO43-. Technical evaluation criteria for the impact of farm-scale composting on the air are determined from the physical and chemical characteristics of the raw materials, the use of additives, the turning method and frequency and the duration of the composting operations. Regarding water, the weather conditions at the beginning of the composting operation, the location of the heap, the protection against rain, the water addition during the process, the use of covers and the recovery of leaching and runoff water are also taken into account. The two main practices which control the air and water pollution from composting are: the choice of the raw material which influences gas emissions and the choice of composting location which have an high effect on losses by leaching and runoff. © 2004 Kluwer Academic Publishers.","author":[{"dropping-particle":"","family":"Peigne","given":"Josephine","non-dropping-particle":"","parse-names":false,"suffix":""},{"dropping-particle":"","family":"Girardin","given":"Philippe","non-dropping-particle":"","parse-names":false,"suffix":""}],"container-title":"Water, Air, and Soil Pollution","id":"ITEM-1","issued":{"date-parts":[["2004"]]},"page":"45-68","title":"Environmental impacts of farm-scale composting practices","type":"article-journal","volume":"153"},"uris":["http://www.mendeley.com/documents/?uuid=1cac405a-2c5f-4ec5-905c-fffa125841e9"]}],"mendeley":{"formattedCitation":"(Peigne and Girardin, 2004)","manualFormatting":"Peigne &amp; Girardin (2004)","plainTextFormattedCitation":"(Peigne and Girardin, 2004)","previouslyFormattedCitation":"(Peigne and Girardin, 2004)"},"properties":{"noteIndex":0},"schema":"https://github.com/citation-style-language/schema/raw/master/csl-citation.json"}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Peigne &amp; Girardin (2004)</w:t>
            </w:r>
            <w:r w:rsidRPr="00C81B1E">
              <w:rPr>
                <w:rFonts w:eastAsia="Calibri"/>
                <w:lang w:val="en-GB" w:eastAsia="en-US"/>
              </w:rPr>
              <w:fldChar w:fldCharType="end"/>
            </w:r>
            <w:r w:rsidRPr="00C81B1E">
              <w:rPr>
                <w:rFonts w:eastAsia="Calibri"/>
                <w:lang w:val="es-ES" w:eastAsia="en-US"/>
              </w:rPr>
              <w:t xml:space="preserve">, TT: </w:t>
            </w:r>
            <w:r w:rsidRPr="00C81B1E">
              <w:rPr>
                <w:rFonts w:eastAsia="Calibri"/>
                <w:lang w:val="en-GB" w:eastAsia="en-US"/>
              </w:rPr>
              <w:fldChar w:fldCharType="begin" w:fldLock="1"/>
            </w:r>
            <w:r w:rsidRPr="00C81B1E">
              <w:rPr>
                <w:rFonts w:eastAsia="Calibri"/>
                <w:lang w:val="es-ES"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European Commission (2006c)</w:t>
            </w:r>
            <w:r w:rsidRPr="00C81B1E">
              <w:rPr>
                <w:rFonts w:eastAsia="Calibri"/>
                <w:lang w:val="en-GB" w:eastAsia="en-US"/>
              </w:rPr>
              <w:fldChar w:fldCharType="end"/>
            </w:r>
          </w:p>
        </w:tc>
      </w:tr>
      <w:tr w:rsidR="00C81B1E" w:rsidRPr="00C81B1E" w14:paraId="45C80F36" w14:textId="77777777" w:rsidTr="00C81B1E">
        <w:trPr>
          <w:trHeight w:val="285"/>
        </w:trPr>
        <w:tc>
          <w:tcPr>
            <w:tcW w:w="1560" w:type="dxa"/>
            <w:shd w:val="clear" w:color="auto" w:fill="auto"/>
            <w:noWrap/>
            <w:vAlign w:val="center"/>
            <w:hideMark/>
          </w:tcPr>
          <w:p w14:paraId="534A69A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Non-methane volatile organic compounds (NMVOC)</w:t>
            </w:r>
          </w:p>
        </w:tc>
        <w:tc>
          <w:tcPr>
            <w:tcW w:w="992" w:type="dxa"/>
            <w:shd w:val="clear" w:color="auto" w:fill="auto"/>
            <w:noWrap/>
            <w:vAlign w:val="center"/>
            <w:hideMark/>
          </w:tcPr>
          <w:p w14:paraId="68C37A96"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2E42CDAC" w14:textId="77777777" w:rsidR="00C7764C" w:rsidRPr="00C81B1E" w:rsidRDefault="00C7764C" w:rsidP="00C81B1E">
            <w:pPr>
              <w:pStyle w:val="MDPI42tablebody"/>
              <w:rPr>
                <w:rFonts w:eastAsia="Calibri"/>
                <w:lang w:val="en-GB" w:eastAsia="en-US"/>
              </w:rPr>
            </w:pPr>
            <w:r w:rsidRPr="00C81B1E">
              <w:rPr>
                <w:rFonts w:eastAsia="Calibri"/>
                <w:lang w:val="en-GB" w:eastAsia="en-US"/>
              </w:rPr>
              <w:t>T, AD, C, TT</w:t>
            </w:r>
          </w:p>
        </w:tc>
        <w:tc>
          <w:tcPr>
            <w:tcW w:w="5615" w:type="dxa"/>
            <w:shd w:val="clear" w:color="auto" w:fill="auto"/>
            <w:noWrap/>
            <w:vAlign w:val="center"/>
            <w:hideMark/>
          </w:tcPr>
          <w:p w14:paraId="53D8F8A7"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T: </w:t>
            </w:r>
            <w:r w:rsidRPr="00C81B1E">
              <w:rPr>
                <w:rFonts w:eastAsia="Calibri"/>
                <w:lang w:val="en-GB" w:eastAsia="en-US"/>
              </w:rPr>
              <w:fldChar w:fldCharType="begin" w:fldLock="1"/>
            </w:r>
            <w:r w:rsidRPr="00C81B1E">
              <w:rPr>
                <w:rFonts w:eastAsia="Calibri"/>
                <w:lang w:val="en-GB" w:eastAsia="en-US"/>
              </w:rPr>
              <w:instrText>ADDIN CSL_CITATION {"citationItems":[{"id":"ITEM-1","itemData":{"URL":"http://www.environmental-protection.org.uk/policy-areas/air-quality/about-air-pollution/air-pollution-sources/","accessed":{"date-parts":[["2016","6","1"]]},"author":[{"dropping-particle":"","family":"Environmental Protection UK","given":"","non-dropping-particle":"","parse-names":false,"suffix":""}],"id":"ITEM-1","issued":{"date-parts":[["0"]]},"title":"Air pollution sources","type":"webpage"},"uris":["http://www.mendeley.com/documents/?uuid=e90cf99f-dd0e-490f-a8b3-dd322c8eed53"]}],"mendeley":{"formattedCitation":"(Environmental Protection UK, n.d.)","manualFormatting":"Environmental Protection UK (n.d.)","plainTextFormattedCitation":"(Environmental Protection UK, n.d.)","previouslyFormattedCitation":"(Environmental Protection UK, n.d.)"},"properties":{"noteIndex":0},"schema":"https://github.com/citation-style-language/schema/raw/master/csl-citation.json"}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Environmental Protection UK (n.d.)</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{"citationItems":[{"id":"ITEM-1","itemData":{"ISBN":"0-471-20693-8","ISSN":"03043894","PMID":"15003161","abstract":"Anaerobic digestion is a biochemical degradation process that converts complex organic material, such as animal manure, into methane and other byproducts. Part of the author's Wastewater Microbiology series, Microbiology of Anareboic Digesters eschews technical jargon to deliver a practical, how-to guide for wastewater plant operators.","author":[{"dropping-particle":"","family":"Gerardi","given":"Michael H","non-dropping-particle":"","parse-names":false,"suffix":""}],"container-title":"Vasa","editor":[{"dropping-particle":"","family":"Gerardi","given":"Michael H","non-dropping-particle":"","parse-names":false,"suffix":""}],"id":"ITEM-1","issued":{"date-parts":[["2003"]]},"publisher":"John Wiley &amp; Sons, Inc.","publisher-place":"Hoboken, New Jersey, USA","title":"The Microbiology of Anaerobic Digesters","type":"book"},"uris":["http://www.mendeley.com/documents/?uuid=81a342ae-60fa-49a2-8b1d-3ae0fb3055c3"]}],"mendeley":{"formattedCitation":"(Gerardi, 2003)","manualFormatting":"Gerardi (2003)","plainTextFormattedCitation":"(Gerardi, 2003)","previouslyFormattedCitation":"(Gerardi, 2003)"},"properties":{"noteIndex":0},"schema":"https://github.com/citation-style-language/schema/raw/master/csl-citation.json"}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Gerardi (2003)</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{"citationItems":[{"id":"ITEM-1","itemData":{"DOI":"10.1177/0734242X07088432","ISBN":"0734-242X (Print)","ISSN":"0734-242X","PMID":"18338701","abstract":"In order to carry out life-cycle assessments as a basis for far-reaching decisions about environmentally sustainable waste treatment, it is important that the input data be reliable and sound. A comparison of the potential greenhouse gas (GHG) emissions associated with each solid waste treatment option is essential. This paper addresses GHG emissions from controlled composting processes. Some important methodological prerequisites for proper measurement and data interpretation are described, and a common scale and dimension of emission data are proposed so that data from different studies can be compared. A range of emission factors associated with home composting, open windrow composting, encapsulated composting systems with waste air treatment and mechanical biological waste treatment (MBT) are presented from our own investigations as well as from the literature. The composition of source materials along with process management issues such as aeration, mechanical agitation, moisture control and temperature regime are the most important factors controlling methane (CH4), nitrous oxide (N2O) and ammoniac (NH3) emissions. If ammoniac is not stripped during the initial rotting phase or eliminated by acid scrubber systems, biofiltration of waste air provides only limited GHG mitigation, since additional N2O may be synthesized during the oxidation of NH3, and only a small amount of CH4 degradation occurs in the biofilter. It is estimated that composting contributes very little to national GHG inventories generating only 0.01-0.06% of global emissions. This analysis does not include emissions from preceding or post-treatment activities (such as collection, transport, energy consumption during processing and land spreading), so that for a full emissions account, emissions from these activities would need to be added to an analysis.","author":[{"dropping-particle":"","family":"Amlinger","given":"Florian","non-dropping-particle":"","parse-names":false,"suffix":""},{"dropping-particle":"","family":"Peyr","given":"Stefan","non-dropping-particle":"","parse-names":false,"suffix":""},{"dropping-particle":"","family":"Cuhls","given":"Carsten","non-dropping-particle":"","parse-names":false,"suffix":""}],"container-title":"Waste Management &amp; Research","id":"ITEM-1","issue":"1","issued":{"date-parts":[["2008"]]},"page":"47-60","title":"Green house gas emissions from composting and mechanical biological treatment","type":"article-journal","volume":"26"},"uris":["http://www.mendeley.com/documents/?uuid=b1f428a4-1bb2-437c-aa1e-cf8d2b95545e"]}],"mendeley":{"formattedCitation":"(Amlinger et al., 2008)","manualFormatting":"Amlinger et al. (2008)","plainTextFormattedCitation":"(Amlinger et al., 2008)","previouslyFormattedCitation":"(Amlinger et al., 2008)"},"properties":{"noteIndex":0},"schema":"https://github.com/citation-style-language/schema/raw/master/csl-citation.json"}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Amlinger et al. (2008)</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6D61AE01"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26FC5DB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Total organic carbon (TOC)</w:t>
            </w:r>
          </w:p>
        </w:tc>
        <w:tc>
          <w:tcPr>
            <w:tcW w:w="992" w:type="dxa"/>
            <w:tcBorders>
              <w:top w:val="single" w:sz="4" w:space="0" w:color="7F7F7F"/>
              <w:bottom w:val="single" w:sz="4" w:space="0" w:color="7F7F7F"/>
            </w:tcBorders>
            <w:shd w:val="clear" w:color="auto" w:fill="auto"/>
            <w:noWrap/>
            <w:vAlign w:val="center"/>
            <w:hideMark/>
          </w:tcPr>
          <w:p w14:paraId="3AA3F9D1"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3FB39394" w14:textId="77777777" w:rsidR="00C7764C" w:rsidRPr="00C81B1E" w:rsidRDefault="00C7764C" w:rsidP="00C81B1E">
            <w:pPr>
              <w:pStyle w:val="MDPI42tablebody"/>
              <w:rPr>
                <w:rFonts w:eastAsia="Calibri"/>
                <w:lang w:val="en-GB" w:eastAsia="en-US"/>
              </w:rPr>
            </w:pPr>
            <w:r w:rsidRPr="00C81B1E">
              <w:rPr>
                <w:rFonts w:eastAsia="Calibri"/>
                <w:lang w:val="en-GB" w:eastAsia="en-US"/>
              </w:rPr>
              <w:t>T, TT</w:t>
            </w:r>
          </w:p>
        </w:tc>
        <w:tc>
          <w:tcPr>
            <w:tcW w:w="5615" w:type="dxa"/>
            <w:tcBorders>
              <w:top w:val="single" w:sz="4" w:space="0" w:color="7F7F7F"/>
              <w:bottom w:val="single" w:sz="4" w:space="0" w:color="7F7F7F"/>
            </w:tcBorders>
            <w:shd w:val="clear" w:color="auto" w:fill="auto"/>
            <w:noWrap/>
            <w:vAlign w:val="center"/>
            <w:hideMark/>
          </w:tcPr>
          <w:p w14:paraId="673167A2" w14:textId="77777777" w:rsidR="00C7764C" w:rsidRPr="00C81B1E" w:rsidRDefault="00C7764C" w:rsidP="00C81B1E">
            <w:pPr>
              <w:pStyle w:val="MDPI42tablebody"/>
              <w:rPr>
                <w:rFonts w:eastAsia="Calibri"/>
                <w:lang w:val="en-GB" w:eastAsia="en-US"/>
              </w:rPr>
            </w:pPr>
            <w:r w:rsidRPr="00C81B1E">
              <w:rPr>
                <w:rFonts w:eastAsia="Calibri"/>
                <w:lang w:val="es-ES" w:eastAsia="en-US"/>
              </w:rPr>
              <w:t xml:space="preserve">T: </w:t>
            </w:r>
            <w:r w:rsidRPr="00C81B1E">
              <w:rPr>
                <w:rFonts w:eastAsia="Calibri"/>
                <w:lang w:val="en-GB" w:eastAsia="en-US"/>
              </w:rPr>
              <w:fldChar w:fldCharType="begin" w:fldLock="1"/>
            </w:r>
            <w:r w:rsidRPr="00C81B1E">
              <w:rPr>
                <w:rFonts w:eastAsia="Calibri"/>
                <w:lang w:val="es-ES" w:eastAsia="en-US"/>
              </w:rPr>
              <w:instrText>ADDIN CSL_CITATION {"citationItems":[{"id":"ITEM-1","itemData":{"DOI":"10.2166/wst.2015.307","ISSN":"02731223","author":[{"dropping-particle":"","family":"Wada","given":"K.","non-dropping-particle":"","parse-names":false,"suffix":""},{"dropping-particle":"","family":"Takei","given":"N.","non-dropping-particle":"","parse-names":false,"suffix":""},{"dropping-particle":"","family":"Sato","given":"T.","non-dropping-particle":"","parse-names":false,"suffix":""},{"dropping-particle":"","family":"Tsuno","given":"H.","non-dropping-particle":"","parse-names":false,"suffix":""}],"container-title":"Water Science and Technology","id":"ITEM-1","issue":"7","issued":{"date-parts":[["2015"]]},"page":"1234-1242","title":"Sources of organic matter in first flush runoff from urban roadways","type":"article-journal","volume":"72"},"uris":["http://www.mendeley.com/documents/?uuid=bdee2e3d-775a-41c6-a7d9-a8dd2af0d467"]}],"mendeley":{"formattedCitation":"(Wada et al., 2015)","manualFormatting":"Wada et al. (2015)","plainTextFormattedCitation":"(Wada et al., 2015)","previouslyFormattedCitation":"(Wada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Wada et al. (2015)</w:t>
            </w:r>
            <w:r w:rsidRPr="00C81B1E">
              <w:rPr>
                <w:rFonts w:eastAsia="Calibri"/>
                <w:lang w:val="en-GB" w:eastAsia="en-US"/>
              </w:rPr>
              <w:fldChar w:fldCharType="end"/>
            </w:r>
            <w:r w:rsidRPr="00C81B1E">
              <w:rPr>
                <w:rFonts w:eastAsia="Calibri"/>
                <w:lang w:val="es-ES" w:eastAsia="en-US"/>
              </w:rPr>
              <w:t xml:space="preserve">, TT: </w:t>
            </w:r>
            <w:r w:rsidRPr="00C81B1E">
              <w:rPr>
                <w:rFonts w:eastAsia="Calibri"/>
                <w:lang w:val="en-GB" w:eastAsia="en-US"/>
              </w:rPr>
              <w:fldChar w:fldCharType="begin" w:fldLock="1"/>
            </w:r>
            <w:r w:rsidRPr="00C81B1E">
              <w:rPr>
                <w:rFonts w:eastAsia="Calibri"/>
                <w:lang w:val="es-ES"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2D81F705" w14:textId="77777777" w:rsidTr="00C81B1E">
        <w:trPr>
          <w:trHeight w:val="315"/>
        </w:trPr>
        <w:tc>
          <w:tcPr>
            <w:tcW w:w="1560" w:type="dxa"/>
            <w:shd w:val="clear" w:color="auto" w:fill="auto"/>
            <w:noWrap/>
            <w:vAlign w:val="center"/>
            <w:hideMark/>
          </w:tcPr>
          <w:p w14:paraId="575D5BBE"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NH</w:t>
            </w:r>
            <w:r w:rsidRPr="00C81B1E">
              <w:rPr>
                <w:rFonts w:eastAsia="Calibri"/>
                <w:b/>
                <w:bCs/>
                <w:vertAlign w:val="subscript"/>
                <w:lang w:val="en-GB" w:eastAsia="en-US"/>
              </w:rPr>
              <w:t>3</w:t>
            </w:r>
          </w:p>
        </w:tc>
        <w:tc>
          <w:tcPr>
            <w:tcW w:w="992" w:type="dxa"/>
            <w:shd w:val="clear" w:color="auto" w:fill="auto"/>
            <w:noWrap/>
            <w:vAlign w:val="center"/>
            <w:hideMark/>
          </w:tcPr>
          <w:p w14:paraId="339559C5"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03A1BAEE"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615" w:type="dxa"/>
            <w:shd w:val="clear" w:color="auto" w:fill="auto"/>
            <w:noWrap/>
            <w:vAlign w:val="center"/>
            <w:hideMark/>
          </w:tcPr>
          <w:p w14:paraId="6E8CE033"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{"citationItems":[{"id":"ITEM-1","itemData":{"DOI":"10.1016/j.energy.2014.03.103","ISBN":"03605442","ISSN":"03605442","abstract":"Financial incentives in many European countries have led to a surge in anaerobic digestion (AD) installations to produce heat and/or electricity from biogas. This paper presents the life cycle environmental impacts of a system producing biogas from agricultural wastes by AD and co-generating heat and electricity in a combined heat and power (CHP) plant. The results suggest that this can lead to significant reductions in most impacts compared to fossil-fuel alternatives, including the global warming potential (GWP) which can be reduced by up to 50%. However, the acidification and eutrophication potentials are respectively 25 and 12 times higher than for natural gas CHP. The impacts are influenced by the type and source of feedstock, digestate storage and its application on land. Using energy crops such as maize instead of waste reduces the GWP owing to higher biogas yields, but eight out of 11 impacts increase compared to using waste feedstocks. If digestate is not used to displace artificial fertilisers, the majority of impacts are higher than from natural gas CHP. Some other bioenergy options have lower GWP than energy from biogas, including woodchip CHP plants. Implications for policy are discussed based on the results of the study. © 2014 The Authors.","author":[{"dropping-particle":"","family":"Whiting","given":"Andrew","non-dropping-particle":"","parse-names":false,"suffix":""},{"dropping-particle":"","family":"Azapagic","given":"Adisa","non-dropping-particle":"","parse-names":false,"suffix":""}],"container-title":"Energy","id":"ITEM-1","issued":{"date-parts":[["2014"]]},"page":"181-193","publisher":"Elsevier Ltd","title":"Life cycle environmental impacts of generating electricity and heat from biogas produced by anaerobic digestion","type":"article-journal","volume":"70"},"uris":["http://www.mendeley.com/documents/?uuid=dabbd94e-5d5b-4ed5-8217-adaa6d9d308e"]}],"mendeley":{"formattedCitation":"(Whiting and Azapagic, 2014)","manualFormatting":"Whiting &amp; Azapagic (2014)","plainTextFormattedCitation":"(Whiting and Azapagic, 2014)","previouslyFormattedCitation":"(Whiting and Azapagic,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Whiting &amp; Azapagic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{"citationItems":[{"id":"ITEM-1","itemData":{"DOI":"10.1016/j.scitotenv.2009.10.072","ISBN":"0048-9697","ISSN":"00489697","PMID":"19926117","abstract":"Proper management and recycling of huge volumes of food waste is one of the challenges faced by Singapore. Semakau island - the only offshore landfill of the nation - only accepts inert, inorganic solid waste and therefore a large bulk of food waste is directed to incinerators. A remaining small percent is sent for recycling via anaerobic digestion (AD), followed by composting of the digestate material. This article investigates the environmental performance of four food waste conversion scenarios - based on a life cycle assessment perspective - taking into account air emissions, useful energy from the incinerators and AD process, as well as carbon dioxide mitigation from the compost products derived from the digestate material and a proposed aerobic composting system. The life cycle impact results were generated for global warming, acidification, eutrophication, photochemical oxidation and energy use. The total normalized results showed that a small-scale proposed aerobic composting system is more environmentally favorable than incinerators, but less ideal compared to the AD process. By making full use of the AD's Recycling Phase II process alone, the Singapore Green Plan's 2012 aim to increase the recycling of food waste to 30% can easily be achieved, along with reduced global warming impacts. ?? 2009 Elsevier B.V. All rights reserved.","author":[{"dropping-particle":"","family":"Khoo","given":"Hsien H.","non-dropping-particle":"","parse-names":false,"suffix":""},{"dropping-particle":"","family":"Lim","given":"Teik Z.","non-dropping-particle":"","parse-names":false,"suffix":""},{"dropping-particle":"","family":"Tan","given":"Reginald B H","non-dropping-particle":"","parse-names":false,"suffix":""}],"container-title":"Science of the Total Environment","id":"ITEM-1","issue":"6","issued":{"date-parts":[["2010"]]},"page":"1367-1373","publisher":"Elsevier B.V.","title":"Food waste conversion options in Singapore: Environmental impacts based on an LCA perspective","type":"article-journal","volume":"408"},"uris":["http://www.mendeley.com/documents/?uuid=8c6e4075-a5b0-4950-8220-cc542c7811eb"]}],"mendeley":{"formattedCitation":"(Khoo et al., 2010)","manualFormatting":"Khoo et al. (2010)","plainTextFormattedCitation":"(Khoo et al., 2010)","previouslyFormattedCitation":"(Khoo et al.,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Khoo et al. (2010)</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47C0AA07"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6DEE4345" w14:textId="77777777" w:rsidR="00C7764C" w:rsidRPr="00C81B1E" w:rsidRDefault="00C7764C" w:rsidP="00C81B1E">
            <w:pPr>
              <w:pStyle w:val="MDPI42tablebody"/>
              <w:rPr>
                <w:rFonts w:eastAsia="Calibri"/>
                <w:b/>
                <w:bCs/>
                <w:lang w:val="en-GB" w:eastAsia="en-US"/>
              </w:rPr>
            </w:pPr>
            <w:proofErr w:type="spellStart"/>
            <w:r w:rsidRPr="00C81B1E">
              <w:rPr>
                <w:rFonts w:eastAsia="Calibri"/>
                <w:b/>
                <w:bCs/>
                <w:lang w:val="en-GB" w:eastAsia="en-US"/>
              </w:rPr>
              <w:t>SOx</w:t>
            </w:r>
            <w:proofErr w:type="spellEnd"/>
          </w:p>
        </w:tc>
        <w:tc>
          <w:tcPr>
            <w:tcW w:w="992" w:type="dxa"/>
            <w:tcBorders>
              <w:top w:val="single" w:sz="4" w:space="0" w:color="7F7F7F"/>
              <w:bottom w:val="single" w:sz="4" w:space="0" w:color="7F7F7F"/>
            </w:tcBorders>
            <w:shd w:val="clear" w:color="auto" w:fill="auto"/>
            <w:noWrap/>
            <w:vAlign w:val="center"/>
            <w:hideMark/>
          </w:tcPr>
          <w:p w14:paraId="6897A0B4"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1BFD164C"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615" w:type="dxa"/>
            <w:tcBorders>
              <w:top w:val="single" w:sz="4" w:space="0" w:color="7F7F7F"/>
              <w:bottom w:val="single" w:sz="4" w:space="0" w:color="7F7F7F"/>
            </w:tcBorders>
            <w:shd w:val="clear" w:color="auto" w:fill="auto"/>
            <w:noWrap/>
            <w:vAlign w:val="center"/>
            <w:hideMark/>
          </w:tcPr>
          <w:p w14:paraId="574D3394"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wasman.2015.01.033","ISSN":"0956053X","author":[{"dropping-particle":"","family":"Beylot","given":"Antoine","non-dropping-particle":"","parse-names":false,"suffix":""},{"dropping-particle":"","family":"Vaxelaire","given":"Stéphane","non-dropping-particle":"","parse-names":false,"suffix":""},{"dropping-particle":"","family":"Zdanevitch","given":"Isabelle","non-dropping-particle":"","parse-names":false,"suffix":""},{"dropping-particle":"","family":"Auvinet","given":"Nicolas","non-dropping-particle":"","parse-names":false,"suffix":""},{"dropping-particle":"","family":"Villeneuve","given":"Jacques","non-dropping-particle":"","parse-names":false,"suffix":""}],"container-title":"Waste Management","id":"ITEM-1","issued":{"date-parts":[["2015"]]},"page":"287-294","publisher":"Elsevier Ltd","title":"Life Cycle Assessment of mechanical biological pre-treatment of Municipal Solid Waste: A case study","type":"article-journal","volume":"39"},"uris":["http://www.mendeley.com/documents/?uuid=e0ebec53-a461-4d1d-a1dc-6655572b8152"]}],"mendeley":{"formattedCitation":"(Beylot et al., 2015)","manualFormatting":"Beylot et al. (2015)","plainTextFormattedCitation":"(Beylot et al., 2015)","previouslyFormattedCitation":"(Beylot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Beylot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esconrec.2014.07.005","ISSN":"09213449","author":[{"dropping-particle":"","family":"Zhao","given":"Yan","non-dropping-particle":"","parse-names":false,"suffix":""},{"dropping-particle":"","family":"Deng","given":"Wenjing","non-dropping-particle":"","parse-names":false,"suffix":""}],"container-title":"Resources, Conservation and Recycling","id":"ITEM-1","issued":{"date-parts":[["2014"]]},"page":"214-221","publisher":"Elsevier B.V.","title":"Environmental impacts of different food waste resource technologies and the effects of energy mix","type":"article-journal","volume":"92"},"uris":["http://www.mendeley.com/documents/?uuid=33d05458-cf59-4c5a-b8f6-84e40ad8e9f5"]}],"mendeley":{"formattedCitation":"(Zhao and Deng, 2014)","manualFormatting":"Zhao &amp; Deng (2014)","plainTextFormattedCitation":"(Zhao and Deng, 2014)","previouslyFormattedCitation":"(Zhao and Deng,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Zhao &amp; Deng (2014)</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7DE77641" w14:textId="77777777" w:rsidTr="00C81B1E">
        <w:trPr>
          <w:trHeight w:val="285"/>
        </w:trPr>
        <w:tc>
          <w:tcPr>
            <w:tcW w:w="1560" w:type="dxa"/>
            <w:shd w:val="clear" w:color="auto" w:fill="auto"/>
            <w:noWrap/>
            <w:vAlign w:val="center"/>
            <w:hideMark/>
          </w:tcPr>
          <w:p w14:paraId="4547B2A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HCl</w:t>
            </w:r>
          </w:p>
        </w:tc>
        <w:tc>
          <w:tcPr>
            <w:tcW w:w="992" w:type="dxa"/>
            <w:shd w:val="clear" w:color="auto" w:fill="auto"/>
            <w:noWrap/>
            <w:vAlign w:val="center"/>
            <w:hideMark/>
          </w:tcPr>
          <w:p w14:paraId="6A9D578E"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3134C6D7"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615" w:type="dxa"/>
            <w:shd w:val="clear" w:color="auto" w:fill="auto"/>
            <w:noWrap/>
            <w:vAlign w:val="center"/>
            <w:hideMark/>
          </w:tcPr>
          <w:p w14:paraId="50BD014B"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esconrec.2014.07.005","ISSN":"09213449","author":[{"dropping-particle":"","family":"Zhao","given":"Yan","non-dropping-particle":"","parse-names":false,"suffix":""},{"dropping-particle":"","family":"Deng","given":"Wenjing","non-dropping-particle":"","parse-names":false,"suffix":""}],"container-title":"Resources, Conservation and Recycling","id":"ITEM-1","issued":{"date-parts":[["2014"]]},"page":"214-221","publisher":"Elsevier B.V.","title":"Environmental impacts of different food waste resource technologies and the effects of energy mix","type":"article-journal","volume":"92"},"uris":["http://www.mendeley.com/documents/?uuid=33d05458-cf59-4c5a-b8f6-84e40ad8e9f5"]}],"mendeley":{"formattedCitation":"(Zhao and Deng, 2014)","manualFormatting":"Zhao &amp; Deng (2014)","plainTextFormattedCitation":"(Zhao and Deng, 2014)","previouslyFormattedCitation":"(Zhao and Deng,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Zhao &amp; Deng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esconrec.2014.07.005","ISSN":"09213449","author":[{"dropping-particle":"","family":"Zhao","given":"Yan","non-dropping-particle":"","parse-names":false,"suffix":""},{"dropping-particle":"","family":"Deng","given":"Wenjing","non-dropping-particle":"","parse-names":false,"suffix":""}],"container-title":"Resources, Conservation and Recycling","id":"ITEM-1","issued":{"date-parts":[["2014"]]},"page":"214-221","publisher":"Elsevier B.V.","title":"Environmental impacts of different food waste resource technologies and the effects of energy mix","type":"article-journal","volume":"92"},"uris":["http://www.mendeley.com/documents/?uuid=33d05458-cf59-4c5a-b8f6-84e40ad8e9f5"]}],"mendeley":{"formattedCitation":"(Zhao and Deng, 2014)","manualFormatting":"Zhao &amp; Deng (2014)","plainTextFormattedCitation":"(Zhao and Deng, 2014)","previouslyFormattedCitation":"(Zhao and Deng,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Zhao &amp; Deng (2014)</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19B879DD"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33B09DE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Dioxins, furans, PAH, PCBs and products alike</w:t>
            </w:r>
          </w:p>
        </w:tc>
        <w:tc>
          <w:tcPr>
            <w:tcW w:w="992" w:type="dxa"/>
            <w:tcBorders>
              <w:top w:val="single" w:sz="4" w:space="0" w:color="7F7F7F"/>
              <w:bottom w:val="single" w:sz="4" w:space="0" w:color="7F7F7F"/>
            </w:tcBorders>
            <w:shd w:val="clear" w:color="auto" w:fill="auto"/>
            <w:noWrap/>
            <w:vAlign w:val="center"/>
            <w:hideMark/>
          </w:tcPr>
          <w:p w14:paraId="19A6EF0E"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342DA5C8"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615" w:type="dxa"/>
            <w:tcBorders>
              <w:top w:val="single" w:sz="4" w:space="0" w:color="7F7F7F"/>
              <w:bottom w:val="single" w:sz="4" w:space="0" w:color="7F7F7F"/>
            </w:tcBorders>
            <w:shd w:val="clear" w:color="auto" w:fill="auto"/>
            <w:noWrap/>
            <w:vAlign w:val="center"/>
            <w:hideMark/>
          </w:tcPr>
          <w:p w14:paraId="563DBE40"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{"citationItems":[{"id":"ITEM-1","itemData":{"ISBN":"0273-1223","ISSN":"02731223","PMID":"16180477","abstract":"Biological treatment processes including anaerobic digestion (biogasification) and composting are increasingly being considered by waste management officials and planners as alternatives for managing the mainly organic residues of municipal solid wastes (MSW). The integrated waste management model which is based upon the application of life-cycle analysis was employed to compare the environmental burdens of landfilling, composting and anaerobic digestion of MSW at a mid-sized Canadian community. Energy consumption (or recovery), residue recoveries and emissions to air and water were quantified. Scenario comparisons were analyzed to demonstrate that the environmental burdens associated with anaerobic digestion are reduced in comparison with the alternative options. The major benefit occurs as a result of the electricity produced from burning the biogas and then supplying the 'green power' to the local electrical grid.","author":[{"dropping-particle":"","family":"Haight","given":"M.","non-dropping-particle":"","parse-names":false,"suffix":""}],"container-title":"Water Science and Technology","id":"ITEM-1","issue":"1-2","issued":{"date-parts":[["2005"]]},"page":"553-559","title":"Assessing the environmental burdens of anaerobic digestion in comparison to alternative options for managing the biodegradable fraction of municipal solid wastes","type":"article-journal","volume":"52"},"uris":["http://www.mendeley.com/documents/?uuid=542072b6-4486-4cb6-af2b-ad9a9f17f07c"]}],"mendeley":{"formattedCitation":"(Haight, 2005)","manualFormatting":"Haight (2005)","plainTextFormattedCitation":"(Haight, 2005)","previouslyFormattedCitation":"(Haight, 2005)"},"properties":{"noteIndex":0},"schema":"https://github.com/citation-style-language/schema/raw/master/csl-citation.json"}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Haight (2005)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{"citationItems":[{"id":"ITEM-1","itemData":{"ISBN":"0273-1223","ISSN":"02731223","PMID":"16180477","abstract":"Biological treatment processes including anaerobic digestion (biogasification) and composting are increasingly being considered by waste management officials and planners as alternatives for managing the mainly organic residues of municipal solid wastes (MSW). The integrated waste management model which is based upon the application of life-cycle analysis was employed to compare the environmental burdens of landfilling, composting and anaerobic digestion of MSW at a mid-sized Canadian community. Energy consumption (or recovery), residue recoveries and emissions to air and water were quantified. Scenario comparisons were analyzed to demonstrate that the environmental burdens associated with anaerobic digestion are reduced in comparison with the alternative options. The major benefit occurs as a result of the electricity produced from burning the biogas and then supplying the 'green power' to the local electrical grid.","author":[{"dropping-particle":"","family":"Haight","given":"M.","non-dropping-particle":"","parse-names":false,"suffix":""}],"container-title":"Water Science and Technology","id":"ITEM-1","issue":"1-2","issued":{"date-parts":[["2005"]]},"page":"553-559","title":"Assessing the environmental burdens of anaerobic digestion in comparison to alternative options for managing the biodegradable fraction of municipal solid wastes","type":"article-journal","volume":"52"},"uris":["http://www.mendeley.com/documents/?uuid=542072b6-4486-4cb6-af2b-ad9a9f17f07c"]}],"mendeley":{"formattedCitation":"(Haight, 2005)","manualFormatting":"Haight (2005)","plainTextFormattedCitation":"(Haight, 2005)","previouslyFormattedCitation":"(Haight, 2005)"},"properties":{"noteIndex":0},"schema":"https://github.com/citation-style-language/schema/raw/master/csl-citation.json"}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Haight (2005)</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6403A4B4" w14:textId="77777777" w:rsidTr="00C81B1E">
        <w:trPr>
          <w:trHeight w:val="315"/>
        </w:trPr>
        <w:tc>
          <w:tcPr>
            <w:tcW w:w="1560" w:type="dxa"/>
            <w:shd w:val="clear" w:color="auto" w:fill="auto"/>
            <w:noWrap/>
            <w:vAlign w:val="center"/>
            <w:hideMark/>
          </w:tcPr>
          <w:p w14:paraId="5527DA3E"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H</w:t>
            </w:r>
            <w:r w:rsidRPr="00C81B1E">
              <w:rPr>
                <w:rFonts w:eastAsia="Calibri"/>
                <w:b/>
                <w:bCs/>
                <w:vertAlign w:val="subscript"/>
                <w:lang w:val="en-GB" w:eastAsia="en-US"/>
              </w:rPr>
              <w:t>2</w:t>
            </w:r>
            <w:r w:rsidRPr="00C81B1E">
              <w:rPr>
                <w:rFonts w:eastAsia="Calibri"/>
                <w:b/>
                <w:bCs/>
                <w:lang w:val="en-GB" w:eastAsia="en-US"/>
              </w:rPr>
              <w:t>S</w:t>
            </w:r>
          </w:p>
        </w:tc>
        <w:tc>
          <w:tcPr>
            <w:tcW w:w="992" w:type="dxa"/>
            <w:shd w:val="clear" w:color="auto" w:fill="auto"/>
            <w:noWrap/>
            <w:vAlign w:val="center"/>
            <w:hideMark/>
          </w:tcPr>
          <w:p w14:paraId="74EC56E2"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29CE1E8E"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615" w:type="dxa"/>
            <w:shd w:val="clear" w:color="auto" w:fill="auto"/>
            <w:noWrap/>
            <w:vAlign w:val="center"/>
            <w:hideMark/>
          </w:tcPr>
          <w:p w14:paraId="6376EA33"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{"citationItems":[{"id":"ITEM-1","itemData":{"ISBN":"0-471-20693-8","ISSN":"03043894","PMID":"15003161","abstract":"Anaerobic digestion is a biochemical degradation process that converts complex organic material, such as animal manure, into methane and other byproducts. Part of the author's Wastewater Microbiology series, Microbiology of Anareboic Digesters eschews technical jargon to deliver a practical, how-to guide for wastewater plant operators.","author":[{"dropping-particle":"","family":"Gerardi","given":"Michael H","non-dropping-particle":"","parse-names":false,"suffix":""}],"container-title":"Vasa","editor":[{"dropping-particle":"","family":"Gerardi","given":"Michael H","non-dropping-particle":"","parse-names":false,"suffix":""}],"id":"ITEM-1","issued":{"date-parts":[["2003"]]},"publisher":"John Wiley &amp; Sons, Inc.","publisher-place":"Hoboken, New Jersey, USA","title":"The Microbiology of Anaerobic Digesters","type":"book"},"uris":["http://www.mendeley.com/documents/?uuid=81a342ae-60fa-49a2-8b1d-3ae0fb3055c3"]}],"mendeley":{"formattedCitation":"(Gerardi, 2003)","manualFormatting":"Gerardi (2003)","plainTextFormattedCitation":"(Gerardi, 2003)","previouslyFormattedCitation":"(Gerardi, 2003)"},"properties":{"noteIndex":0},"schema":"https://github.com/citation-style-language/schema/raw/master/csl-citation.json"}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Gerardi (2003)</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{"citationItems":[{"id":"ITEM-1","itemData":{"DOI":"10.1023/B:WATE.0000019932.04020.b6","ISBN":"0049-6979","ISSN":"00496979","abstract":"Because of its agronomic benefits, farm-scale composting is an efficient means of recycling agricultural waste. Composting process is an aerobic degradation of fresh organic matter in mature compost. Nevertheless, according to the literature, composting may induce some environmental problems. The environmental impacts of composting will be described, along with an assessment of farm-scale composting practices which play a major role in pollution. The main environmental components potentially affected by composting pollution are air and water. Various gases released by composting, such as NH3, CH4 and N2O, can impact air quality and are therefore studied because they all have environmental impacts and can be controlled by composting management. The effect on water quality can be evaluated by considering loss of NO3-, NH4+, organic compounds and PO43-. Technical evaluation criteria for the impact of farm-scale composting on the air are determined from the physical and chemical characteristics of the raw materials, the use of additives, the turning method and frequency and the duration of the composting operations. Regarding water, the weather conditions at the beginning of the composting operation, the location of the heap, the protection against rain, the water addition during the process, the use of covers and the recovery of leaching and runoff water are also taken into account. The two main practices which control the air and water pollution from composting are: the choice of the raw material which influences gas emissions and the choice of composting location which have an high effect on losses by leaching and runoff. © 2004 Kluwer Academic Publishers.","author":[{"dropping-particle":"","family":"Peigne","given":"Josephine","non-dropping-particle":"","parse-names":false,"suffix":""},{"dropping-particle":"","family":"Girardin","given":"Philippe","non-dropping-particle":"","parse-names":false,"suffix":""}],"container-title":"Water, Air, and Soil Pollution","id":"ITEM-1","issued":{"date-parts":[["2004"]]},"page":"45-68","title":"Environmental impacts of farm-scale composting practices","type":"article-journal","volume":"153"},"uris":["http://www.mendeley.com/documents/?uuid=1cac405a-2c5f-4ec5-905c-fffa125841e9"]}],"mendeley":{"formattedCitation":"(Peigne and Girardin, 2004)","manualFormatting":"Peigne &amp; Girardin (2004)","plainTextFormattedCitation":"(Peigne and Girardin, 2004)","previouslyFormattedCitation":"(Peigne and Girardin, 2004)"},"properties":{"noteIndex":0},"schema":"https://github.com/citation-style-language/schema/raw/master/csl-citation.json"}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Peigne &amp; Girardin (2004)</w:t>
            </w:r>
            <w:r w:rsidRPr="00C81B1E">
              <w:rPr>
                <w:rFonts w:eastAsia="Calibri"/>
                <w:lang w:val="en-GB" w:eastAsia="en-US"/>
              </w:rPr>
              <w:fldChar w:fldCharType="end"/>
            </w:r>
          </w:p>
        </w:tc>
      </w:tr>
      <w:tr w:rsidR="00C81B1E" w:rsidRPr="00C81B1E" w14:paraId="2B0F4961"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7AD2891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CO</w:t>
            </w:r>
          </w:p>
        </w:tc>
        <w:tc>
          <w:tcPr>
            <w:tcW w:w="992" w:type="dxa"/>
            <w:tcBorders>
              <w:top w:val="single" w:sz="4" w:space="0" w:color="7F7F7F"/>
              <w:bottom w:val="single" w:sz="4" w:space="0" w:color="7F7F7F"/>
            </w:tcBorders>
            <w:shd w:val="clear" w:color="auto" w:fill="auto"/>
            <w:noWrap/>
            <w:vAlign w:val="center"/>
            <w:hideMark/>
          </w:tcPr>
          <w:p w14:paraId="79E259A6"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7B961FED"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615" w:type="dxa"/>
            <w:tcBorders>
              <w:top w:val="single" w:sz="4" w:space="0" w:color="7F7F7F"/>
              <w:bottom w:val="single" w:sz="4" w:space="0" w:color="7F7F7F"/>
            </w:tcBorders>
            <w:shd w:val="clear" w:color="auto" w:fill="auto"/>
            <w:noWrap/>
            <w:vAlign w:val="center"/>
            <w:hideMark/>
          </w:tcPr>
          <w:p w14:paraId="4953B338"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{"citationItems":[{"id":"ITEM-1","itemData":{"ISBN":"0-471-20693-8","ISSN":"03043894","PMID":"15003161","abstract":"Anaerobic digestion is a biochemical degradation process that converts complex organic material, such as animal manure, into methane and other byproducts. Part of the author's Wastewater Microbiology series, Microbiology of Anareboic Digesters eschews technical jargon to deliver a practical, how-to guide for wastewater plant operators.","author":[{"dropping-particle":"","family":"Gerardi","given":"Michael H","non-dropping-particle":"","parse-names":false,"suffix":""}],"container-title":"Vasa","editor":[{"dropping-particle":"","family":"Gerardi","given":"Michael H","non-dropping-particle":"","parse-names":false,"suffix":""}],"id":"ITEM-1","issued":{"date-parts":[["2003"]]},"publisher":"John Wiley &amp; Sons, Inc.","publisher-place":"Hoboken, New Jersey, USA","title":"The Microbiology of Anaerobic Digesters","type":"book"},"uris":["http://www.mendeley.com/documents/?uuid=81a342ae-60fa-49a2-8b1d-3ae0fb3055c3"]}],"mendeley":{"formattedCitation":"(Gerardi, 2003)","manualFormatting":"Gerardi (2003)","plainTextFormattedCitation":"(Gerardi, 2003)","previouslyFormattedCitation":"(Gerardi, 2003)"},"properties":{"noteIndex":0},"schema":"https://github.com/citation-style-language/schema/raw/master/csl-citation.json"}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Gerardi (2003)</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esconrec.2014.07.005","ISSN":"09213449","author":[{"dropping-particle":"","family":"Zhao","given":"Yan","non-dropping-particle":"","parse-names":false,"suffix":""},{"dropping-particle":"","family":"Deng","given":"Wenjing","non-dropping-particle":"","parse-names":false,"suffix":""}],"container-title":"Resources, Conservation and Recycling","id":"ITEM-1","issued":{"date-parts":[["2014"]]},"page":"214-221","publisher":"Elsevier B.V.","title":"Environmental impacts of different food waste resource technologies and the effects of energy mix","type":"article-journal","volume":"92"},"uris":["http://www.mendeley.com/documents/?uuid=33d05458-cf59-4c5a-b8f6-84e40ad8e9f5"]}],"mendeley":{"formattedCitation":"(Zhao and Deng, 2014)","manualFormatting":"Zhao &amp; Deng (2014)","plainTextFormattedCitation":"(Zhao and Deng, 2014)","previouslyFormattedCitation":"(Zhao and Deng,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Zhao &amp; Deng (2014)</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3C9E2847" w14:textId="77777777" w:rsidTr="00C81B1E">
        <w:trPr>
          <w:trHeight w:val="285"/>
        </w:trPr>
        <w:tc>
          <w:tcPr>
            <w:tcW w:w="1560" w:type="dxa"/>
            <w:shd w:val="clear" w:color="auto" w:fill="auto"/>
            <w:noWrap/>
            <w:vAlign w:val="center"/>
            <w:hideMark/>
          </w:tcPr>
          <w:p w14:paraId="047EE682"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Dust</w:t>
            </w:r>
          </w:p>
        </w:tc>
        <w:tc>
          <w:tcPr>
            <w:tcW w:w="992" w:type="dxa"/>
            <w:shd w:val="clear" w:color="auto" w:fill="auto"/>
            <w:noWrap/>
            <w:vAlign w:val="center"/>
            <w:hideMark/>
          </w:tcPr>
          <w:p w14:paraId="135DBBA8"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0DF4D8E0" w14:textId="77777777" w:rsidR="00C7764C" w:rsidRPr="00C81B1E" w:rsidRDefault="00C7764C" w:rsidP="00C81B1E">
            <w:pPr>
              <w:pStyle w:val="MDPI42tablebody"/>
              <w:rPr>
                <w:rFonts w:eastAsia="Calibri"/>
                <w:lang w:val="en-GB" w:eastAsia="en-US"/>
              </w:rPr>
            </w:pPr>
            <w:r w:rsidRPr="00C81B1E">
              <w:rPr>
                <w:rFonts w:eastAsia="Calibri"/>
                <w:lang w:val="en-GB" w:eastAsia="en-US"/>
              </w:rPr>
              <w:t>T, TT</w:t>
            </w:r>
          </w:p>
        </w:tc>
        <w:tc>
          <w:tcPr>
            <w:tcW w:w="5615" w:type="dxa"/>
            <w:shd w:val="clear" w:color="auto" w:fill="auto"/>
            <w:noWrap/>
            <w:vAlign w:val="center"/>
            <w:hideMark/>
          </w:tcPr>
          <w:p w14:paraId="0530CFBD"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T: </w:t>
            </w:r>
            <w:r w:rsidRPr="00C81B1E">
              <w:rPr>
                <w:rFonts w:eastAsia="Calibri"/>
                <w:lang w:val="en-GB" w:eastAsia="en-US"/>
              </w:rPr>
              <w:fldChar w:fldCharType="begin" w:fldLock="1"/>
            </w:r>
            <w:r w:rsidRPr="00C81B1E">
              <w:rPr>
                <w:rFonts w:eastAsia="Calibri"/>
                <w:lang w:val="en-GB" w:eastAsia="en-US"/>
              </w:rPr>
              <w:instrText>ADDIN CSL_CITATION {"citationItems":[{"id":"ITEM-1","itemData":{"DOI":"10.2166/wst.2015.307","ISSN":"02731223","author":[{"dropping-particle":"","family":"Wada","given":"K.","non-dropping-particle":"","parse-names":false,"suffix":""},{"dropping-particle":"","family":"Takei","given":"N.","non-dropping-particle":"","parse-names":false,"suffix":""},{"dropping-particle":"","family":"Sato","given":"T.","non-dropping-particle":"","parse-names":false,"suffix":""},{"dropping-particle":"","family":"Tsuno","given":"H.","non-dropping-particle":"","parse-names":false,"suffix":""}],"container-title":"Water Science and Technology","id":"ITEM-1","issue":"7","issued":{"date-parts":[["2015"]]},"page":"1234-1242","title":"Sources of organic matter in first flush runoff from urban roadways","type":"article-journal","volume":"72"},"uris":["http://www.mendeley.com/documents/?uuid=bdee2e3d-775a-41c6-a7d9-a8dd2af0d467"]}],"mendeley":{"formattedCitation":"(Wada et al., 2015)","manualFormatting":"Wada et al. (2015)","plainTextFormattedCitation":"(Wada et al., 2015)","previouslyFormattedCitation":"(Wada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Wada et al. (2015)</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{"citationItems":[{"id":"ITEM-1","itemData":{"author":[{"dropping-particle":"","family":"European Commission","given":"","non-dropping-particle":"","parse-names":false,"suffix":""}],"container-title":"Integrated Pollution Prevention and Control","id":"ITEM-1","issue":"August","issued":{"date-parts":[["2006"]]},"title":"Reference Document on Best Available Techniques for the Waste Treatments Industries","type":"report"},"uris":["http://www.mendeley.com/documents/?uuid=58e6a977-0d31-42f7-a7ab-f8c0bc496360"]}],"mendeley":{"formattedCitation":"(European Commission, 2006b)","manualFormatting":"European Commission (2006a)","plainTextFormattedCitation":"(European Commission, 2006b)","previouslyFormattedCitation":"(European Commission, 2006b)"},"properties":{"noteIndex":0},"schema":"https://github.com/citation-style-language/schema/raw/master/csl-citation.json"}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(2006a)</w:t>
            </w:r>
            <w:r w:rsidRPr="00C81B1E">
              <w:rPr>
                <w:rFonts w:eastAsia="Calibri"/>
                <w:lang w:val="en-GB" w:eastAsia="en-US"/>
              </w:rPr>
              <w:fldChar w:fldCharType="end"/>
            </w:r>
          </w:p>
        </w:tc>
      </w:tr>
      <w:tr w:rsidR="00C81B1E" w:rsidRPr="00C81B1E" w14:paraId="44B5C09C"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1A7C027D"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PM&lt;10</w:t>
            </w:r>
          </w:p>
        </w:tc>
        <w:tc>
          <w:tcPr>
            <w:tcW w:w="992" w:type="dxa"/>
            <w:tcBorders>
              <w:top w:val="single" w:sz="4" w:space="0" w:color="7F7F7F"/>
              <w:bottom w:val="single" w:sz="4" w:space="0" w:color="7F7F7F"/>
            </w:tcBorders>
            <w:shd w:val="clear" w:color="auto" w:fill="auto"/>
            <w:noWrap/>
            <w:vAlign w:val="center"/>
            <w:hideMark/>
          </w:tcPr>
          <w:p w14:paraId="22782EF5"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77AE33A9" w14:textId="77777777" w:rsidR="00C7764C" w:rsidRPr="00C81B1E" w:rsidRDefault="00C7764C" w:rsidP="00C81B1E">
            <w:pPr>
              <w:pStyle w:val="MDPI42tablebody"/>
              <w:rPr>
                <w:rFonts w:eastAsia="Calibri"/>
                <w:lang w:val="en-GB" w:eastAsia="en-US"/>
              </w:rPr>
            </w:pPr>
            <w:r w:rsidRPr="00C81B1E">
              <w:rPr>
                <w:rFonts w:eastAsia="Calibri"/>
                <w:lang w:val="en-GB" w:eastAsia="en-US"/>
              </w:rPr>
              <w:t>T, AD, C, TT</w:t>
            </w:r>
          </w:p>
        </w:tc>
        <w:tc>
          <w:tcPr>
            <w:tcW w:w="5615" w:type="dxa"/>
            <w:tcBorders>
              <w:top w:val="single" w:sz="4" w:space="0" w:color="7F7F7F"/>
              <w:bottom w:val="single" w:sz="4" w:space="0" w:color="7F7F7F"/>
            </w:tcBorders>
            <w:shd w:val="clear" w:color="auto" w:fill="auto"/>
            <w:noWrap/>
            <w:vAlign w:val="center"/>
            <w:hideMark/>
          </w:tcPr>
          <w:p w14:paraId="7100BF3F"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oer","given":"Eelco","non-dropping-particle":"den","parse-names":false,"suffix":""},{"dropping-particle":"","family":"Brouwer","given":"Femke","non-dropping-particle":"","parse-names":false,"suffix":""},{"dropping-particle":"","family":"Schroten","given":"Arno","non-dropping-particle":"","parse-names":false,"suffix":""},{"dropping-particle":"","family":"Essen","given":"Huib","non-dropping-particle":"van","parse-names":false,"suffix":""}],"container-title":"CE Delft","id":"ITEM-1","issue":"January","issued":{"date-parts":[["2009"]]},"publisher-place":"Delft (The Netherlands)","title":"Are trucks taking their toll? The environmental, safety and congestion impacts of lorries in the EU","type":"report"},"uris":["http://www.mendeley.com/documents/?uuid=0a2a7979-9117-494f-a663-f531463bad76"]}],"mendeley":{"formattedCitation":"(den Boer et al., 2009)","manualFormatting":"den Boer et al. (2009)","plainTextFormattedCitation":"(den Boer et al., 2009)","previouslyFormattedCitation":"(den Boer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den Boer et al. (2009)</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{"citationItems":[{"id":"ITEM-1","itemData":{"DOI":"10.1016/j.energy.2008.08.023","ISBN":"0360-5442","ISSN":"03605442","PMID":"18024489","abstract":"This paper focuses on a Life Cycle Assessment (LCA) of four waste management strategies: landfill without biogas utilization; landfill with biogas combustion to generate electricity; sorting plant which splits the inorganic waste fraction (used to produce electricity via Refuse Derived Fuels, RDF) from the organic waste fraction (used to produce biogas via anaerobic digestion); direct incineration of waste. These scenarios are applied to the waste amount and composition of the Municipality of Roma (Italy) and are evaluated under different points of view: global and local emissions, total material demands, total energy requirements and ecological footprints. Results, reliable for most of the European big cities, show landfill systems as the worst waste management options and significant environmental savings at global scale are achieved from undertaking energy recycling. Furthermore, waste treatments finalized to energy recovery provide an energy output that, in the best case, is able to meet the 15% of Roma electricity consumption. ?? 2008 Elsevier Ltd. All rights reserved.","author":[{"dropping-particle":"","family":"Cherubini","given":"Francesco","non-dropping-particle":"","parse-names":false,"suffix":""},{"dropping-particle":"","family":"Bargigli","given":"Silvia","non-dropping-particle":"","parse-names":false,"suffix":""},{"dropping-particle":"","family":"Ulgiati","given":"Sergio","non-dropping-particle":"","parse-names":false,"suffix":""}],"container-title":"Energy","id":"ITEM-1","issue":"12","issued":{"date-parts":[["2009"]]},"page":"2116-2123","publisher":"Elsevier Ltd","title":"Life cycle assessment (LCA) of waste management strategies: Landfilling, sorting plant and incineration","type":"article-journal","volume":"34"},"uris":["http://www.mendeley.com/documents/?uuid=101d9caf-c6ec-4d3d-82bf-e95e3cdb0935"]}],"mendeley":{"formattedCitation":"(Cherubini et al., 2009)","manualFormatting":"Cherubini et al. (2009)","plainTextFormattedCitation":"(Cherubini et al., 2009)","previouslyFormattedCitation":"(Cherubini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Cherubini et al. (2009)</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esconrec.2014.07.005","ISSN":"09213449","author":[{"dropping-particle":"","family":"Zhao","given":"Yan","non-dropping-particle":"","parse-names":false,"suffix":""},{"dropping-particle":"","family":"Deng","given":"Wenjing","non-dropping-particle":"","parse-names":false,"suffix":""}],"container-title":"Resources, Conservation and Recycling","id":"ITEM-1","issued":{"date-parts":[["2014"]]},"page":"214-221","publisher":"Elsevier B.V.","title":"Environmental impacts of different food waste resource technologies and the effects of energy mix","type":"article-journal","volume":"92"},"uris":["http://www.mendeley.com/documents/?uuid=33d05458-cf59-4c5a-b8f6-84e40ad8e9f5"]}],"mendeley":{"formattedCitation":"(Zhao and Deng, 2014)","manualFormatting":"Zhao &amp; Deng (2014)","plainTextFormattedCitation":"(Zhao and Deng, 2014)","previouslyFormattedCitation":"(Zhao and Deng,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Zhao &amp; Deng (2014)</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7ED915FD" w14:textId="77777777" w:rsidTr="00C81B1E">
        <w:trPr>
          <w:trHeight w:val="285"/>
        </w:trPr>
        <w:tc>
          <w:tcPr>
            <w:tcW w:w="1560" w:type="dxa"/>
            <w:shd w:val="clear" w:color="auto" w:fill="auto"/>
            <w:noWrap/>
            <w:vAlign w:val="center"/>
            <w:hideMark/>
          </w:tcPr>
          <w:p w14:paraId="0BAAE9B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PM&lt;2.5</w:t>
            </w:r>
          </w:p>
        </w:tc>
        <w:tc>
          <w:tcPr>
            <w:tcW w:w="992" w:type="dxa"/>
            <w:shd w:val="clear" w:color="auto" w:fill="auto"/>
            <w:noWrap/>
            <w:vAlign w:val="center"/>
            <w:hideMark/>
          </w:tcPr>
          <w:p w14:paraId="36D5623B"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33264D39" w14:textId="77777777" w:rsidR="00C7764C" w:rsidRPr="00C81B1E" w:rsidRDefault="00C7764C" w:rsidP="00C81B1E">
            <w:pPr>
              <w:pStyle w:val="MDPI42tablebody"/>
              <w:rPr>
                <w:rFonts w:eastAsia="Calibri"/>
                <w:lang w:val="en-GB" w:eastAsia="en-US"/>
              </w:rPr>
            </w:pPr>
            <w:r w:rsidRPr="00C81B1E">
              <w:rPr>
                <w:rFonts w:eastAsia="Calibri"/>
                <w:lang w:val="en-GB" w:eastAsia="en-US"/>
              </w:rPr>
              <w:t>T, TT</w:t>
            </w:r>
          </w:p>
        </w:tc>
        <w:tc>
          <w:tcPr>
            <w:tcW w:w="5615" w:type="dxa"/>
            <w:shd w:val="clear" w:color="auto" w:fill="auto"/>
            <w:noWrap/>
            <w:vAlign w:val="center"/>
            <w:hideMark/>
          </w:tcPr>
          <w:p w14:paraId="5F6D4ABD"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oer","given":"Eelco","non-dropping-particle":"den","parse-names":false,"suffix":""},{"dropping-particle":"","family":"Brouwer","given":"Femke","non-dropping-particle":"","parse-names":false,"suffix":""},{"dropping-particle":"","family":"Schroten","given":"Arno","non-dropping-particle":"","parse-names":false,"suffix":""},{"dropping-particle":"","family":"Essen","given":"Huib","non-dropping-particle":"van","parse-names":false,"suffix":""}],"container-title":"CE Delft","id":"ITEM-1","issue":"January","issued":{"date-parts":[["2009"]]},"publisher-place":"Delft (The Netherlands)","title":"Are trucks taking their toll? The environmental, safety and congestion impacts of lorries in the EU","type":"report"},"uris":["http://www.mendeley.com/documents/?uuid=0a2a7979-9117-494f-a663-f531463bad76"]}],"mendeley":{"formattedCitation":"(den Boer et al., 2009)","manualFormatting":"den Boer et al. (2009)","plainTextFormattedCitation":"(den Boer et al., 2009)","previouslyFormattedCitation":"(den Boer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den Boer et al. (2009)</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5C7F248E"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692D893D"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As</w:t>
            </w:r>
          </w:p>
        </w:tc>
        <w:tc>
          <w:tcPr>
            <w:tcW w:w="992" w:type="dxa"/>
            <w:tcBorders>
              <w:top w:val="single" w:sz="4" w:space="0" w:color="7F7F7F"/>
              <w:bottom w:val="single" w:sz="4" w:space="0" w:color="7F7F7F"/>
            </w:tcBorders>
            <w:shd w:val="clear" w:color="auto" w:fill="auto"/>
            <w:noWrap/>
            <w:vAlign w:val="center"/>
            <w:hideMark/>
          </w:tcPr>
          <w:p w14:paraId="12F6CC98"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2113981F"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615" w:type="dxa"/>
            <w:vMerge w:val="restart"/>
            <w:tcBorders>
              <w:top w:val="single" w:sz="4" w:space="0" w:color="7F7F7F"/>
              <w:bottom w:val="single" w:sz="4" w:space="0" w:color="7F7F7F"/>
            </w:tcBorders>
            <w:shd w:val="clear" w:color="auto" w:fill="auto"/>
            <w:noWrap/>
            <w:vAlign w:val="center"/>
            <w:hideMark/>
          </w:tcPr>
          <w:p w14:paraId="07BF99E2"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{"citationItems":[{"id":"ITEM-1","itemData":{"DOI":"10.1016/j.scitotenv.2007.06.037","ISBN":"0048-9697","ISSN":"0048-9697","PMID":"17761214","abstract":"During the last decade, there have been remarkable changes in food waste management in Korea following a ban on direct landfilling. To evaluate the environmental impacts of food waste management systems, we examined individual treatment systems with the LCA approach -- landfill, incineration, composting, and feed manufacturing -- and estimated the change from 1997 to 2005. The efficient system was different in each impact category, but it was evaluated that landfill is the main contributor to human toxicity and global warming (based on fossil CO(2)). In contrast, due to the increase of food waste recycling, acidification, eutrophication, and fresh water aquatic ecotoxicity impact was increased. Especially, the high energy consumption and generated residue in recycling systems caused the large burdens in toxicity categories.","author":[{"dropping-particle":"","family":"Lee","given":"Suk-Hui","non-dropping-particle":"","parse-names":false,"suffix":""},{"dropping-particle":"","family":"Choi","given":"Ki-In","non-dropping-particle":"","parse-names":false,"suffix":""},{"dropping-particle":"","family":"Osako","given":"Masahiro","non-dropping-particle":"","parse-names":false,"suffix":""},{"dropping-particle":"","family":"Dong","given":"Jong-In","non-dropping-particle":"","parse-names":false,"suffix":""}],"container-title":"The Science of the Total Environment","id":"ITEM-1","issue":"1-3","issued":{"date-parts":[["2007"]]},"page":"42-53","title":"Evaluation of environmental burdens caused by changes of food waste management systems in Seoul, Korea","type":"article-journal","volume":"387"},"uris":["http://www.mendeley.com/documents/?uuid=8f64984c-3fd3-4af6-a302-a6effe418376"]}],"mendeley":{"formattedCitation":"(Lee et al., 2007)","manualFormatting":"Lee et al. (2007)","plainTextFormattedCitation":"(Lee et al., 2007)","previouslyFormattedCitation":"(Lee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Lee et al. (2007)</w:t>
            </w:r>
            <w:r w:rsidRPr="00C81B1E">
              <w:rPr>
                <w:rFonts w:eastAsia="Calibri"/>
                <w:lang w:val="en-GB" w:eastAsia="en-US"/>
              </w:rPr>
              <w:fldChar w:fldCharType="end"/>
            </w:r>
          </w:p>
        </w:tc>
      </w:tr>
      <w:tr w:rsidR="00C81B1E" w:rsidRPr="00C81B1E" w14:paraId="09364D8D" w14:textId="77777777" w:rsidTr="00C81B1E">
        <w:trPr>
          <w:trHeight w:val="285"/>
        </w:trPr>
        <w:tc>
          <w:tcPr>
            <w:tcW w:w="1560" w:type="dxa"/>
            <w:shd w:val="clear" w:color="auto" w:fill="auto"/>
            <w:noWrap/>
            <w:vAlign w:val="center"/>
            <w:hideMark/>
          </w:tcPr>
          <w:p w14:paraId="14AA30E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Cd</w:t>
            </w:r>
          </w:p>
        </w:tc>
        <w:tc>
          <w:tcPr>
            <w:tcW w:w="992" w:type="dxa"/>
            <w:shd w:val="clear" w:color="auto" w:fill="auto"/>
            <w:noWrap/>
            <w:vAlign w:val="center"/>
            <w:hideMark/>
          </w:tcPr>
          <w:p w14:paraId="6023F007"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5DBC2704"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615" w:type="dxa"/>
            <w:vMerge/>
            <w:shd w:val="clear" w:color="auto" w:fill="auto"/>
            <w:noWrap/>
            <w:vAlign w:val="center"/>
          </w:tcPr>
          <w:p w14:paraId="1631A291" w14:textId="77777777" w:rsidR="00C7764C" w:rsidRPr="00C81B1E" w:rsidRDefault="00C7764C" w:rsidP="00C81B1E">
            <w:pPr>
              <w:pStyle w:val="MDPI42tablebody"/>
              <w:rPr>
                <w:rFonts w:eastAsia="Calibri"/>
                <w:lang w:val="en-GB" w:eastAsia="en-US"/>
              </w:rPr>
            </w:pPr>
          </w:p>
        </w:tc>
      </w:tr>
      <w:tr w:rsidR="00C81B1E" w:rsidRPr="00C81B1E" w14:paraId="1350AEAD"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0349C88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Hg</w:t>
            </w:r>
          </w:p>
        </w:tc>
        <w:tc>
          <w:tcPr>
            <w:tcW w:w="992" w:type="dxa"/>
            <w:tcBorders>
              <w:top w:val="single" w:sz="4" w:space="0" w:color="7F7F7F"/>
              <w:bottom w:val="single" w:sz="4" w:space="0" w:color="7F7F7F"/>
            </w:tcBorders>
            <w:shd w:val="clear" w:color="auto" w:fill="auto"/>
            <w:noWrap/>
            <w:vAlign w:val="center"/>
            <w:hideMark/>
          </w:tcPr>
          <w:p w14:paraId="409EC69F"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2636AAF7"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615" w:type="dxa"/>
            <w:vMerge/>
            <w:tcBorders>
              <w:top w:val="single" w:sz="4" w:space="0" w:color="7F7F7F"/>
              <w:bottom w:val="single" w:sz="4" w:space="0" w:color="7F7F7F"/>
            </w:tcBorders>
            <w:shd w:val="clear" w:color="auto" w:fill="auto"/>
            <w:noWrap/>
            <w:vAlign w:val="center"/>
          </w:tcPr>
          <w:p w14:paraId="1A49911C" w14:textId="77777777" w:rsidR="00C7764C" w:rsidRPr="00C81B1E" w:rsidRDefault="00C7764C" w:rsidP="00C81B1E">
            <w:pPr>
              <w:pStyle w:val="MDPI42tablebody"/>
              <w:rPr>
                <w:rFonts w:eastAsia="Calibri"/>
                <w:lang w:val="en-GB" w:eastAsia="en-US"/>
              </w:rPr>
            </w:pPr>
          </w:p>
        </w:tc>
      </w:tr>
      <w:tr w:rsidR="00C81B1E" w:rsidRPr="00C81B1E" w14:paraId="02DF5FB2" w14:textId="77777777" w:rsidTr="00C81B1E">
        <w:trPr>
          <w:trHeight w:val="285"/>
        </w:trPr>
        <w:tc>
          <w:tcPr>
            <w:tcW w:w="1560" w:type="dxa"/>
            <w:shd w:val="clear" w:color="auto" w:fill="auto"/>
            <w:noWrap/>
            <w:vAlign w:val="center"/>
            <w:hideMark/>
          </w:tcPr>
          <w:p w14:paraId="1949CB9D"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Zn</w:t>
            </w:r>
          </w:p>
        </w:tc>
        <w:tc>
          <w:tcPr>
            <w:tcW w:w="992" w:type="dxa"/>
            <w:shd w:val="clear" w:color="auto" w:fill="auto"/>
            <w:noWrap/>
            <w:vAlign w:val="center"/>
            <w:hideMark/>
          </w:tcPr>
          <w:p w14:paraId="3F14F251"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21A0F4AE"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615" w:type="dxa"/>
            <w:vMerge/>
            <w:shd w:val="clear" w:color="auto" w:fill="auto"/>
            <w:noWrap/>
            <w:vAlign w:val="center"/>
          </w:tcPr>
          <w:p w14:paraId="36D7763A" w14:textId="77777777" w:rsidR="00C7764C" w:rsidRPr="00C81B1E" w:rsidRDefault="00C7764C" w:rsidP="00C81B1E">
            <w:pPr>
              <w:pStyle w:val="MDPI42tablebody"/>
              <w:rPr>
                <w:rFonts w:eastAsia="Calibri"/>
                <w:lang w:val="en-GB" w:eastAsia="en-US"/>
              </w:rPr>
            </w:pPr>
          </w:p>
        </w:tc>
      </w:tr>
      <w:tr w:rsidR="00C81B1E" w:rsidRPr="00C81B1E" w14:paraId="03E807A8"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4E66F43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Cr</w:t>
            </w:r>
          </w:p>
        </w:tc>
        <w:tc>
          <w:tcPr>
            <w:tcW w:w="992" w:type="dxa"/>
            <w:tcBorders>
              <w:top w:val="single" w:sz="4" w:space="0" w:color="7F7F7F"/>
              <w:bottom w:val="single" w:sz="4" w:space="0" w:color="7F7F7F"/>
            </w:tcBorders>
            <w:shd w:val="clear" w:color="auto" w:fill="auto"/>
            <w:noWrap/>
            <w:vAlign w:val="center"/>
            <w:hideMark/>
          </w:tcPr>
          <w:p w14:paraId="5EB41044"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3CE0DE37"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615" w:type="dxa"/>
            <w:vMerge/>
            <w:tcBorders>
              <w:top w:val="single" w:sz="4" w:space="0" w:color="7F7F7F"/>
              <w:bottom w:val="single" w:sz="4" w:space="0" w:color="7F7F7F"/>
            </w:tcBorders>
            <w:shd w:val="clear" w:color="auto" w:fill="auto"/>
            <w:noWrap/>
            <w:vAlign w:val="center"/>
          </w:tcPr>
          <w:p w14:paraId="19B9B1D5" w14:textId="77777777" w:rsidR="00C7764C" w:rsidRPr="00C81B1E" w:rsidRDefault="00C7764C" w:rsidP="00C81B1E">
            <w:pPr>
              <w:pStyle w:val="MDPI42tablebody"/>
              <w:rPr>
                <w:rFonts w:eastAsia="Calibri"/>
                <w:lang w:val="en-GB" w:eastAsia="en-US"/>
              </w:rPr>
            </w:pPr>
          </w:p>
        </w:tc>
      </w:tr>
      <w:tr w:rsidR="00C81B1E" w:rsidRPr="00C81B1E" w14:paraId="2253190B" w14:textId="77777777" w:rsidTr="00C81B1E">
        <w:trPr>
          <w:trHeight w:val="285"/>
        </w:trPr>
        <w:tc>
          <w:tcPr>
            <w:tcW w:w="1560" w:type="dxa"/>
            <w:shd w:val="clear" w:color="auto" w:fill="auto"/>
            <w:noWrap/>
            <w:vAlign w:val="center"/>
            <w:hideMark/>
          </w:tcPr>
          <w:p w14:paraId="777A723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Ni</w:t>
            </w:r>
          </w:p>
        </w:tc>
        <w:tc>
          <w:tcPr>
            <w:tcW w:w="992" w:type="dxa"/>
            <w:shd w:val="clear" w:color="auto" w:fill="auto"/>
            <w:noWrap/>
            <w:vAlign w:val="center"/>
            <w:hideMark/>
          </w:tcPr>
          <w:p w14:paraId="2F7DE043"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0B112A1B"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615" w:type="dxa"/>
            <w:vMerge/>
            <w:shd w:val="clear" w:color="auto" w:fill="auto"/>
            <w:noWrap/>
            <w:vAlign w:val="center"/>
          </w:tcPr>
          <w:p w14:paraId="2C891764" w14:textId="77777777" w:rsidR="00C7764C" w:rsidRPr="00C81B1E" w:rsidRDefault="00C7764C" w:rsidP="00C81B1E">
            <w:pPr>
              <w:pStyle w:val="MDPI42tablebody"/>
              <w:rPr>
                <w:rFonts w:eastAsia="Calibri"/>
                <w:lang w:val="en-GB" w:eastAsia="en-US"/>
              </w:rPr>
            </w:pPr>
          </w:p>
        </w:tc>
      </w:tr>
      <w:tr w:rsidR="00C81B1E" w:rsidRPr="00C81B1E" w14:paraId="0215E5F2" w14:textId="77777777" w:rsidTr="00C81B1E">
        <w:trPr>
          <w:trHeight w:val="285"/>
        </w:trPr>
        <w:tc>
          <w:tcPr>
            <w:tcW w:w="1560" w:type="dxa"/>
            <w:tcBorders>
              <w:top w:val="single" w:sz="4" w:space="0" w:color="7F7F7F"/>
              <w:bottom w:val="single" w:sz="4" w:space="0" w:color="7F7F7F"/>
            </w:tcBorders>
            <w:shd w:val="clear" w:color="auto" w:fill="auto"/>
            <w:noWrap/>
            <w:vAlign w:val="center"/>
            <w:hideMark/>
          </w:tcPr>
          <w:p w14:paraId="68F479E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Pb</w:t>
            </w:r>
          </w:p>
        </w:tc>
        <w:tc>
          <w:tcPr>
            <w:tcW w:w="992" w:type="dxa"/>
            <w:tcBorders>
              <w:top w:val="single" w:sz="4" w:space="0" w:color="7F7F7F"/>
              <w:bottom w:val="single" w:sz="4" w:space="0" w:color="7F7F7F"/>
            </w:tcBorders>
            <w:shd w:val="clear" w:color="auto" w:fill="auto"/>
            <w:noWrap/>
            <w:vAlign w:val="center"/>
            <w:hideMark/>
          </w:tcPr>
          <w:p w14:paraId="05F6B5D9"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64AAE826"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615" w:type="dxa"/>
            <w:vMerge/>
            <w:tcBorders>
              <w:top w:val="single" w:sz="4" w:space="0" w:color="7F7F7F"/>
              <w:bottom w:val="single" w:sz="4" w:space="0" w:color="7F7F7F"/>
            </w:tcBorders>
            <w:shd w:val="clear" w:color="auto" w:fill="auto"/>
            <w:noWrap/>
            <w:vAlign w:val="center"/>
          </w:tcPr>
          <w:p w14:paraId="0B98DAFD" w14:textId="77777777" w:rsidR="00C7764C" w:rsidRPr="00C81B1E" w:rsidRDefault="00C7764C" w:rsidP="00C81B1E">
            <w:pPr>
              <w:pStyle w:val="MDPI42tablebody"/>
              <w:rPr>
                <w:rFonts w:eastAsia="Calibri"/>
                <w:lang w:val="en-GB" w:eastAsia="en-US"/>
              </w:rPr>
            </w:pPr>
          </w:p>
        </w:tc>
      </w:tr>
      <w:tr w:rsidR="00C81B1E" w:rsidRPr="00C81B1E" w14:paraId="46D14EEE" w14:textId="77777777" w:rsidTr="00C81B1E">
        <w:trPr>
          <w:trHeight w:val="285"/>
        </w:trPr>
        <w:tc>
          <w:tcPr>
            <w:tcW w:w="1560" w:type="dxa"/>
            <w:shd w:val="clear" w:color="auto" w:fill="auto"/>
            <w:noWrap/>
            <w:vAlign w:val="center"/>
            <w:hideMark/>
          </w:tcPr>
          <w:p w14:paraId="1D2313B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Cu</w:t>
            </w:r>
          </w:p>
        </w:tc>
        <w:tc>
          <w:tcPr>
            <w:tcW w:w="992" w:type="dxa"/>
            <w:shd w:val="clear" w:color="auto" w:fill="auto"/>
            <w:noWrap/>
            <w:vAlign w:val="center"/>
            <w:hideMark/>
          </w:tcPr>
          <w:p w14:paraId="65B7F9B2"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shd w:val="clear" w:color="auto" w:fill="auto"/>
            <w:noWrap/>
            <w:vAlign w:val="center"/>
            <w:hideMark/>
          </w:tcPr>
          <w:p w14:paraId="5DF30491"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615" w:type="dxa"/>
            <w:vMerge/>
            <w:shd w:val="clear" w:color="auto" w:fill="auto"/>
            <w:noWrap/>
            <w:vAlign w:val="center"/>
          </w:tcPr>
          <w:p w14:paraId="4F0325E3" w14:textId="77777777" w:rsidR="00C7764C" w:rsidRPr="00C81B1E" w:rsidRDefault="00C7764C" w:rsidP="00C81B1E">
            <w:pPr>
              <w:pStyle w:val="MDPI42tablebody"/>
              <w:rPr>
                <w:rFonts w:eastAsia="Calibri"/>
                <w:lang w:val="en-GB" w:eastAsia="en-US"/>
              </w:rPr>
            </w:pPr>
          </w:p>
        </w:tc>
      </w:tr>
    </w:tbl>
    <w:p w14:paraId="66CDD5A7" w14:textId="77777777" w:rsidR="00C7764C" w:rsidRPr="00C7764C" w:rsidRDefault="00C7764C" w:rsidP="00C7764C">
      <w:pPr>
        <w:spacing w:after="160" w:line="259" w:lineRule="auto"/>
        <w:rPr>
          <w:rFonts w:eastAsia="Calibri"/>
          <w:color w:val="auto"/>
          <w:sz w:val="16"/>
          <w:szCs w:val="16"/>
          <w:lang w:val="en-GB" w:eastAsia="en-US"/>
        </w:rPr>
      </w:pPr>
    </w:p>
    <w:p w14:paraId="3305271C" w14:textId="77777777" w:rsidR="00C7764C" w:rsidRPr="00C7764C" w:rsidRDefault="00C7764C" w:rsidP="00BA2E09">
      <w:pPr>
        <w:pStyle w:val="MDPI41tablecaption"/>
        <w:rPr>
          <w:rFonts w:eastAsia="Calibri"/>
          <w:lang w:val="en-GB" w:eastAsia="en-US"/>
        </w:rPr>
      </w:pPr>
      <w:r w:rsidRPr="00C7764C">
        <w:rPr>
          <w:rFonts w:eastAsia="Calibri"/>
          <w:b/>
          <w:lang w:val="en-GB" w:eastAsia="en-US"/>
        </w:rPr>
        <w:t xml:space="preserve">Table </w:t>
      </w:r>
      <w:r w:rsidRPr="00C7764C">
        <w:rPr>
          <w:rFonts w:eastAsia="Calibri"/>
          <w:b/>
          <w:lang w:val="en-GB" w:eastAsia="en-US"/>
        </w:rPr>
        <w:fldChar w:fldCharType="begin"/>
      </w:r>
      <w:r w:rsidRPr="00C7764C">
        <w:rPr>
          <w:rFonts w:eastAsia="Calibri"/>
          <w:b/>
          <w:lang w:val="en-GB" w:eastAsia="en-US"/>
        </w:rPr>
        <w:instrText xml:space="preserve"> SEQ Table \* ARABIC </w:instrText>
      </w:r>
      <w:r w:rsidRPr="00C7764C">
        <w:rPr>
          <w:rFonts w:eastAsia="Calibri"/>
          <w:b/>
          <w:lang w:val="en-GB" w:eastAsia="en-US"/>
        </w:rPr>
        <w:fldChar w:fldCharType="separate"/>
      </w:r>
      <w:r w:rsidRPr="00C7764C">
        <w:rPr>
          <w:rFonts w:eastAsia="Calibri"/>
          <w:b/>
          <w:noProof/>
          <w:lang w:val="en-GB" w:eastAsia="en-US"/>
        </w:rPr>
        <w:t>7</w:t>
      </w:r>
      <w:r w:rsidRPr="00C7764C">
        <w:rPr>
          <w:rFonts w:eastAsia="Calibri"/>
          <w:b/>
          <w:lang w:val="en-GB" w:eastAsia="en-US"/>
        </w:rPr>
        <w:fldChar w:fldCharType="end"/>
      </w:r>
      <w:r w:rsidRPr="00C7764C">
        <w:rPr>
          <w:rFonts w:eastAsia="Calibri"/>
          <w:lang w:val="en-GB" w:eastAsia="en-US"/>
        </w:rPr>
        <w:t>. Environmental indicators: impacts to water</w:t>
      </w:r>
    </w:p>
    <w:tbl>
      <w:tblPr>
        <w:tblW w:w="9072" w:type="dxa"/>
        <w:tblBorders>
          <w:top w:val="single" w:sz="4" w:space="0" w:color="7F7F7F"/>
          <w:bottom w:val="single" w:sz="4" w:space="0" w:color="7F7F7F"/>
        </w:tblBorders>
        <w:tblLook w:val="04A0" w:firstRow="1" w:lastRow="0" w:firstColumn="1" w:lastColumn="0" w:noHBand="0" w:noVBand="1"/>
      </w:tblPr>
      <w:tblGrid>
        <w:gridCol w:w="1439"/>
        <w:gridCol w:w="1167"/>
        <w:gridCol w:w="899"/>
        <w:gridCol w:w="5567"/>
      </w:tblGrid>
      <w:tr w:rsidR="00C81B1E" w:rsidRPr="00C81B1E" w14:paraId="0E4A4390" w14:textId="77777777" w:rsidTr="00C81B1E">
        <w:trPr>
          <w:trHeight w:val="285"/>
        </w:trPr>
        <w:tc>
          <w:tcPr>
            <w:tcW w:w="1439" w:type="dxa"/>
            <w:tcBorders>
              <w:bottom w:val="single" w:sz="4" w:space="0" w:color="7F7F7F"/>
            </w:tcBorders>
            <w:shd w:val="clear" w:color="auto" w:fill="auto"/>
            <w:noWrap/>
            <w:vAlign w:val="center"/>
          </w:tcPr>
          <w:p w14:paraId="67BA3A8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Indicator</w:t>
            </w:r>
          </w:p>
        </w:tc>
        <w:tc>
          <w:tcPr>
            <w:tcW w:w="1167" w:type="dxa"/>
            <w:tcBorders>
              <w:bottom w:val="single" w:sz="4" w:space="0" w:color="7F7F7F"/>
            </w:tcBorders>
            <w:shd w:val="clear" w:color="auto" w:fill="auto"/>
            <w:noWrap/>
            <w:vAlign w:val="center"/>
          </w:tcPr>
          <w:p w14:paraId="6E64652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Example or unit</w:t>
            </w:r>
          </w:p>
        </w:tc>
        <w:tc>
          <w:tcPr>
            <w:tcW w:w="899" w:type="dxa"/>
            <w:tcBorders>
              <w:bottom w:val="single" w:sz="4" w:space="0" w:color="7F7F7F"/>
            </w:tcBorders>
            <w:shd w:val="clear" w:color="auto" w:fill="auto"/>
            <w:noWrap/>
            <w:vAlign w:val="center"/>
          </w:tcPr>
          <w:p w14:paraId="1C8AA24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FWMS</w:t>
            </w:r>
          </w:p>
        </w:tc>
        <w:tc>
          <w:tcPr>
            <w:tcW w:w="5567" w:type="dxa"/>
            <w:tcBorders>
              <w:bottom w:val="single" w:sz="4" w:space="0" w:color="7F7F7F"/>
            </w:tcBorders>
            <w:shd w:val="clear" w:color="auto" w:fill="auto"/>
            <w:noWrap/>
            <w:vAlign w:val="center"/>
          </w:tcPr>
          <w:p w14:paraId="0D804E5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Reference</w:t>
            </w:r>
          </w:p>
        </w:tc>
      </w:tr>
      <w:tr w:rsidR="00C81B1E" w:rsidRPr="00C81B1E" w14:paraId="45AC23EA"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520EAAA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lastRenderedPageBreak/>
              <w:t>Wastewater flow</w:t>
            </w:r>
          </w:p>
        </w:tc>
        <w:tc>
          <w:tcPr>
            <w:tcW w:w="1167" w:type="dxa"/>
            <w:tcBorders>
              <w:top w:val="single" w:sz="4" w:space="0" w:color="7F7F7F"/>
              <w:bottom w:val="single" w:sz="4" w:space="0" w:color="7F7F7F"/>
            </w:tcBorders>
            <w:shd w:val="clear" w:color="auto" w:fill="auto"/>
            <w:noWrap/>
            <w:vAlign w:val="center"/>
            <w:hideMark/>
          </w:tcPr>
          <w:p w14:paraId="17B4A8A0" w14:textId="77777777" w:rsidR="00C7764C" w:rsidRPr="00C81B1E" w:rsidRDefault="00C7764C" w:rsidP="00C81B1E">
            <w:pPr>
              <w:pStyle w:val="MDPI42tablebody"/>
              <w:rPr>
                <w:rFonts w:eastAsia="Calibri"/>
                <w:lang w:val="en-GB" w:eastAsia="en-US"/>
              </w:rPr>
            </w:pPr>
            <w:r w:rsidRPr="00C81B1E">
              <w:rPr>
                <w:rFonts w:eastAsia="Calibri"/>
                <w:lang w:val="en-GB" w:eastAsia="en-US"/>
              </w:rPr>
              <w:t>m</w:t>
            </w:r>
            <w:r w:rsidRPr="00C81B1E">
              <w:rPr>
                <w:rFonts w:eastAsia="Calibri"/>
                <w:vertAlign w:val="superscript"/>
                <w:lang w:val="en-GB" w:eastAsia="en-US"/>
              </w:rPr>
              <w:t>3</w:t>
            </w:r>
            <w:r w:rsidRPr="00C81B1E">
              <w:rPr>
                <w:rFonts w:eastAsia="Calibri"/>
                <w:lang w:val="en-GB" w:eastAsia="en-US"/>
              </w:rPr>
              <w:t>/day</w:t>
            </w:r>
          </w:p>
        </w:tc>
        <w:tc>
          <w:tcPr>
            <w:tcW w:w="899" w:type="dxa"/>
            <w:tcBorders>
              <w:top w:val="single" w:sz="4" w:space="0" w:color="7F7F7F"/>
              <w:bottom w:val="single" w:sz="4" w:space="0" w:color="7F7F7F"/>
            </w:tcBorders>
            <w:shd w:val="clear" w:color="auto" w:fill="auto"/>
            <w:noWrap/>
            <w:vAlign w:val="center"/>
            <w:hideMark/>
          </w:tcPr>
          <w:p w14:paraId="08B5B634" w14:textId="77777777" w:rsidR="00C7764C" w:rsidRPr="00C81B1E" w:rsidRDefault="00C7764C" w:rsidP="00C81B1E">
            <w:pPr>
              <w:pStyle w:val="MDPI42tablebody"/>
              <w:rPr>
                <w:rFonts w:eastAsia="Calibri"/>
                <w:lang w:val="en-GB" w:eastAsia="en-US"/>
              </w:rPr>
            </w:pPr>
            <w:r w:rsidRPr="00C81B1E">
              <w:rPr>
                <w:rFonts w:eastAsia="Calibri"/>
                <w:lang w:val="en-GB" w:eastAsia="en-US"/>
              </w:rPr>
              <w:t>AF, AD, C, TT</w:t>
            </w:r>
          </w:p>
        </w:tc>
        <w:tc>
          <w:tcPr>
            <w:tcW w:w="5567" w:type="dxa"/>
            <w:vMerge w:val="restart"/>
            <w:tcBorders>
              <w:top w:val="single" w:sz="4" w:space="0" w:color="7F7F7F"/>
              <w:bottom w:val="single" w:sz="4" w:space="0" w:color="7F7F7F"/>
            </w:tcBorders>
            <w:shd w:val="clear" w:color="auto" w:fill="auto"/>
            <w:noWrap/>
            <w:vAlign w:val="center"/>
            <w:hideMark/>
          </w:tcPr>
          <w:p w14:paraId="3E1BA595"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AF: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{"citationItems":[{"id":"ITEM-1","itemData":{"DOI":"10.1016/j.scitotenv.2007.06.037","ISBN":"0048-9697","ISSN":"0048-9697","PMID":"17761214","abstract":"During the last decade, there have been remarkable changes in food waste management in Korea following a ban on direct landfilling. To evaluate the environmental impacts of food waste management systems, we examined individual treatment systems with the LCA approach -- landfill, incineration, composting, and feed manufacturing -- and estimated the change from 1997 to 2005. The efficient system was different in each impact category, but it was evaluated that landfill is the main contributor to human toxicity and global warming (based on fossil CO(2)). In contrast, due to the increase of food waste recycling, acidification, eutrophication, and fresh water aquatic ecotoxicity impact was increased. Especially, the high energy consumption and generated residue in recycling systems caused the large burdens in toxicity categories.","author":[{"dropping-particle":"","family":"Lee","given":"Suk-Hui","non-dropping-particle":"","parse-names":false,"suffix":""},{"dropping-particle":"","family":"Choi","given":"Ki-In","non-dropping-particle":"","parse-names":false,"suffix":""},{"dropping-particle":"","family":"Osako","given":"Masahiro","non-dropping-particle":"","parse-names":false,"suffix":""},{"dropping-particle":"","family":"Dong","given":"Jong-In","non-dropping-particle":"","parse-names":false,"suffix":""}],"container-title":"The Science of the Total Environment","id":"ITEM-1","issue":"1-3","issued":{"date-parts":[["2007"]]},"page":"42-53","title":"Evaluation of environmental burdens caused by changes of food waste management systems in Seoul, Korea","type":"article-journal","volume":"387"},"uris":["http://www.mendeley.com/documents/?uuid=8f64984c-3fd3-4af6-a302-a6effe418376"]}],"mendeley":{"formattedCitation":"(Lee et al., 2007)","manualFormatting":"Lee et al. (2007)","plainTextFormattedCitation":"(Lee et al., 2007)","previouslyFormattedCitation":"(Lee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Lee et al. (2007)</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{"citationItems":[{"id":"ITEM-1","itemData":{"DOI":"10.1063/1.4935559","ISSN":"1941-7012","abstract":"This paper presents the results of laboratory experiments carried out on an anaerobic digestion of food waste with respect to the effect of solid concentration and pH. Total solid (TS) content ranging from 5.0% to 15.0% and pH value ranging from 5 to 9 were analyzed. Laboratory scale experiments using 2 l bioreactors were performed in batch mode operated at mesophilic temperature condition with a hydraulic retention time of 30 days. The cumulative volume of biogas produced was used to measure the reactor performance. The methane and carbon dioxide composition of the gas produced was measured using infra-red gas analyzers. The kinetics of biogas produced has been predicted using three different models (Gompertz model, modified Gompertz model, and Logistic model). The experimental results showed that the solid concentration 7.5% of TS and 7 pH produced a maximum biogas yield. The kinetic study showed that modified Gompertz model produced perfect goodness of fit and root mean square error when compared to other two models.","author":[{"dropping-particle":"","family":"Deepanraj","given":"B.","non-dropping-particle":"","parse-names":false,"suffix":""},{"dropping-particle":"","family":"Sivasubramanian","given":"V.","non-dropping-particle":"","parse-names":false,"suffix":""},{"dropping-particle":"","family":"Jayaraj","given":"S.","non-dropping-particle":"","parse-names":false,"suffix":""}],"container-title":"Journal of Renewable and Sustainable Energy","id":"ITEM-1","issue":"6","issued":{"date-parts":[["2015"]]},"page":"063104","title":"Experimental and kinetic study on anaerobic digestion of food waste: The effect of total solids and pH","type":"article-journal","volume":"7"},"uris":["http://www.mendeley.com/documents/?uuid=b4224b1b-2bea-4b79-a851-2dc2626c136b"]}],"mendeley":{"formattedCitation":"(Deepanraj et al., 2015)","manualFormatting":"Deepanraj et al. (2015)","plainTextFormattedCitation":"(Deepanraj et al., 2015)","previouslyFormattedCitation":"(Deepanraj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Deepanraj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{"citationItems":[{"id":"ITEM-1","itemData":{"DOI":"10.1023/B:WATE.0000019932.04020.b6","ISBN":"0049-6979","ISSN":"00496979","abstract":"Because of its agronomic benefits, farm-scale composting is an efficient means of recycling agricultural waste. Composting process is an aerobic degradation of fresh organic matter in mature compost. Nevertheless, according to the literature, composting may induce some environmental problems. The environmental impacts of composting will be described, along with an assessment of farm-scale composting practices which play a major role in pollution. The main environmental components potentially affected by composting pollution are air and water. Various gases released by composting, such as NH3, CH4 and N2O, can impact air quality and are therefore studied because they all have environmental impacts and can be controlled by composting management. The effect on water quality can be evaluated by considering loss of NO3-, NH4+, organic compounds and PO43-. Technical evaluation criteria for the impact of farm-scale composting on the air are determined from the physical and chemical characteristics of the raw materials, the use of additives, the turning method and frequency and the duration of the composting operations. Regarding water, the weather conditions at the beginning of the composting operation, the location of the heap, the protection against rain, the water addition during the process, the use of covers and the recovery of leaching and runoff water are also taken into account. The two main practices which control the air and water pollution from composting are: the choice of the raw material which influences gas emissions and the choice of composting location which have an high effect on losses by leaching and runoff. © 2004 Kluwer Academic Publishers.","author":[{"dropping-particle":"","family":"Peigne","given":"Josephine","non-dropping-particle":"","parse-names":false,"suffix":""},{"dropping-particle":"","family":"Girardin","given":"Philippe","non-dropping-particle":"","parse-names":false,"suffix":""}],"container-title":"Water, Air, and Soil Pollution","id":"ITEM-1","issued":{"date-parts":[["2004"]]},"page":"45-68","title":"Environmental impacts of farm-scale composting practices","type":"article-journal","volume":"153"},"uris":["http://www.mendeley.com/documents/?uuid=1cac405a-2c5f-4ec5-905c-fffa125841e9"]}],"mendeley":{"formattedCitation":"(Peigne and Girardin, 2004)","manualFormatting":"Peigne &amp; Girardin (2004)","plainTextFormattedCitation":"(Peigne and Girardin, 2004)","previouslyFormattedCitation":"(Peigne and Girardin, 2004)"},"properties":{"noteIndex":0},"schema":"https://github.com/citation-style-language/schema/raw/master/csl-citation.json"}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Peigne &amp; Girardin (2004)</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61A94A2F" w14:textId="77777777" w:rsidTr="00C81B1E">
        <w:trPr>
          <w:trHeight w:val="285"/>
        </w:trPr>
        <w:tc>
          <w:tcPr>
            <w:tcW w:w="1439" w:type="dxa"/>
            <w:shd w:val="clear" w:color="auto" w:fill="auto"/>
            <w:noWrap/>
            <w:vAlign w:val="center"/>
            <w:hideMark/>
          </w:tcPr>
          <w:p w14:paraId="77EA993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Chemical oxygen demand (COD)</w:t>
            </w:r>
          </w:p>
        </w:tc>
        <w:tc>
          <w:tcPr>
            <w:tcW w:w="1167" w:type="dxa"/>
            <w:shd w:val="clear" w:color="auto" w:fill="auto"/>
            <w:noWrap/>
            <w:vAlign w:val="center"/>
            <w:hideMark/>
          </w:tcPr>
          <w:p w14:paraId="7E05425F"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2AD043E7" w14:textId="77777777" w:rsidR="00C7764C" w:rsidRPr="00C81B1E" w:rsidRDefault="00C7764C" w:rsidP="00C81B1E">
            <w:pPr>
              <w:pStyle w:val="MDPI42tablebody"/>
              <w:rPr>
                <w:rFonts w:eastAsia="Calibri"/>
                <w:lang w:val="en-GB" w:eastAsia="en-US"/>
              </w:rPr>
            </w:pPr>
            <w:r w:rsidRPr="00C81B1E">
              <w:rPr>
                <w:rFonts w:eastAsia="Calibri"/>
                <w:lang w:val="en-GB" w:eastAsia="en-US"/>
              </w:rPr>
              <w:t>AF, AD, C, TT</w:t>
            </w:r>
          </w:p>
        </w:tc>
        <w:tc>
          <w:tcPr>
            <w:tcW w:w="5567" w:type="dxa"/>
            <w:vMerge/>
            <w:shd w:val="clear" w:color="auto" w:fill="auto"/>
            <w:noWrap/>
            <w:vAlign w:val="center"/>
            <w:hideMark/>
          </w:tcPr>
          <w:p w14:paraId="12C9C578" w14:textId="77777777" w:rsidR="00C7764C" w:rsidRPr="00C81B1E" w:rsidRDefault="00C7764C" w:rsidP="00C81B1E">
            <w:pPr>
              <w:pStyle w:val="MDPI42tablebody"/>
              <w:rPr>
                <w:rFonts w:eastAsia="Calibri"/>
                <w:lang w:val="en-GB" w:eastAsia="en-US"/>
              </w:rPr>
            </w:pPr>
          </w:p>
        </w:tc>
      </w:tr>
      <w:tr w:rsidR="00C81B1E" w:rsidRPr="00C81B1E" w14:paraId="5E42C609"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368FD2C1"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Biochemical oxygen demand (BOD)</w:t>
            </w:r>
          </w:p>
        </w:tc>
        <w:tc>
          <w:tcPr>
            <w:tcW w:w="1167" w:type="dxa"/>
            <w:tcBorders>
              <w:top w:val="single" w:sz="4" w:space="0" w:color="7F7F7F"/>
              <w:bottom w:val="single" w:sz="4" w:space="0" w:color="7F7F7F"/>
            </w:tcBorders>
            <w:shd w:val="clear" w:color="auto" w:fill="auto"/>
            <w:noWrap/>
            <w:vAlign w:val="center"/>
            <w:hideMark/>
          </w:tcPr>
          <w:p w14:paraId="4694FC3F"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5C9DD753" w14:textId="77777777" w:rsidR="00C7764C" w:rsidRPr="00C81B1E" w:rsidRDefault="00C7764C" w:rsidP="00C81B1E">
            <w:pPr>
              <w:pStyle w:val="MDPI42tablebody"/>
              <w:rPr>
                <w:rFonts w:eastAsia="Calibri"/>
                <w:lang w:val="en-GB" w:eastAsia="en-US"/>
              </w:rPr>
            </w:pPr>
            <w:r w:rsidRPr="00C81B1E">
              <w:rPr>
                <w:rFonts w:eastAsia="Calibri"/>
                <w:lang w:val="en-GB" w:eastAsia="en-US"/>
              </w:rPr>
              <w:t>AF, AD, C, TT</w:t>
            </w:r>
          </w:p>
        </w:tc>
        <w:tc>
          <w:tcPr>
            <w:tcW w:w="5567" w:type="dxa"/>
            <w:tcBorders>
              <w:top w:val="single" w:sz="4" w:space="0" w:color="7F7F7F"/>
              <w:bottom w:val="single" w:sz="4" w:space="0" w:color="7F7F7F"/>
            </w:tcBorders>
            <w:shd w:val="clear" w:color="auto" w:fill="auto"/>
            <w:noWrap/>
            <w:vAlign w:val="center"/>
            <w:hideMark/>
          </w:tcPr>
          <w:p w14:paraId="2E5A6E35"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AF: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{"citationItems":[{"id":"ITEM-1","itemData":{"DOI":"10.1016/j.scitotenv.2007.06.037","ISBN":"0048-9697","ISSN":"0048-9697","PMID":"17761214","abstract":"During the last decade, there have been remarkable changes in food waste management in Korea following a ban on direct landfilling. To evaluate the environmental impacts of food waste management systems, we examined individual treatment systems with the LCA approach -- landfill, incineration, composting, and feed manufacturing -- and estimated the change from 1997 to 2005. The efficient system was different in each impact category, but it was evaluated that landfill is the main contributor to human toxicity and global warming (based on fossil CO(2)). In contrast, due to the increase of food waste recycling, acidification, eutrophication, and fresh water aquatic ecotoxicity impact was increased. Especially, the high energy consumption and generated residue in recycling systems caused the large burdens in toxicity categories.","author":[{"dropping-particle":"","family":"Lee","given":"Suk-Hui","non-dropping-particle":"","parse-names":false,"suffix":""},{"dropping-particle":"","family":"Choi","given":"Ki-In","non-dropping-particle":"","parse-names":false,"suffix":""},{"dropping-particle":"","family":"Osako","given":"Masahiro","non-dropping-particle":"","parse-names":false,"suffix":""},{"dropping-particle":"","family":"Dong","given":"Jong-In","non-dropping-particle":"","parse-names":false,"suffix":""}],"container-title":"The Science of the Total Environment","id":"ITEM-1","issue":"1-3","issued":{"date-parts":[["2007"]]},"page":"42-53","title":"Evaluation of environmental burdens caused by changes of food waste management systems in Seoul, Korea","type":"article-journal","volume":"387"},"uris":["http://www.mendeley.com/documents/?uuid=8f64984c-3fd3-4af6-a302-a6effe418376"]}],"mendeley":{"formattedCitation":"(Lee et al., 2007)","manualFormatting":"Lee et al. (2007)","plainTextFormattedCitation":"(Lee et al., 2007)","previouslyFormattedCitation":"(Lee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Lee et al. (2007)</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wasman.2015.04.028","ISSN":"0956053X","author":[{"dropping-particle":"","family":"Suwannarat","given":"Jutarat","non-dropping-particle":"","parse-names":false,"suffix":""},{"dropping-particle":"","family":"Ritchie","given":"Raymond J.","non-dropping-particle":"","parse-names":false,"suffix":""}],"container-title":"Waste Management","id":"ITEM-1","issued":{"date-parts":[["2015"]]},"page":"61-66","publisher":"Elsevier Ltd","title":"Anaerobic digestion of food waste using yeast","type":"article-journal","volume":"42"},"uris":["http://www.mendeley.com/documents/?uuid=cf04c82e-8f7b-48fa-b878-5de0fe13eb73"]}],"mendeley":{"formattedCitation":"(Suwannarat and Ritchie, 2015)","manualFormatting":"Suwannarat &amp; Ritchie (2015)","plainTextFormattedCitation":"(Suwannarat and Ritchie, 2015)","previouslyFormattedCitation":"(Suwannarat and Ritchie,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Suwannarat &amp; Ritchie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{"citationItems":[{"id":"ITEM-1","itemData":{"DOI":"10.1023/B:WATE.0000019932.04020.b6","ISBN":"0049-6979","ISSN":"00496979","abstract":"Because of its agronomic benefits, farm-scale composting is an efficient means of recycling agricultural waste. Composting process is an aerobic degradation of fresh organic matter in mature compost. Nevertheless, according to the literature, composting may induce some environmental problems. The environmental impacts of composting will be described, along with an assessment of farm-scale composting practices which play a major role in pollution. The main environmental components potentially affected by composting pollution are air and water. Various gases released by composting, such as NH3, CH4 and N2O, can impact air quality and are therefore studied because they all have environmental impacts and can be controlled by composting management. The effect on water quality can be evaluated by considering loss of NO3-, NH4+, organic compounds and PO43-. Technical evaluation criteria for the impact of farm-scale composting on the air are determined from the physical and chemical characteristics of the raw materials, the use of additives, the turning method and frequency and the duration of the composting operations. Regarding water, the weather conditions at the beginning of the composting operation, the location of the heap, the protection against rain, the water addition during the process, the use of covers and the recovery of leaching and runoff water are also taken into account. The two main practices which control the air and water pollution from composting are: the choice of the raw material which influences gas emissions and the choice of composting location which have an high effect on losses by leaching and runoff. © 2004 Kluwer Academic Publishers.","author":[{"dropping-particle":"","family":"Peigne","given":"Josephine","non-dropping-particle":"","parse-names":false,"suffix":""},{"dropping-particle":"","family":"Girardin","given":"Philippe","non-dropping-particle":"","parse-names":false,"suffix":""}],"container-title":"Water, Air, and Soil Pollution","id":"ITEM-1","issued":{"date-parts":[["2004"]]},"page":"45-68","title":"Environmental impacts of farm-scale composting practices","type":"article-journal","volume":"153"},"uris":["http://www.mendeley.com/documents/?uuid=1cac405a-2c5f-4ec5-905c-fffa125841e9"]}],"mendeley":{"formattedCitation":"(Peigne and Girardin, 2004)","manualFormatting":"Peigne &amp; Girardin (2004)","plainTextFormattedCitation":"(Peigne and Girardin, 2004)","previouslyFormattedCitation":"(Peigne and Girardin, 2004)"},"properties":{"noteIndex":0},"schema":"https://github.com/citation-style-language/schema/raw/master/csl-citation.json"}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Peigne &amp; Girardin (2004)</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{"citationItems":[{"id":"ITEM-1","itemData":{"DOI":"10.1016/j.rser.2009.11.006","ISBN":"1364-0321","ISSN":"13640321","abstract":"Biomass is the first-ever fuel used by humankind and is also the fuel which was the mainstay of the global fuel economy till the middle of the 18th century. Then fossil fuels took over because fossil fuels were not only more abundant and denser in their energy content, but also generated less pollution when burnt, in comparison to biomass. In recent years there is a resurgence of interest in biomass energy because biomass is perceived as a carbon-neutral source of energy unlike net carbon-emitting fossil fuels of which copious use has led to global warming and ocean acidification. The paper takes stock of the various sources of biomass and the possible ways in which it can be utilized for generating energy. It then examines the environmental impacts, including impact vis a vis greenhouse gas emissions, of different biomass energy generation-utilization options. ?? 2009 Elsevier Ltd. All rights reserved.","author":[{"dropping-particle":"","family":"Abbasi","given":"Tasneem","non-dropping-particle":"","parse-names":false,"suffix":""},{"dropping-particle":"","family":"Abbasi","given":"S. A.","non-dropping-particle":"","parse-names":false,"suffix":""}],"container-title":"Renewable and Sustainable Energy Reviews","id":"ITEM-1","issue":"3","issued":{"date-parts":[["2010"]]},"page":"919-937","title":"Biomass energy and the environmental impacts associated with its production and utilization","type":"article-journal","volume":"14"},"uris":["http://www.mendeley.com/documents/?uuid=d8cf33e5-cb40-49e4-989a-9a11cce8307f"]}],"mendeley":{"formattedCitation":"(Abbasi and Abbasi, 2010)","manualFormatting":"Abbasi &amp; Abbasi (2010)","plainTextFormattedCitation":"(Abbasi and Abbasi, 2010)","previouslyFormattedCitation":"(Abbasi and Abbasi,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Abbasi &amp; Abbasi (2010)</w:t>
            </w:r>
            <w:r w:rsidRPr="00C81B1E">
              <w:rPr>
                <w:rFonts w:eastAsia="Calibri"/>
                <w:lang w:val="en-GB" w:eastAsia="en-US"/>
              </w:rPr>
              <w:fldChar w:fldCharType="end"/>
            </w:r>
          </w:p>
        </w:tc>
      </w:tr>
      <w:tr w:rsidR="00C81B1E" w:rsidRPr="00C81B1E" w14:paraId="27A39820" w14:textId="77777777" w:rsidTr="00C81B1E">
        <w:trPr>
          <w:trHeight w:val="285"/>
        </w:trPr>
        <w:tc>
          <w:tcPr>
            <w:tcW w:w="1439" w:type="dxa"/>
            <w:shd w:val="clear" w:color="auto" w:fill="auto"/>
            <w:noWrap/>
            <w:vAlign w:val="center"/>
            <w:hideMark/>
          </w:tcPr>
          <w:p w14:paraId="42B43ED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Total suspended solids (TSS)</w:t>
            </w:r>
          </w:p>
        </w:tc>
        <w:tc>
          <w:tcPr>
            <w:tcW w:w="1167" w:type="dxa"/>
            <w:shd w:val="clear" w:color="auto" w:fill="auto"/>
            <w:noWrap/>
            <w:vAlign w:val="center"/>
            <w:hideMark/>
          </w:tcPr>
          <w:p w14:paraId="17DC2D81"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74CA6E73" w14:textId="77777777" w:rsidR="00C7764C" w:rsidRPr="00C81B1E" w:rsidRDefault="00C7764C" w:rsidP="00C81B1E">
            <w:pPr>
              <w:pStyle w:val="MDPI42tablebody"/>
              <w:rPr>
                <w:rFonts w:eastAsia="Calibri"/>
                <w:lang w:val="en-GB" w:eastAsia="en-US"/>
              </w:rPr>
            </w:pPr>
            <w:r w:rsidRPr="00C81B1E">
              <w:rPr>
                <w:rFonts w:eastAsia="Calibri"/>
                <w:lang w:val="en-GB" w:eastAsia="en-US"/>
              </w:rPr>
              <w:t>AF, AD, C, TT</w:t>
            </w:r>
          </w:p>
        </w:tc>
        <w:tc>
          <w:tcPr>
            <w:tcW w:w="5567" w:type="dxa"/>
            <w:shd w:val="clear" w:color="auto" w:fill="auto"/>
            <w:noWrap/>
            <w:vAlign w:val="center"/>
            <w:hideMark/>
          </w:tcPr>
          <w:p w14:paraId="14FC21A6"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AF: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{"citationItems":[{"id":"ITEM-1","itemData":{"DOI":"10.1016/j.scitotenv.2007.06.037","ISBN":"0048-9697","ISSN":"0048-9697","PMID":"17761214","abstract":"During the last decade, there have been remarkable changes in food waste management in Korea following a ban on direct landfilling. To evaluate the environmental impacts of food waste management systems, we examined individual treatment systems with the LCA approach -- landfill, incineration, composting, and feed manufacturing -- and estimated the change from 1997 to 2005. The efficient system was different in each impact category, but it was evaluated that landfill is the main contributor to human toxicity and global warming (based on fossil CO(2)). In contrast, due to the increase of food waste recycling, acidification, eutrophication, and fresh water aquatic ecotoxicity impact was increased. Especially, the high energy consumption and generated residue in recycling systems caused the large burdens in toxicity categories.","author":[{"dropping-particle":"","family":"Lee","given":"Suk-Hui","non-dropping-particle":"","parse-names":false,"suffix":""},{"dropping-particle":"","family":"Choi","given":"Ki-In","non-dropping-particle":"","parse-names":false,"suffix":""},{"dropping-particle":"","family":"Osako","given":"Masahiro","non-dropping-particle":"","parse-names":false,"suffix":""},{"dropping-particle":"","family":"Dong","given":"Jong-In","non-dropping-particle":"","parse-names":false,"suffix":""}],"container-title":"The Science of the Total Environment","id":"ITEM-1","issue":"1-3","issued":{"date-parts":[["2007"]]},"page":"42-53","title":"Evaluation of environmental burdens caused by changes of food waste management systems in Seoul, Korea","type":"article-journal","volume":"387"},"uris":["http://www.mendeley.com/documents/?uuid=8f64984c-3fd3-4af6-a302-a6effe418376"]}],"mendeley":{"formattedCitation":"(Lee et al., 2007)","manualFormatting":"Lee et al. (2007)","plainTextFormattedCitation":"(Lee et al., 2007)","previouslyFormattedCitation":"(Lee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Lee et al. (2007)</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{"citationItems":[{"id":"ITEM-1","itemData":{"DOI":"http://dx.doi.org/10.1016/j.biortech.2016.03.050","ISSN":"0960-8524","abstract":"Abstract A novel method of two-phase anaerobic digestion where the acid reactor is operated at low pH 4.0 was proposed and investigated. A completely stirred tank acid reactor and an up-flow anaerobic sludge bed methane reactor were operated to examine the possibility of efficient degradation of lactate and to identify their optimal operating conditions. Lactate with an average concentration of 14.8 g/L was the dominant fermentative product and Lactobacillus was the predominant microorganism in the acid reactor. The effluent from the acid reactor was efficiently degraded in the methane reactor and the average methane yield was 261.4 ml/g COD removed. Organisms of Methanosaeta were the predominant methanogen in granular sludge of methane reactor, however, after acclimation hydrogenotrophic methanogens enriched, which benefited for the conversion of lactate to acetate. The two-phase AD system exhibited a low hydraulic retention time of 3.56 days and high methane yield of 348.5 ml/g VS removed.","author":[{"dropping-particle":"","family":"Wu","given":"Yuanyuan","non-dropping-particle":"","parse-names":false,"suffix":""},{"dropping-particle":"","family":"Wang","given":"Cuiping","non-dropping-particle":"","parse-names":false,"suffix":""},{"dropping-particle":"","family":"Liu","given":"Xiaoji","non-dropping-particle":"","parse-names":false,"suffix":""},{"dropping-particle":"","family":"Ma","given":"Hailing","non-dropping-particle":"","parse-names":false,"suffix":""},{"dropping-particle":"","family":"Wu","given":"Jing","non-dropping-particle":"","parse-names":false,"suffix":""},{"dropping-particle":"","family":"Zuo","given":"Jiane","non-dropping-particle":"","parse-names":false,"suffix":""},{"dropping-particle":"","family":"Wang","given":"Kaijun","non-dropping-particle":"","parse-names":false,"suffix":""}],"container-title":"Bioresource Technology","id":"ITEM-1","issued":{"date-parts":[["2016"]]},"page":"16-23","publisher":"Elsevier Ltd","title":"A new method of two-phase anaerobic digestion for fruit and vegetable waste treatment","type":"article-journal","volume":"211"},"uris":["http://www.mendeley.com/documents/?uuid=6844ddba-6d3e-41bc-a06b-e477180be3a4"]}],"mendeley":{"formattedCitation":"(Wu et al., 2016)","manualFormatting":"Wu et al. (2016)","plainTextFormattedCitation":"(Wu et al., 2016)","previouslyFormattedCitation":"(Wu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Wu et al. (2016)</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{"citationItems":[{"id":"ITEM-1","itemData":{"DOI":"10.1016/S0043-1354(98)00143-2","ISBN":"0043-1354","ISSN":"00431354","abstract":"Stability is an important compost quality characteristic, but also one that is difficult to measure. A simple respirometric technique for the assessment of compost stability (SOUR test) was developed, that utilises a dissolved oxygen probe to measure changes in the oxygen concentration in an aqueous compost extract, under conditions ensuring optimum microbial activity and maximum reaction rates. A fully automated procedure is described and possible problems are discussed. The method was used to follow changes in stability of sewage sludge composts from a commercial plant using the windrow composting system. Two different batches of material were monitored. Results were compared with three other stability tests, a respirometric method utilising solid compost samples and the COD and optical density of compost water extracts. Both respiration tests indicated increasing compost stability with processing time and gave significant correlation both with compost age and with each other. The SOUR of the raw mixture was different for the two batches (9.3 and 18.4 mg O2/g VS/h), but after composting and maturation both dropped to about 1 mg O2/g VS/h. Measuring the respiration rate of an aqueous compost suspension rather than a solid compost sample offers certain advantages: the test is not affected by variations in the matric water potential of the samples; there is immediate contact between substrate, microbes and oxygen leading to maximum reaction rates; and the gas-liquid barrier for oxygen diffusion at the surface of the compost particles is omitted. The COD and the optical density of the water extracts did not show clear trends and did not allow any conclusions about compost stability to be drawn.","author":[{"dropping-particle":"","family":"Lasaridi","given":"Katia E.","non-dropping-particle":"","parse-names":false,"suffix":""},{"dropping-particle":"","family":"Stentiford","given":"Ed I.","non-dropping-particle":"","parse-names":false,"suffix":""}],"container-title":"Water Research","id":"ITEM-1","issue":"12","issued":{"date-parts":[["1998"]]},"page":"3717-3723","title":"A simple respirometric technique for assessing compost stability","type":"article-journal","volume":"32"},"uris":["http://www.mendeley.com/documents/?uuid=2292cb15-d6b2-4498-9493-3ed6050894b2"]}],"mendeley":{"formattedCitation":"(Lasaridi and Stentiford, 1998)","manualFormatting":"Lasaridi &amp; Stentiford (1998)","plainTextFormattedCitation":"(Lasaridi and Stentiford, 1998)","previouslyFormattedCitation":"(Lasaridi and Stentiford, 1998)"},"properties":{"noteIndex":0},"schema":"https://github.com/citation-style-language/schema/raw/master/csl-citation.json"}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Lasaridi &amp; Stentiford (1998)</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{"citationItems":[{"id":"ITEM-1","itemData":{"DOI":"10.1016/j.rser.2009.11.006","ISBN":"1364-0321","ISSN":"13640321","abstract":"Biomass is the first-ever fuel used by humankind and is also the fuel which was the mainstay of the global fuel economy till the middle of the 18th century. Then fossil fuels took over because fossil fuels were not only more abundant and denser in their energy content, but also generated less pollution when burnt, in comparison to biomass. In recent years there is a resurgence of interest in biomass energy because biomass is perceived as a carbon-neutral source of energy unlike net carbon-emitting fossil fuels of which copious use has led to global warming and ocean acidification. The paper takes stock of the various sources of biomass and the possible ways in which it can be utilized for generating energy. It then examines the environmental impacts, including impact vis a vis greenhouse gas emissions, of different biomass energy generation-utilization options. ?? 2009 Elsevier Ltd. All rights reserved.","author":[{"dropping-particle":"","family":"Abbasi","given":"Tasneem","non-dropping-particle":"","parse-names":false,"suffix":""},{"dropping-particle":"","family":"Abbasi","given":"S. A.","non-dropping-particle":"","parse-names":false,"suffix":""}],"container-title":"Renewable and Sustainable Energy Reviews","id":"ITEM-1","issue":"3","issued":{"date-parts":[["2010"]]},"page":"919-937","title":"Biomass energy and the environmental impacts associated with its production and utilization","type":"article-journal","volume":"14"},"uris":["http://www.mendeley.com/documents/?uuid=d8cf33e5-cb40-49e4-989a-9a11cce8307f"]}],"mendeley":{"formattedCitation":"(Abbasi and Abbasi, 2010)","manualFormatting":"Abbasi &amp; Abbasi (2010)","plainTextFormattedCitation":"(Abbasi and Abbasi, 2010)","previouslyFormattedCitation":"(Abbasi and Abbasi,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Abbasi &amp; Abbasi (2010)</w:t>
            </w:r>
            <w:r w:rsidRPr="00C81B1E">
              <w:rPr>
                <w:rFonts w:eastAsia="Calibri"/>
                <w:lang w:val="en-GB" w:eastAsia="en-US"/>
              </w:rPr>
              <w:fldChar w:fldCharType="end"/>
            </w:r>
          </w:p>
        </w:tc>
      </w:tr>
      <w:tr w:rsidR="00C81B1E" w:rsidRPr="00C81B1E" w14:paraId="15317AFF" w14:textId="77777777" w:rsidTr="00C81B1E">
        <w:trPr>
          <w:trHeight w:val="315"/>
        </w:trPr>
        <w:tc>
          <w:tcPr>
            <w:tcW w:w="1439" w:type="dxa"/>
            <w:tcBorders>
              <w:top w:val="single" w:sz="4" w:space="0" w:color="7F7F7F"/>
              <w:bottom w:val="single" w:sz="4" w:space="0" w:color="7F7F7F"/>
            </w:tcBorders>
            <w:shd w:val="clear" w:color="auto" w:fill="auto"/>
            <w:noWrap/>
            <w:vAlign w:val="center"/>
            <w:hideMark/>
          </w:tcPr>
          <w:p w14:paraId="4A0FCDA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NH</w:t>
            </w:r>
            <w:r w:rsidRPr="00C81B1E">
              <w:rPr>
                <w:rFonts w:eastAsia="Calibri"/>
                <w:b/>
                <w:bCs/>
                <w:vertAlign w:val="subscript"/>
                <w:lang w:val="en-GB" w:eastAsia="en-US"/>
              </w:rPr>
              <w:t>4</w:t>
            </w:r>
            <w:r w:rsidRPr="00C81B1E">
              <w:rPr>
                <w:rFonts w:eastAsia="Calibri"/>
                <w:b/>
                <w:bCs/>
                <w:vertAlign w:val="superscript"/>
                <w:lang w:val="en-GB" w:eastAsia="en-US"/>
              </w:rPr>
              <w:t>+</w:t>
            </w:r>
          </w:p>
        </w:tc>
        <w:tc>
          <w:tcPr>
            <w:tcW w:w="1167" w:type="dxa"/>
            <w:tcBorders>
              <w:top w:val="single" w:sz="4" w:space="0" w:color="7F7F7F"/>
              <w:bottom w:val="single" w:sz="4" w:space="0" w:color="7F7F7F"/>
            </w:tcBorders>
            <w:shd w:val="clear" w:color="auto" w:fill="auto"/>
            <w:noWrap/>
            <w:vAlign w:val="center"/>
            <w:hideMark/>
          </w:tcPr>
          <w:p w14:paraId="5B516B30"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5D8A0360" w14:textId="77777777" w:rsidR="00C7764C" w:rsidRPr="00C81B1E" w:rsidRDefault="00C7764C" w:rsidP="00C81B1E">
            <w:pPr>
              <w:pStyle w:val="MDPI42tablebody"/>
              <w:rPr>
                <w:rFonts w:eastAsia="Calibri"/>
                <w:lang w:val="en-GB" w:eastAsia="en-US"/>
              </w:rPr>
            </w:pPr>
            <w:r w:rsidRPr="00C81B1E">
              <w:rPr>
                <w:rFonts w:eastAsia="Calibri"/>
                <w:lang w:val="en-GB" w:eastAsia="en-US"/>
              </w:rPr>
              <w:t>AF, C</w:t>
            </w:r>
          </w:p>
        </w:tc>
        <w:tc>
          <w:tcPr>
            <w:tcW w:w="5567" w:type="dxa"/>
            <w:tcBorders>
              <w:top w:val="single" w:sz="4" w:space="0" w:color="7F7F7F"/>
              <w:bottom w:val="single" w:sz="4" w:space="0" w:color="7F7F7F"/>
            </w:tcBorders>
            <w:shd w:val="clear" w:color="auto" w:fill="auto"/>
            <w:noWrap/>
            <w:vAlign w:val="center"/>
            <w:hideMark/>
          </w:tcPr>
          <w:p w14:paraId="12B06C25" w14:textId="77777777" w:rsidR="00C7764C" w:rsidRPr="00C81B1E" w:rsidRDefault="00C7764C" w:rsidP="00C81B1E">
            <w:pPr>
              <w:pStyle w:val="MDPI42tablebody"/>
              <w:rPr>
                <w:rFonts w:eastAsia="Calibri"/>
                <w:lang w:val="en-GB" w:eastAsia="en-US"/>
              </w:rPr>
            </w:pPr>
            <w:r w:rsidRPr="00C81B1E">
              <w:rPr>
                <w:rFonts w:eastAsia="Calibri"/>
                <w:lang w:val="es-ES" w:eastAsia="en-US"/>
              </w:rPr>
              <w:t xml:space="preserve">AF: </w:t>
            </w:r>
            <w:r w:rsidRPr="00C81B1E">
              <w:rPr>
                <w:rFonts w:eastAsia="Calibri"/>
                <w:lang w:val="en-GB" w:eastAsia="en-US"/>
              </w:rPr>
              <w:fldChar w:fldCharType="begin" w:fldLock="1"/>
            </w:r>
            <w:r w:rsidRPr="00C81B1E">
              <w:rPr>
                <w:rFonts w:eastAsia="Calibri"/>
                <w:lang w:val="es-ES" w:eastAsia="en-US"/>
              </w:rPr>
              <w:instrText>ADDIN CSL_CITATION {"citationItems":[{"id":"ITEM-1","itemData":{"DOI":"10.1016/j.scitotenv.2007.06.037","ISBN":"0048-9697","ISSN":"0048-9697","PMID":"17761214","abstract":"During the last decade, there have been remarkable changes in food waste management in Korea following a ban on direct landfilling. To evaluate the environmental impacts of food waste management systems, we examined individual treatment systems with the LCA approach -- landfill, incineration, composting, and feed manufacturing -- and estimated the change from 1997 to 2005. The efficient system was different in each impact category, but it was evaluated that landfill is the main contributor to human toxicity and global warming (based on fossil CO(2)). In contrast, due to the increase of food waste recycling, acidification, eutrophication, and fresh water aquatic ecotoxicity impact was increased. Especially, the high energy consumption and generated residue in recycling systems caused the large burdens in toxicity categories.","author":[{"dropping-particle":"","family":"Lee","given":"Suk-Hui","non-dropping-particle":"","parse-names":false,"suffix":""},{"dropping-particle":"","family":"Choi","given":"Ki-In","non-dropping-particle":"","parse-names":false,"suffix":""},{"dropping-particle":"","family":"Osako","given":"Masahiro","non-dropping-particle":"","parse-names":false,"suffix":""},{"dropping-particle":"","family":"Dong","given":"Jong-In","non-dropping-particle":"","parse-names":false,"suffix":""}],"container-title":"The Science of the Total Environment","id":"ITEM-1","issue":"1-3","issued":{"date-parts":[["2007"]]},"page":"42-53","title":"Evaluation of environmental burdens caused by changes of food waste management systems in Seoul, Korea","type":"article-journal","volume":"387"},"uris":["http://www.mendeley.com/documents/?uuid=8f64984c-3fd3-4af6-a302-a6effe418376"]}],"mendeley":{"formattedCitation":"(Lee et al., 2007)","manualFormatting":"Lee et al. (2007)","plainTextFormattedCitation":"(Lee et al., 2007)","previouslyFormattedCitation":"(Lee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Lee et al. (2007)</w:t>
            </w:r>
            <w:r w:rsidRPr="00C81B1E">
              <w:rPr>
                <w:rFonts w:eastAsia="Calibri"/>
                <w:lang w:val="en-GB" w:eastAsia="en-US"/>
              </w:rPr>
              <w:fldChar w:fldCharType="end"/>
            </w:r>
            <w:r w:rsidRPr="00C81B1E">
              <w:rPr>
                <w:rFonts w:eastAsia="Calibri"/>
                <w:lang w:val="es-ES" w:eastAsia="en-US"/>
              </w:rPr>
              <w:t xml:space="preserve">, C: </w:t>
            </w:r>
            <w:r w:rsidRPr="00C81B1E">
              <w:rPr>
                <w:rFonts w:eastAsia="Calibri"/>
                <w:lang w:val="en-GB" w:eastAsia="en-US"/>
              </w:rPr>
              <w:fldChar w:fldCharType="begin" w:fldLock="1"/>
            </w:r>
            <w:r w:rsidRPr="00C81B1E">
              <w:rPr>
                <w:rFonts w:eastAsia="Calibri"/>
                <w:lang w:val="es-ES" w:eastAsia="en-US"/>
              </w:rPr>
              <w:instrText>ADDIN CSL_CITATION {"citationItems":[{"id":"ITEM-1","itemData":{"DOI":"10.1023/B:WATE.0000019932.04020.b6","ISBN":"0049-6979","ISSN":"00496979","abstract":"Because of its agronomic benefits, farm-scale composting is an efficient means of recycling agricultural waste. Composting process is an aerobic degradation of fresh organic matter in mature compost. Nevertheless, according to the literature, composting may induce some environmental problems. The environmental impacts of composting will be described, along with an assessment of farm-scale composting practices which play a major role in pollution. The main environmental components potentially affected by composting pollution are air and water. Various gases released by composting, such as NH3, CH4 and N2O, can impact air quality and are therefore studied because they all have environmental impacts and can be controlled by composting management. The effect on water quality can be evaluated by considering loss of NO3-, NH4+, organic compounds and PO43-. Technical evaluation criteria for the impact of farm-scale composting on the air are determined from the physical and chemical characteristics of the raw materials, the use of additives, the turning method and frequency and the duration of the composting operations. Regarding water, the weather conditions at the beginning of the composting operation, the location of the heap, the protection against rain, the water addition during the process, the use of covers and the recovery of leaching and runoff water are also taken into account. The two main practices which control the air and water pollution from composting are: the choice of the raw material which influences gas emissions and the choice of composting location which have an high effect on losses by leaching and runoff. © 2004 Kluwer Academic Publishers.","author":[{"dropping-particle":"","family":"Peigne","given":"Josephine","non-dropping-particle":"","parse-names":false,"suffix":""},{"dropping-particle":"","family":"Girardin","given":"Philippe","non-dropping-particle":"","parse-names":false,"suffix":""}],"container-title":"Water, Air, and Soil Pollution","id":"ITEM-1","issued":{"date-parts":[["2004"]]},"page":"45-68","title":"Environmental impacts of farm-scale composting practices","type":"article-journal","volume":"153"},"uris":["http://www.mendeley.com/documents/?uuid=1cac405a-2c5f-4ec5-905c-fffa125841e9"]}],"mendeley":{"formattedCitation":"(Peigne and Girardin, 2004)","manualFormatting":"Peigne &amp; Girardin (2004)","plainTextFormattedCitation":"(Peigne and Girardin, 2004)","previouslyFormattedCitation":"(Peigne and Girardin, 2004)"},"properties":{"noteIndex":0},"schema":"https://github.com/citation-style-language/schema/raw/master/csl-citation.json"}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Peigne &amp; Girardin (2004)</w:t>
            </w:r>
            <w:r w:rsidRPr="00C81B1E">
              <w:rPr>
                <w:rFonts w:eastAsia="Calibri"/>
                <w:lang w:val="en-GB" w:eastAsia="en-US"/>
              </w:rPr>
              <w:fldChar w:fldCharType="end"/>
            </w:r>
          </w:p>
        </w:tc>
      </w:tr>
      <w:tr w:rsidR="00C81B1E" w:rsidRPr="00C81B1E" w14:paraId="518F9778" w14:textId="77777777" w:rsidTr="00C81B1E">
        <w:trPr>
          <w:trHeight w:val="315"/>
        </w:trPr>
        <w:tc>
          <w:tcPr>
            <w:tcW w:w="1439" w:type="dxa"/>
            <w:shd w:val="clear" w:color="auto" w:fill="auto"/>
            <w:noWrap/>
            <w:vAlign w:val="center"/>
            <w:hideMark/>
          </w:tcPr>
          <w:p w14:paraId="26483AE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w:t>
            </w:r>
          </w:p>
        </w:tc>
        <w:tc>
          <w:tcPr>
            <w:tcW w:w="1167" w:type="dxa"/>
            <w:shd w:val="clear" w:color="auto" w:fill="auto"/>
            <w:noWrap/>
            <w:vAlign w:val="center"/>
            <w:hideMark/>
          </w:tcPr>
          <w:p w14:paraId="3C08F847" w14:textId="77777777" w:rsidR="00C7764C" w:rsidRPr="00C81B1E" w:rsidRDefault="00C7764C" w:rsidP="00C81B1E">
            <w:pPr>
              <w:pStyle w:val="MDPI42tablebody"/>
              <w:rPr>
                <w:rFonts w:eastAsia="Calibri"/>
                <w:lang w:val="en-GB" w:eastAsia="en-US"/>
              </w:rPr>
            </w:pPr>
            <w:r w:rsidRPr="00C81B1E">
              <w:rPr>
                <w:rFonts w:eastAsia="Calibri"/>
                <w:lang w:val="en-GB" w:eastAsia="en-US"/>
              </w:rPr>
              <w:t>g P</w:t>
            </w:r>
            <w:r w:rsidRPr="00C81B1E">
              <w:rPr>
                <w:rFonts w:eastAsia="Calibri"/>
                <w:vertAlign w:val="subscript"/>
                <w:lang w:val="en-GB" w:eastAsia="en-US"/>
              </w:rPr>
              <w:t>2</w:t>
            </w:r>
            <w:r w:rsidRPr="00C81B1E">
              <w:rPr>
                <w:rFonts w:eastAsia="Calibri"/>
                <w:lang w:val="en-GB" w:eastAsia="en-US"/>
              </w:rPr>
              <w:t>O</w:t>
            </w:r>
            <w:r w:rsidRPr="00C81B1E">
              <w:rPr>
                <w:rFonts w:eastAsia="Calibri"/>
                <w:vertAlign w:val="subscript"/>
                <w:lang w:val="en-GB" w:eastAsia="en-US"/>
              </w:rPr>
              <w:t>5</w:t>
            </w:r>
            <w:r w:rsidRPr="00C81B1E">
              <w:rPr>
                <w:rFonts w:eastAsia="Calibri"/>
                <w:lang w:val="en-GB" w:eastAsia="en-US"/>
              </w:rPr>
              <w:t>/PO</w:t>
            </w:r>
            <w:r w:rsidRPr="00C81B1E">
              <w:rPr>
                <w:rFonts w:eastAsia="Calibri"/>
                <w:vertAlign w:val="subscript"/>
                <w:lang w:val="en-GB" w:eastAsia="en-US"/>
              </w:rPr>
              <w:t>4</w:t>
            </w:r>
            <w:r w:rsidRPr="00C81B1E">
              <w:rPr>
                <w:rFonts w:eastAsia="Calibri"/>
                <w:vertAlign w:val="superscript"/>
                <w:lang w:val="en-GB" w:eastAsia="en-US"/>
              </w:rPr>
              <w:t xml:space="preserve">-3 </w:t>
            </w:r>
            <w:r w:rsidRPr="00C81B1E">
              <w:rPr>
                <w:rFonts w:eastAsia="Calibri"/>
                <w:lang w:val="en-GB" w:eastAsia="en-US"/>
              </w:rPr>
              <w:t>/ m</w:t>
            </w:r>
            <w:r w:rsidRPr="00C81B1E">
              <w:rPr>
                <w:rFonts w:eastAsia="Calibri"/>
                <w:vertAlign w:val="superscript"/>
                <w:lang w:val="en-GB" w:eastAsia="en-US"/>
              </w:rPr>
              <w:t>3</w:t>
            </w:r>
          </w:p>
        </w:tc>
        <w:tc>
          <w:tcPr>
            <w:tcW w:w="899" w:type="dxa"/>
            <w:shd w:val="clear" w:color="auto" w:fill="auto"/>
            <w:noWrap/>
            <w:vAlign w:val="center"/>
            <w:hideMark/>
          </w:tcPr>
          <w:p w14:paraId="3F298A65" w14:textId="77777777" w:rsidR="00C7764C" w:rsidRPr="00C81B1E" w:rsidRDefault="00C7764C" w:rsidP="00C81B1E">
            <w:pPr>
              <w:pStyle w:val="MDPI42tablebody"/>
              <w:rPr>
                <w:rFonts w:eastAsia="Calibri"/>
                <w:lang w:val="en-GB" w:eastAsia="en-US"/>
              </w:rPr>
            </w:pPr>
            <w:r w:rsidRPr="00C81B1E">
              <w:rPr>
                <w:rFonts w:eastAsia="Calibri"/>
                <w:lang w:val="en-GB" w:eastAsia="en-US"/>
              </w:rPr>
              <w:t>AF, AD, C</w:t>
            </w:r>
          </w:p>
        </w:tc>
        <w:tc>
          <w:tcPr>
            <w:tcW w:w="5567" w:type="dxa"/>
            <w:shd w:val="clear" w:color="auto" w:fill="auto"/>
            <w:noWrap/>
            <w:vAlign w:val="center"/>
            <w:hideMark/>
          </w:tcPr>
          <w:p w14:paraId="37AF0CEC"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AF: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{"citationItems":[{"id":"ITEM-1","itemData":{"DOI":"10.1016/j.scitotenv.2007.06.037","ISBN":"0048-9697","ISSN":"0048-9697","PMID":"17761214","abstract":"During the last decade, there have been remarkable changes in food waste management in Korea following a ban on direct landfilling. To evaluate the environmental impacts of food waste management systems, we examined individual treatment systems with the LCA approach -- landfill, incineration, composting, and feed manufacturing -- and estimated the change from 1997 to 2005. The efficient system was different in each impact category, but it was evaluated that landfill is the main contributor to human toxicity and global warming (based on fossil CO(2)). In contrast, due to the increase of food waste recycling, acidification, eutrophication, and fresh water aquatic ecotoxicity impact was increased. Especially, the high energy consumption and generated residue in recycling systems caused the large burdens in toxicity categories.","author":[{"dropping-particle":"","family":"Lee","given":"Suk-Hui","non-dropping-particle":"","parse-names":false,"suffix":""},{"dropping-particle":"","family":"Choi","given":"Ki-In","non-dropping-particle":"","parse-names":false,"suffix":""},{"dropping-particle":"","family":"Osako","given":"Masahiro","non-dropping-particle":"","parse-names":false,"suffix":""},{"dropping-particle":"","family":"Dong","given":"Jong-In","non-dropping-particle":"","parse-names":false,"suffix":""}],"container-title":"The Science of the Total Environment","id":"ITEM-1","issue":"1-3","issued":{"date-parts":[["2007"]]},"page":"42-53","title":"Evaluation of environmental burdens caused by changes of food waste management systems in Seoul, Korea","type":"article-journal","volume":"387"},"uris":["http://www.mendeley.com/documents/?uuid=8f64984c-3fd3-4af6-a302-a6effe418376"]}],"mendeley":{"formattedCitation":"(Lee et al., 2007)","manualFormatting":"Lee et al. (2007)","plainTextFormattedCitation":"(Lee et al., 2007)","previouslyFormattedCitation":"(Lee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Lee et al. (2007)</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{"citationItems":[{"id":"ITEM-1","itemData":{"ISBN":"9783906484587","abstract":"SW&amp;C-04\\nThe publication presents anaerobic digestion with biogas production as a solution to organic waste treatment. basic information about suitable feedstock, anaerobic digestion technologies, processes and plant operation as well as the utilization of biogas and effluent are described. On top of that, the publication analyses costs-and benefits, environmental as well as socio-cultural aspects of this approach and presents a number of Case Studies from Asia, Africa, and Latin America.","author":[{"dropping-particle":"","family":"Vögeli","given":"Yvonne","non-dropping-particle":"","parse-names":false,"suffix":""},{"dropping-particle":"","family":"Riu","given":"Christian","non-dropping-particle":"","parse-names":false,"suffix":""},{"dropping-particle":"","family":"Gallardo","given":"Amalia","non-dropping-particle":"","parse-names":false,"suffix":""},{"dropping-particle":"","family":"Diener","given":"Stefan","non-dropping-particle":"","parse-names":false,"suffix":""},{"dropping-particle":"","family":"Zurbrügg","given":"Christian","non-dropping-particle":"","parse-names":false,"suffix":""}],"id":"ITEM-1","issued":{"date-parts":[["2014"]]},"publisher":"Swiss Federal Institute of Aquatic Science and Technology (Eawag)","publisher-place":"Dübendorf (Switzerland)","title":"Anaerobic digestion of biowaste in developing countries. Practical information and case studies","type":"book"},"uris":["http://www.mendeley.com/documents/?uuid=34e3c271-c743-45ba-b136-467fc88d9b90"]}],"mendeley":{"formattedCitation":"(Vögeli et al., 2014)","manualFormatting":"Vögeli et al. (2014)","plainTextFormattedCitation":"(Vögeli et al., 2014)","previouslyFormattedCitation":"(Vögeli et al.,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Vögeli et al.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25571F3B"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0CB2B95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Cd</w:t>
            </w:r>
          </w:p>
        </w:tc>
        <w:tc>
          <w:tcPr>
            <w:tcW w:w="1167" w:type="dxa"/>
            <w:tcBorders>
              <w:top w:val="single" w:sz="4" w:space="0" w:color="7F7F7F"/>
              <w:bottom w:val="single" w:sz="4" w:space="0" w:color="7F7F7F"/>
            </w:tcBorders>
            <w:shd w:val="clear" w:color="auto" w:fill="auto"/>
            <w:noWrap/>
            <w:vAlign w:val="center"/>
            <w:hideMark/>
          </w:tcPr>
          <w:p w14:paraId="3F7D749B"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4AEF4004"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567" w:type="dxa"/>
            <w:vMerge w:val="restart"/>
            <w:tcBorders>
              <w:top w:val="single" w:sz="4" w:space="0" w:color="7F7F7F"/>
              <w:bottom w:val="single" w:sz="4" w:space="0" w:color="7F7F7F"/>
            </w:tcBorders>
            <w:shd w:val="clear" w:color="auto" w:fill="auto"/>
            <w:noWrap/>
            <w:vAlign w:val="center"/>
            <w:hideMark/>
          </w:tcPr>
          <w:p w14:paraId="5777ADE5"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2015.04.164","ISSN":"1364-0321","author":[{"dropping-particle":"","family":"Xu","given":"Changqing","non-dropping-particle":"","parse-names":false,"suffix":""},{"dropping-particle":"","family":"Shi","given":"Wenxiao","non-dropping-particle":"","parse-names":false,"suffix":""},{"dropping-particle":"","family":"Hong","given":"Jinglan","non-dropping-particle":"","parse-names":false,"suffix":""},{"dropping-particle":"","family":"Zhang","given":"Fangfang","non-dropping-particle":"","parse-names":false,"suffix":""},{"dropping-particle":"","family":"Chen","given":"Wei","non-dropping-particle":"","parse-names":false,"suffix":""}],"container-title":"Renewable and Sustainable Energy Reviews","id":"ITEM-1","issued":{"date-parts":[["2015"]]},"page":"169-177","publisher":"Elsevier","title":"Life cycle assessment of food waste-based biogas generation","type":"article-journal","volume":"49"},"uris":["http://www.mendeley.com/documents/?uuid=d881818c-5df0-4743-8667-8efc959eea9b"]}],"mendeley":{"formattedCitation":"(Xu et al., 2015)","manualFormatting":"Xu et al. (2015)","plainTextFormattedCitation":"(Xu et al., 2015)","previouslyFormattedCitation":"(Xu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Xu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44544F65" w14:textId="77777777" w:rsidTr="00C81B1E">
        <w:trPr>
          <w:trHeight w:val="285"/>
        </w:trPr>
        <w:tc>
          <w:tcPr>
            <w:tcW w:w="1439" w:type="dxa"/>
            <w:shd w:val="clear" w:color="auto" w:fill="auto"/>
            <w:noWrap/>
            <w:vAlign w:val="center"/>
            <w:hideMark/>
          </w:tcPr>
          <w:p w14:paraId="1A55E9A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Zn</w:t>
            </w:r>
          </w:p>
        </w:tc>
        <w:tc>
          <w:tcPr>
            <w:tcW w:w="1167" w:type="dxa"/>
            <w:shd w:val="clear" w:color="auto" w:fill="auto"/>
            <w:noWrap/>
            <w:vAlign w:val="center"/>
            <w:hideMark/>
          </w:tcPr>
          <w:p w14:paraId="6CF0C577"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6BD4495C"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567" w:type="dxa"/>
            <w:vMerge/>
            <w:shd w:val="clear" w:color="auto" w:fill="auto"/>
            <w:noWrap/>
            <w:vAlign w:val="center"/>
          </w:tcPr>
          <w:p w14:paraId="4A0F3440" w14:textId="77777777" w:rsidR="00C7764C" w:rsidRPr="00C81B1E" w:rsidRDefault="00C7764C" w:rsidP="00C81B1E">
            <w:pPr>
              <w:pStyle w:val="MDPI42tablebody"/>
              <w:rPr>
                <w:rFonts w:eastAsia="Calibri"/>
                <w:lang w:val="en-GB" w:eastAsia="en-US"/>
              </w:rPr>
            </w:pPr>
          </w:p>
        </w:tc>
      </w:tr>
      <w:tr w:rsidR="00C81B1E" w:rsidRPr="00C81B1E" w14:paraId="2A7B0C2C"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7176AED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Cr</w:t>
            </w:r>
          </w:p>
        </w:tc>
        <w:tc>
          <w:tcPr>
            <w:tcW w:w="1167" w:type="dxa"/>
            <w:tcBorders>
              <w:top w:val="single" w:sz="4" w:space="0" w:color="7F7F7F"/>
              <w:bottom w:val="single" w:sz="4" w:space="0" w:color="7F7F7F"/>
            </w:tcBorders>
            <w:shd w:val="clear" w:color="auto" w:fill="auto"/>
            <w:noWrap/>
            <w:vAlign w:val="center"/>
            <w:hideMark/>
          </w:tcPr>
          <w:p w14:paraId="711EE73D"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499A0DB7"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567" w:type="dxa"/>
            <w:vMerge/>
            <w:tcBorders>
              <w:top w:val="single" w:sz="4" w:space="0" w:color="7F7F7F"/>
              <w:bottom w:val="single" w:sz="4" w:space="0" w:color="7F7F7F"/>
            </w:tcBorders>
            <w:shd w:val="clear" w:color="auto" w:fill="auto"/>
            <w:noWrap/>
            <w:vAlign w:val="center"/>
          </w:tcPr>
          <w:p w14:paraId="360CF761" w14:textId="77777777" w:rsidR="00C7764C" w:rsidRPr="00C81B1E" w:rsidRDefault="00C7764C" w:rsidP="00C81B1E">
            <w:pPr>
              <w:pStyle w:val="MDPI42tablebody"/>
              <w:rPr>
                <w:rFonts w:eastAsia="Calibri"/>
                <w:lang w:val="en-GB" w:eastAsia="en-US"/>
              </w:rPr>
            </w:pPr>
          </w:p>
        </w:tc>
      </w:tr>
      <w:tr w:rsidR="00C81B1E" w:rsidRPr="00C81B1E" w14:paraId="098FE6C2" w14:textId="77777777" w:rsidTr="00C81B1E">
        <w:trPr>
          <w:trHeight w:val="285"/>
        </w:trPr>
        <w:tc>
          <w:tcPr>
            <w:tcW w:w="1439" w:type="dxa"/>
            <w:shd w:val="clear" w:color="auto" w:fill="auto"/>
            <w:noWrap/>
            <w:vAlign w:val="center"/>
            <w:hideMark/>
          </w:tcPr>
          <w:p w14:paraId="4D8EB5D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Pb</w:t>
            </w:r>
          </w:p>
        </w:tc>
        <w:tc>
          <w:tcPr>
            <w:tcW w:w="1167" w:type="dxa"/>
            <w:shd w:val="clear" w:color="auto" w:fill="auto"/>
            <w:noWrap/>
            <w:vAlign w:val="center"/>
            <w:hideMark/>
          </w:tcPr>
          <w:p w14:paraId="76E312B5"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00519189"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567" w:type="dxa"/>
            <w:vMerge/>
            <w:shd w:val="clear" w:color="auto" w:fill="auto"/>
            <w:noWrap/>
            <w:vAlign w:val="center"/>
          </w:tcPr>
          <w:p w14:paraId="5448D7E9" w14:textId="77777777" w:rsidR="00C7764C" w:rsidRPr="00C81B1E" w:rsidRDefault="00C7764C" w:rsidP="00C81B1E">
            <w:pPr>
              <w:pStyle w:val="MDPI42tablebody"/>
              <w:rPr>
                <w:rFonts w:eastAsia="Calibri"/>
                <w:lang w:val="en-GB" w:eastAsia="en-US"/>
              </w:rPr>
            </w:pPr>
          </w:p>
        </w:tc>
      </w:tr>
      <w:tr w:rsidR="00C81B1E" w:rsidRPr="00C81B1E" w14:paraId="05E29F5C" w14:textId="77777777" w:rsidTr="00C81B1E">
        <w:trPr>
          <w:trHeight w:val="315"/>
        </w:trPr>
        <w:tc>
          <w:tcPr>
            <w:tcW w:w="1439" w:type="dxa"/>
            <w:tcBorders>
              <w:top w:val="single" w:sz="4" w:space="0" w:color="7F7F7F"/>
              <w:bottom w:val="single" w:sz="4" w:space="0" w:color="7F7F7F"/>
            </w:tcBorders>
            <w:shd w:val="clear" w:color="auto" w:fill="auto"/>
            <w:noWrap/>
            <w:vAlign w:val="center"/>
            <w:hideMark/>
          </w:tcPr>
          <w:p w14:paraId="70944B8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NO</w:t>
            </w:r>
            <w:r w:rsidRPr="00C81B1E">
              <w:rPr>
                <w:rFonts w:eastAsia="Calibri"/>
                <w:b/>
                <w:bCs/>
                <w:vertAlign w:val="subscript"/>
                <w:lang w:val="en-GB" w:eastAsia="en-US"/>
              </w:rPr>
              <w:t>3</w:t>
            </w:r>
            <w:r w:rsidRPr="00C81B1E">
              <w:rPr>
                <w:rFonts w:eastAsia="Calibri"/>
                <w:b/>
                <w:bCs/>
                <w:vertAlign w:val="superscript"/>
                <w:lang w:val="en-GB" w:eastAsia="en-US"/>
              </w:rPr>
              <w:t>-</w:t>
            </w:r>
          </w:p>
        </w:tc>
        <w:tc>
          <w:tcPr>
            <w:tcW w:w="1167" w:type="dxa"/>
            <w:tcBorders>
              <w:top w:val="single" w:sz="4" w:space="0" w:color="7F7F7F"/>
              <w:bottom w:val="single" w:sz="4" w:space="0" w:color="7F7F7F"/>
            </w:tcBorders>
            <w:shd w:val="clear" w:color="auto" w:fill="auto"/>
            <w:noWrap/>
            <w:vAlign w:val="center"/>
            <w:hideMark/>
          </w:tcPr>
          <w:p w14:paraId="042397CD"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648347D8"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567" w:type="dxa"/>
            <w:tcBorders>
              <w:top w:val="single" w:sz="4" w:space="0" w:color="7F7F7F"/>
              <w:bottom w:val="single" w:sz="4" w:space="0" w:color="7F7F7F"/>
            </w:tcBorders>
            <w:shd w:val="clear" w:color="auto" w:fill="auto"/>
            <w:noWrap/>
            <w:vAlign w:val="center"/>
            <w:hideMark/>
          </w:tcPr>
          <w:p w14:paraId="1B682866"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Ortner","given":"Markus","non-dropping-particle":"","parse-names":false,"suffix":""},{"dropping-particle":"","family":"Drosg","given":"Bernhard","non-dropping-particle":"","parse-names":false,"suffix":""},{"dropping-particle":"","family":"Stoyanova","given":"Elitza","non-dropping-particle":"","parse-names":false,"suffix":""},{"dropping-particle":"","family":"Bochman","given":"Günther","non-dropping-particle":"","parse-names":false,"suffix":""}],"chapter-number":"8","container-title":"Bioenergy production by anaerobic digestion. Using agricultural biomass and organic wastes","editor":[{"dropping-particle":"","family":"Korres","given":"Nicholas E.","non-dropping-particle":"","parse-names":false,"suffix":""},{"dropping-particle":"","family":"O'Kiley","given":"Padraig","non-dropping-particle":"","parse-names":false,"suffix":""},{"dropping-particle":"","family":"Benzie","given":"John A. H.","non-dropping-particle":"","parse-names":false,"suffix":""},{"dropping-particle":"","family":"West","given":"Jonathan S.","non-dropping-particle":"","parse-names":false,"suffix":""}],"id":"ITEM-1","issued":{"date-parts":[["2013"]]},"page":"111-135","publisher":"Earthscan","title":"Industrial residues for biomethane production","type":"chapter"},"uris":["http://www.mendeley.com/documents/?uuid=8efc12b8-7163-4401-abc5-1f33d61e6b26"]}],"mendeley":{"formattedCitation":"(Ortner et al., 2013)","manualFormatting":"Ortner et al. (2013)","plainTextFormattedCitation":"(Ortner et al., 2013)","previouslyFormattedCitation":"(Ortner et al., 2013)"},"properties":{"noteIndex":0},"schema":"https://github.com/citation-style-language/schema/raw/master/csl-citation.json"}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Ortner et al. (2013)</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{"citationItems":[{"id":"ITEM-1","itemData":{"DOI":"10.1023/B:WATE.0000019932.04020.b6","ISBN":"0049-6979","ISSN":"00496979","abstract":"Because of its agronomic benefits, farm-scale composting is an efficient means of recycling agricultural waste. Composting process is an aerobic degradation of fresh organic matter in mature compost. Nevertheless, according to the literature, composting may induce some environmental problems. The environmental impacts of composting will be described, along with an assessment of farm-scale composting practices which play a major role in pollution. The main environmental components potentially affected by composting pollution are air and water. Various gases released by composting, such as NH3, CH4 and N2O, can impact air quality and are therefore studied because they all have environmental impacts and can be controlled by composting management. The effect on water quality can be evaluated by considering loss of NO3-, NH4+, organic compounds and PO43-. Technical evaluation criteria for the impact of farm-scale composting on the air are determined from the physical and chemical characteristics of the raw materials, the use of additives, the turning method and frequency and the duration of the composting operations. Regarding water, the weather conditions at the beginning of the composting operation, the location of the heap, the protection against rain, the water addition during the process, the use of covers and the recovery of leaching and runoff water are also taken into account. The two main practices which control the air and water pollution from composting are: the choice of the raw material which influences gas emissions and the choice of composting location which have an high effect on losses by leaching and runoff. © 2004 Kluwer Academic Publishers.","author":[{"dropping-particle":"","family":"Peigne","given":"Josephine","non-dropping-particle":"","parse-names":false,"suffix":""},{"dropping-particle":"","family":"Girardin","given":"Philippe","non-dropping-particle":"","parse-names":false,"suffix":""}],"container-title":"Water, Air, and Soil Pollution","id":"ITEM-1","issued":{"date-parts":[["2004"]]},"page":"45-68","title":"Environmental impacts of farm-scale composting practices","type":"article-journal","volume":"153"},"uris":["http://www.mendeley.com/documents/?uuid=1cac405a-2c5f-4ec5-905c-fffa125841e9"]}],"mendeley":{"formattedCitation":"(Peigne and Girardin, 2004)","manualFormatting":"Peigne &amp; Girardin (2004)","plainTextFormattedCitation":"(Peigne and Girardin, 2004)","previouslyFormattedCitation":"(Peigne and Girardin, 2004)"},"properties":{"noteIndex":0},"schema":"https://github.com/citation-style-language/schema/raw/master/csl-citation.json"}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Peigne &amp; Girardin (2004)</w:t>
            </w:r>
            <w:r w:rsidRPr="00C81B1E">
              <w:rPr>
                <w:rFonts w:eastAsia="Calibri"/>
                <w:lang w:val="en-GB" w:eastAsia="en-US"/>
              </w:rPr>
              <w:fldChar w:fldCharType="end"/>
            </w:r>
          </w:p>
        </w:tc>
      </w:tr>
      <w:tr w:rsidR="00C81B1E" w:rsidRPr="00C81B1E" w14:paraId="04DBD729" w14:textId="77777777" w:rsidTr="00C81B1E">
        <w:trPr>
          <w:trHeight w:val="285"/>
        </w:trPr>
        <w:tc>
          <w:tcPr>
            <w:tcW w:w="1439" w:type="dxa"/>
            <w:shd w:val="clear" w:color="auto" w:fill="auto"/>
            <w:noWrap/>
            <w:vAlign w:val="center"/>
            <w:hideMark/>
          </w:tcPr>
          <w:p w14:paraId="620838C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K</w:t>
            </w:r>
          </w:p>
        </w:tc>
        <w:tc>
          <w:tcPr>
            <w:tcW w:w="1167" w:type="dxa"/>
            <w:shd w:val="clear" w:color="auto" w:fill="auto"/>
            <w:noWrap/>
            <w:vAlign w:val="center"/>
            <w:hideMark/>
          </w:tcPr>
          <w:p w14:paraId="70771883"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23F43AD9"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567" w:type="dxa"/>
            <w:shd w:val="clear" w:color="auto" w:fill="auto"/>
            <w:noWrap/>
            <w:vAlign w:val="center"/>
            <w:hideMark/>
          </w:tcPr>
          <w:p w14:paraId="6B8267FA"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{"citationItems":[{"id":"ITEM-1","itemData":{"DOI":"10.1016/j.jenvman.2010.10.021","ISBN":"0301-4797","ISSN":"03014797","PMID":"21050654","abstract":"During anaerobic digestion of organic waste, both energy-rich biogas and a nutrient-rich digestate are produced. The digestate can be used as a fertiliser in agricultural soils if the levels of hazardous compounds and pathogens are low. This article reviews the main findings about phenols in anaerobic digestion processes degrading organic solid wastes, and examines the effect of process temperature on the anaerobic degradation of phenols, the microbial community and the quality of the digestate. The degradation efficiency of a number of different phenols has been shown to be correlated to the process temperature. Higher degradation efficiency is observed at mesophilic process temperature than at thermophilic temperature. Possible explanations for this variation in the degradation of phenols include differences in diversity, particularly of the phenol-degrading bacteria, and/or the presence of temperature-sensitive enzymes. Chemical analysis of digestate from bioreactors operating at thermophilic temperature detected a higher content of phenols compared to mesophilic bioreactors, verifying the degradation results. Digestate with the highest phenol content has the greatest negative impact on soil microbial activity. © 2010 Elsevier Ltd.","author":[{"dropping-particle":"","family":"Levén","given":"Lotta","non-dropping-particle":"","parse-names":false,"suffix":""},{"dropping-particle":"","family":"Nyberg","given":"Karin","non-dropping-particle":"","parse-names":false,"suffix":""},{"dropping-particle":"","family":"Schnürer","given":"Anna","non-dropping-particle":"","parse-names":false,"suffix":""}],"container-title":"Journal of Environmental Management","id":"ITEM-1","issue":"SUPPL.","issued":{"date-parts":[["2012"]]},"page":"S99-S103","publisher":"Elsevier Ltd","title":"Conversion of phenols during anaerobic digestion of organic solid waste - A review of important microorganisms and impact of temperature","type":"article-journal","volume":"95"},"uris":["http://www.mendeley.com/documents/?uuid=46374ed3-07d8-4cba-b723-e58cb13d563e"]}],"mendeley":{"formattedCitation":"(Levén et al., 2012)","manualFormatting":"Levén et al. (2012)","plainTextFormattedCitation":"(Levén et al., 2012)","previouslyFormattedCitation":"(Levén et al., 2012)"},"properties":{"noteIndex":0},"schema":"https://github.com/citation-style-language/schema/raw/master/csl-citation.json"}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Levén et al. (2012)</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0A0A3215"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00DA04C2"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Ca</w:t>
            </w:r>
          </w:p>
        </w:tc>
        <w:tc>
          <w:tcPr>
            <w:tcW w:w="1167" w:type="dxa"/>
            <w:tcBorders>
              <w:top w:val="single" w:sz="4" w:space="0" w:color="7F7F7F"/>
              <w:bottom w:val="single" w:sz="4" w:space="0" w:color="7F7F7F"/>
            </w:tcBorders>
            <w:shd w:val="clear" w:color="auto" w:fill="auto"/>
            <w:noWrap/>
            <w:vAlign w:val="center"/>
            <w:hideMark/>
          </w:tcPr>
          <w:p w14:paraId="46F5372E"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4852BC19"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567" w:type="dxa"/>
            <w:tcBorders>
              <w:top w:val="single" w:sz="4" w:space="0" w:color="7F7F7F"/>
              <w:bottom w:val="single" w:sz="4" w:space="0" w:color="7F7F7F"/>
            </w:tcBorders>
            <w:shd w:val="clear" w:color="auto" w:fill="auto"/>
            <w:noWrap/>
            <w:vAlign w:val="center"/>
            <w:hideMark/>
          </w:tcPr>
          <w:p w14:paraId="2906EEF7" w14:textId="3FB9225B"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{"citationItems":[{"id":"ITEM-1","itemData":{"DOI":"10.1039/b617101j","ISBN":"1464-0325 (Print)\\r1464-0325 (Linking)","ISSN":"1464-0325","PMID":"17492091","abstract":"In Europe, 9.3 x 10(6) t(dry weight (dw)) of compost and digestate are produced per year. Most of this is applied to agricultural land, which can lead to considerable inputs of organic pollutants, such as polychlorinated biphenyls (PCB) and polycyclic aromatic hydrocarbons (PAH) to soil. This paper presents an inventory of the pollutant situation in source-separated composts, digestates and presswater in Switzerland by a detailed analysis of over 70 samples. PCB concentrations ( summation PCB 28, 52, 101, 118, 138, 153, 180) were significantly higher in urban (median: 30 microg kg(-1)dw, n = 52) than in rural samples (median: 14 microg kg(-1)dw, n = 16). Together with low concentrations in general, this points to aerial deposition on compost input material as the major contamination pathway. Enantiomeric fractions of atropisometric PCB were close to racemic. Median PAH concentration was 3010 microg kg(-1)dw( summation 15PAH, n = 69), and one quarter of the samples exhibited concentrations above the relevant Swiss guide value for compost (4000 microg kg(-1)dw). The levels were influenced by the treatment process (digestate &gt; compost), the season of input material collection (spring-summer &gt; winter &gt; autumn), the particle size (coarse-grained &gt; fine-grained), and maturity (mature &gt; less mature). The main source of PAH in compost was pyrogenic, probably influenced mainly by liquid fossil fuel combustion and some asphalt abrasion, as suggested by multiple linear regression. This study, together with a companion paper reporting on other organic contaminates including emerging compound classes, provides a starting point for a better risk-benefit estimation of the application of compost and digestate to agricultural soil in Switzerland.","author":[{"dropping-particle":"","family":"Brändli","given":"Rahel C.","non-dropping-particle":"","parse-names":false,"suffix":""},{"dropping-particle":"","family":"Bucheli","given":"Thomas D.","non-dropping-particle":"","parse-names":false,"suffix":""},{"dropping-particle":"","family":"Kupper","given":"Thomas","non-dropping-particle":"","parse-names":false,"suffix":""},{"dropping-particle":"","family":"Furrer","given":"Reinhard","non-dropping-particle":"","parse-names":false,"suffix":""},{"dropping-particle":"","family":"Stahel","given":"Werner A.","non-dropping-particle":"","parse-names":false,"suffix":""},{"dropping-particle":"","family":"Stadelmann","given":"Franz X.","non-dropping-particle":"","parse-names":false,"suffix":""},{"dropping-particle":"","family":"Tarradellas","given":"Joseph","non-dropping-particle":"","parse-names":false,"suffix":""}],"container-title":"Journal of Environmental Monitoring","id":"ITEM-1","issue":"5","issued":{"date-parts":[["2007"]]},"page":"456-464","title":"Organic pollutants in compost and digestate. Part 1. Polychlorinated biphenyls, polycyclic aromatic hydrocarbons and molecular markers","type":"article-journal","volume":"9"},"uris":["http://www.mendeley.com/documents/?uuid=6a2bcfa8-e240-4327-b896-20ea52d9c9e1"]}],"mendeley":{"formattedCitation":"(Brändli et al., 2007)","manualFormatting":"Brändli, Bucheli, et al. (2007)","plainTextFormattedCitation":"(Brändli et al., 2007)","previouslyFormattedCitation":"(Brändli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Brändli, et al. (2007)</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32FA97DD" w14:textId="77777777" w:rsidTr="00C81B1E">
        <w:trPr>
          <w:trHeight w:val="285"/>
        </w:trPr>
        <w:tc>
          <w:tcPr>
            <w:tcW w:w="1439" w:type="dxa"/>
            <w:shd w:val="clear" w:color="auto" w:fill="auto"/>
            <w:noWrap/>
            <w:vAlign w:val="center"/>
            <w:hideMark/>
          </w:tcPr>
          <w:p w14:paraId="442FF38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Mg</w:t>
            </w:r>
          </w:p>
        </w:tc>
        <w:tc>
          <w:tcPr>
            <w:tcW w:w="1167" w:type="dxa"/>
            <w:shd w:val="clear" w:color="auto" w:fill="auto"/>
            <w:noWrap/>
            <w:vAlign w:val="center"/>
            <w:hideMark/>
          </w:tcPr>
          <w:p w14:paraId="7E9E0F60"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10C0E2D1"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567" w:type="dxa"/>
            <w:shd w:val="clear" w:color="auto" w:fill="auto"/>
            <w:noWrap/>
            <w:vAlign w:val="center"/>
            <w:hideMark/>
          </w:tcPr>
          <w:p w14:paraId="52CA3907"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{"citationItems":[{"id":"ITEM-1","itemData":{"DOI":"10.1016/j.jenvman.2010.10.021","ISBN":"0301-4797","ISSN":"03014797","PMID":"21050654","abstract":"During anaerobic digestion of organic waste, both energy-rich biogas and a nutrient-rich digestate are produced. The digestate can be used as a fertiliser in agricultural soils if the levels of hazardous compounds and pathogens are low. This article reviews the main findings about phenols in anaerobic digestion processes degrading organic solid wastes, and examines the effect of process temperature on the anaerobic degradation of phenols, the microbial community and the quality of the digestate. The degradation efficiency of a number of different phenols has been shown to be correlated to the process temperature. Higher degradation efficiency is observed at mesophilic process temperature than at thermophilic temperature. Possible explanations for this variation in the degradation of phenols include differences in diversity, particularly of the phenol-degrading bacteria, and/or the presence of temperature-sensitive enzymes. Chemical analysis of digestate from bioreactors operating at thermophilic temperature detected a higher content of phenols compared to mesophilic bioreactors, verifying the degradation results. Digestate with the highest phenol content has the greatest negative impact on soil microbial activity. © 2010 Elsevier Ltd.","author":[{"dropping-particle":"","family":"Levén","given":"Lotta","non-dropping-particle":"","parse-names":false,"suffix":""},{"dropping-particle":"","family":"Nyberg","given":"Karin","non-dropping-particle":"","parse-names":false,"suffix":""},{"dropping-particle":"","family":"Schnürer","given":"Anna","non-dropping-particle":"","parse-names":false,"suffix":""}],"container-title":"Journal of Environmental Management","id":"ITEM-1","issue":"SUPPL.","issued":{"date-parts":[["2012"]]},"page":"S99-S103","publisher":"Elsevier Ltd","title":"Conversion of phenols during anaerobic digestion of organic solid waste - A review of important microorganisms and impact of temperature","type":"article-journal","volume":"95"},"uris":["http://www.mendeley.com/documents/?uuid=46374ed3-07d8-4cba-b723-e58cb13d563e"]}],"mendeley":{"formattedCitation":"(Levén et al., 2012)","manualFormatting":"Levén et al. (2012)","plainTextFormattedCitation":"(Levén et al., 2012)","previouslyFormattedCitation":"(Levén et al., 2012)"},"properties":{"noteIndex":0},"schema":"https://github.com/citation-style-language/schema/raw/master/csl-citation.json"}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Levén et al. (2012)</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4D525E00"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52A0B65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w:t>
            </w:r>
          </w:p>
        </w:tc>
        <w:tc>
          <w:tcPr>
            <w:tcW w:w="1167" w:type="dxa"/>
            <w:tcBorders>
              <w:top w:val="single" w:sz="4" w:space="0" w:color="7F7F7F"/>
              <w:bottom w:val="single" w:sz="4" w:space="0" w:color="7F7F7F"/>
            </w:tcBorders>
            <w:shd w:val="clear" w:color="auto" w:fill="auto"/>
            <w:noWrap/>
            <w:vAlign w:val="center"/>
            <w:hideMark/>
          </w:tcPr>
          <w:p w14:paraId="7A8075F4"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2D3A1AFC"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567" w:type="dxa"/>
            <w:tcBorders>
              <w:top w:val="single" w:sz="4" w:space="0" w:color="7F7F7F"/>
              <w:bottom w:val="single" w:sz="4" w:space="0" w:color="7F7F7F"/>
            </w:tcBorders>
            <w:shd w:val="clear" w:color="auto" w:fill="auto"/>
            <w:noWrap/>
            <w:vAlign w:val="center"/>
            <w:hideMark/>
          </w:tcPr>
          <w:p w14:paraId="292A0D71"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{"citationItems":[{"id":"ITEM-1","itemData":{"DOI":"10.1016/j.energy.2015.02.098","ISBN":"03605442","ISSN":"03605442","abstract":"The aim of this work was to assess the energy potential of food waste energy harvesting system (digestion followed by pyrolysis of digestate). Digestate (DFW) with increased calorific content was produced after a commercial one stage anaerobic digestion of the raw food waste (RFW). Separate pyrolysis of RFW and DFW (digestated food waste) distributed 15.7 MJ/kg and 17.2 MJ/kg respectively, among the gas, char and bio-oil, while energy of pyrolysis at 0.72 MJ/kg for RFW and 0.87 MJ/kg for DFW at the heating rate of 10 ??C/min to 500 ??C. Increase in the digestate specific heat to 2.5 MJ/m3 and its significant ash difference reflects the substrate (RFW) transformation due to biochemical treatment. The thermogravimetric analysis indicated the substrates mass dynamics and stability extent of the treatment products (DFW, RFW500 and DFW500). Generally, transitional energy base products (biogas and bio-oil) are generated through the energy harvesting system (EHS) of food waste, while energy rich solid fuels can be produced through pyrolysis at 500 ??C. Thus, the sustainable potential of EHS to widen and broaden recycling capacity of biomass and smartly appropriate its resources are demonstrated to be dependent and pivoted on the adopted treatment method.","author":[{"dropping-particle":"","family":"Opatokun","given":"Suraj Adebayo","non-dropping-particle":"","parse-names":false,"suffix":""},{"dropping-particle":"","family":"Strezov","given":"Vladimir","non-dropping-particle":"","parse-names":false,"suffix":""},{"dropping-particle":"","family":"Kan","given":"Tao","non-dropping-particle":"","parse-names":false,"suffix":""}],"container-title":"Energy","id":"ITEM-1","issued":{"date-parts":[["2015"]]},"page":"2-7","publisher":"Elsevier Ltd","title":"Product based evaluation of pyrolysis of food waste and its digestate","type":"article-journal","volume":"92"},"uris":["http://www.mendeley.com/documents/?uuid=b5bb558a-2b12-47ee-8a87-8b2474293e89"]}],"mendeley":{"formattedCitation":"(Opatokun et al., 2015)","manualFormatting":"Opatokun et al. (2015)","plainTextFormattedCitation":"(Opatokun et al., 2015)","previouslyFormattedCitation":"(Opatokun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Opatokun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1C52288D" w14:textId="77777777" w:rsidTr="00C81B1E">
        <w:trPr>
          <w:trHeight w:val="285"/>
        </w:trPr>
        <w:tc>
          <w:tcPr>
            <w:tcW w:w="1439" w:type="dxa"/>
            <w:shd w:val="clear" w:color="auto" w:fill="auto"/>
            <w:noWrap/>
            <w:vAlign w:val="center"/>
            <w:hideMark/>
          </w:tcPr>
          <w:p w14:paraId="6BECF772"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Hg</w:t>
            </w:r>
          </w:p>
        </w:tc>
        <w:tc>
          <w:tcPr>
            <w:tcW w:w="1167" w:type="dxa"/>
            <w:shd w:val="clear" w:color="auto" w:fill="auto"/>
            <w:noWrap/>
            <w:vAlign w:val="center"/>
            <w:hideMark/>
          </w:tcPr>
          <w:p w14:paraId="7CDDBB42"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6165D414" w14:textId="77777777" w:rsidR="00C7764C" w:rsidRPr="00C81B1E" w:rsidRDefault="00C7764C" w:rsidP="00C81B1E">
            <w:pPr>
              <w:pStyle w:val="MDPI42tablebody"/>
              <w:rPr>
                <w:rFonts w:eastAsia="Calibri"/>
                <w:lang w:val="en-GB" w:eastAsia="en-US"/>
              </w:rPr>
            </w:pPr>
            <w:r w:rsidRPr="00C81B1E">
              <w:rPr>
                <w:rFonts w:eastAsia="Calibri"/>
                <w:lang w:val="en-GB" w:eastAsia="en-US"/>
              </w:rPr>
              <w:t>AD, TT</w:t>
            </w:r>
          </w:p>
        </w:tc>
        <w:tc>
          <w:tcPr>
            <w:tcW w:w="5567" w:type="dxa"/>
            <w:vMerge w:val="restart"/>
            <w:shd w:val="clear" w:color="auto" w:fill="auto"/>
            <w:noWrap/>
            <w:vAlign w:val="center"/>
            <w:hideMark/>
          </w:tcPr>
          <w:p w14:paraId="1A85DBE9"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2015.04.164","ISSN":"1364-0321","author":[{"dropping-particle":"","family":"Xu","given":"Changqing","non-dropping-particle":"","parse-names":false,"suffix":""},{"dropping-particle":"","family":"Shi","given":"Wenxiao","non-dropping-particle":"","parse-names":false,"suffix":""},{"dropping-particle":"","family":"Hong","given":"Jinglan","non-dropping-particle":"","parse-names":false,"suffix":""},{"dropping-particle":"","family":"Zhang","given":"Fangfang","non-dropping-particle":"","parse-names":false,"suffix":""},{"dropping-particle":"","family":"Chen","given":"Wei","non-dropping-particle":"","parse-names":false,"suffix":""}],"container-title":"Renewable and Sustainable Energy Reviews","id":"ITEM-1","issued":{"date-parts":[["2015"]]},"page":"169-177","publisher":"Elsevier","title":"Life cycle assessment of food waste-based biogas generation","type":"article-journal","volume":"49"},"uris":["http://www.mendeley.com/documents/?uuid=d881818c-5df0-4743-8667-8efc959eea9b"]}],"mendeley":{"formattedCitation":"(Xu et al., 2015)","manualFormatting":"Xu et al. (2015)","plainTextFormattedCitation":"(Xu et al., 2015)","previouslyFormattedCitation":"(Xu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Xu et al. (2015)</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38468D90"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16EA77D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Cu</w:t>
            </w:r>
          </w:p>
        </w:tc>
        <w:tc>
          <w:tcPr>
            <w:tcW w:w="1167" w:type="dxa"/>
            <w:tcBorders>
              <w:top w:val="single" w:sz="4" w:space="0" w:color="7F7F7F"/>
              <w:bottom w:val="single" w:sz="4" w:space="0" w:color="7F7F7F"/>
            </w:tcBorders>
            <w:shd w:val="clear" w:color="auto" w:fill="auto"/>
            <w:noWrap/>
            <w:vAlign w:val="center"/>
            <w:hideMark/>
          </w:tcPr>
          <w:p w14:paraId="3C03A1E2"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726638D6" w14:textId="77777777" w:rsidR="00C7764C" w:rsidRPr="00C81B1E" w:rsidRDefault="00C7764C" w:rsidP="00C81B1E">
            <w:pPr>
              <w:pStyle w:val="MDPI42tablebody"/>
              <w:rPr>
                <w:rFonts w:eastAsia="Calibri"/>
                <w:lang w:val="en-GB" w:eastAsia="en-US"/>
              </w:rPr>
            </w:pPr>
            <w:r w:rsidRPr="00C81B1E">
              <w:rPr>
                <w:rFonts w:eastAsia="Calibri"/>
                <w:lang w:val="en-GB" w:eastAsia="en-US"/>
              </w:rPr>
              <w:t>AD, TT</w:t>
            </w:r>
          </w:p>
        </w:tc>
        <w:tc>
          <w:tcPr>
            <w:tcW w:w="5567" w:type="dxa"/>
            <w:vMerge/>
            <w:tcBorders>
              <w:top w:val="single" w:sz="4" w:space="0" w:color="7F7F7F"/>
              <w:bottom w:val="single" w:sz="4" w:space="0" w:color="7F7F7F"/>
            </w:tcBorders>
            <w:shd w:val="clear" w:color="auto" w:fill="auto"/>
            <w:noWrap/>
            <w:vAlign w:val="center"/>
          </w:tcPr>
          <w:p w14:paraId="569F4C7F" w14:textId="77777777" w:rsidR="00C7764C" w:rsidRPr="00C81B1E" w:rsidRDefault="00C7764C" w:rsidP="00C81B1E">
            <w:pPr>
              <w:pStyle w:val="MDPI42tablebody"/>
              <w:rPr>
                <w:rFonts w:eastAsia="Calibri"/>
                <w:lang w:val="en-GB" w:eastAsia="en-US"/>
              </w:rPr>
            </w:pPr>
          </w:p>
        </w:tc>
      </w:tr>
      <w:tr w:rsidR="00C81B1E" w:rsidRPr="00C81B1E" w14:paraId="282489FE" w14:textId="77777777" w:rsidTr="00C81B1E">
        <w:trPr>
          <w:trHeight w:val="285"/>
        </w:trPr>
        <w:tc>
          <w:tcPr>
            <w:tcW w:w="1439" w:type="dxa"/>
            <w:shd w:val="clear" w:color="auto" w:fill="auto"/>
            <w:noWrap/>
            <w:vAlign w:val="center"/>
            <w:hideMark/>
          </w:tcPr>
          <w:p w14:paraId="05B1969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Ni</w:t>
            </w:r>
          </w:p>
        </w:tc>
        <w:tc>
          <w:tcPr>
            <w:tcW w:w="1167" w:type="dxa"/>
            <w:shd w:val="clear" w:color="auto" w:fill="auto"/>
            <w:noWrap/>
            <w:vAlign w:val="center"/>
            <w:hideMark/>
          </w:tcPr>
          <w:p w14:paraId="08EB116D"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3D082BA9" w14:textId="77777777" w:rsidR="00C7764C" w:rsidRPr="00C81B1E" w:rsidRDefault="00C7764C" w:rsidP="00C81B1E">
            <w:pPr>
              <w:pStyle w:val="MDPI42tablebody"/>
              <w:rPr>
                <w:rFonts w:eastAsia="Calibri"/>
                <w:lang w:val="en-GB" w:eastAsia="en-US"/>
              </w:rPr>
            </w:pPr>
            <w:r w:rsidRPr="00C81B1E">
              <w:rPr>
                <w:rFonts w:eastAsia="Calibri"/>
                <w:lang w:val="en-GB" w:eastAsia="en-US"/>
              </w:rPr>
              <w:t>AD, TT</w:t>
            </w:r>
          </w:p>
        </w:tc>
        <w:tc>
          <w:tcPr>
            <w:tcW w:w="5567" w:type="dxa"/>
            <w:vMerge/>
            <w:shd w:val="clear" w:color="auto" w:fill="auto"/>
            <w:noWrap/>
            <w:vAlign w:val="center"/>
          </w:tcPr>
          <w:p w14:paraId="7D7FBA8C" w14:textId="77777777" w:rsidR="00C7764C" w:rsidRPr="00C81B1E" w:rsidRDefault="00C7764C" w:rsidP="00C81B1E">
            <w:pPr>
              <w:pStyle w:val="MDPI42tablebody"/>
              <w:rPr>
                <w:rFonts w:eastAsia="Calibri"/>
                <w:lang w:val="en-GB" w:eastAsia="en-US"/>
              </w:rPr>
            </w:pPr>
          </w:p>
        </w:tc>
      </w:tr>
      <w:tr w:rsidR="00C81B1E" w:rsidRPr="00C81B1E" w14:paraId="448B4464"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1CCE95F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As</w:t>
            </w:r>
          </w:p>
        </w:tc>
        <w:tc>
          <w:tcPr>
            <w:tcW w:w="1167" w:type="dxa"/>
            <w:tcBorders>
              <w:top w:val="single" w:sz="4" w:space="0" w:color="7F7F7F"/>
              <w:bottom w:val="single" w:sz="4" w:space="0" w:color="7F7F7F"/>
            </w:tcBorders>
            <w:shd w:val="clear" w:color="auto" w:fill="auto"/>
            <w:noWrap/>
            <w:vAlign w:val="center"/>
            <w:hideMark/>
          </w:tcPr>
          <w:p w14:paraId="3C5AE8A9"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069C7862" w14:textId="77777777" w:rsidR="00C7764C" w:rsidRPr="00C81B1E" w:rsidRDefault="00C7764C" w:rsidP="00C81B1E">
            <w:pPr>
              <w:pStyle w:val="MDPI42tablebody"/>
              <w:rPr>
                <w:rFonts w:eastAsia="Calibri"/>
                <w:lang w:val="en-GB" w:eastAsia="en-US"/>
              </w:rPr>
            </w:pPr>
            <w:r w:rsidRPr="00C81B1E">
              <w:rPr>
                <w:rFonts w:eastAsia="Calibri"/>
                <w:lang w:val="en-GB" w:eastAsia="en-US"/>
              </w:rPr>
              <w:t>AD, TT</w:t>
            </w:r>
          </w:p>
        </w:tc>
        <w:tc>
          <w:tcPr>
            <w:tcW w:w="5567" w:type="dxa"/>
            <w:vMerge/>
            <w:tcBorders>
              <w:top w:val="single" w:sz="4" w:space="0" w:color="7F7F7F"/>
              <w:bottom w:val="single" w:sz="4" w:space="0" w:color="7F7F7F"/>
            </w:tcBorders>
            <w:shd w:val="clear" w:color="auto" w:fill="auto"/>
            <w:noWrap/>
            <w:vAlign w:val="center"/>
          </w:tcPr>
          <w:p w14:paraId="3BC30B0A" w14:textId="77777777" w:rsidR="00C7764C" w:rsidRPr="00C81B1E" w:rsidRDefault="00C7764C" w:rsidP="00C81B1E">
            <w:pPr>
              <w:pStyle w:val="MDPI42tablebody"/>
              <w:rPr>
                <w:rFonts w:eastAsia="Calibri"/>
                <w:lang w:val="en-GB" w:eastAsia="en-US"/>
              </w:rPr>
            </w:pPr>
          </w:p>
        </w:tc>
      </w:tr>
      <w:tr w:rsidR="00C81B1E" w:rsidRPr="00C81B1E" w14:paraId="3785AE19" w14:textId="77777777" w:rsidTr="00C81B1E">
        <w:trPr>
          <w:trHeight w:val="285"/>
        </w:trPr>
        <w:tc>
          <w:tcPr>
            <w:tcW w:w="1439" w:type="dxa"/>
            <w:shd w:val="clear" w:color="auto" w:fill="auto"/>
            <w:noWrap/>
            <w:vAlign w:val="center"/>
            <w:hideMark/>
          </w:tcPr>
          <w:p w14:paraId="2DCB8E4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V</w:t>
            </w:r>
          </w:p>
        </w:tc>
        <w:tc>
          <w:tcPr>
            <w:tcW w:w="1167" w:type="dxa"/>
            <w:shd w:val="clear" w:color="auto" w:fill="auto"/>
            <w:noWrap/>
            <w:vAlign w:val="center"/>
            <w:hideMark/>
          </w:tcPr>
          <w:p w14:paraId="751E7E2D"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2DDB87A0"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5567" w:type="dxa"/>
            <w:vMerge w:val="restart"/>
            <w:shd w:val="clear" w:color="auto" w:fill="auto"/>
            <w:noWrap/>
            <w:vAlign w:val="center"/>
            <w:hideMark/>
          </w:tcPr>
          <w:p w14:paraId="59EEC197"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2015.04.164","ISSN":"1364-0321","author":[{"dropping-particle":"","family":"Xu","given":"Changqing","non-dropping-particle":"","parse-names":false,"suffix":""},{"dropping-particle":"","family":"Shi","given":"Wenxiao","non-dropping-particle":"","parse-names":false,"suffix":""},{"dropping-particle":"","family":"Hong","given":"Jinglan","non-dropping-particle":"","parse-names":false,"suffix":""},{"dropping-particle":"","family":"Zhang","given":"Fangfang","non-dropping-particle":"","parse-names":false,"suffix":""},{"dropping-particle":"","family":"Chen","given":"Wei","non-dropping-particle":"","parse-names":false,"suffix":""}],"container-title":"Renewable and Sustainable Energy Reviews","id":"ITEM-1","issued":{"date-parts":[["2015"]]},"page":"169-177","publisher":"Elsevier","title":"Life cycle assessment of food waste-based biogas generation","type":"article-journal","volume":"49"},"uris":["http://www.mendeley.com/documents/?uuid=d881818c-5df0-4743-8667-8efc959eea9b"]}],"mendeley":{"formattedCitation":"(Xu et al., 2015)","manualFormatting":"Xu et al. (2015)","plainTextFormattedCitation":"(Xu et al., 2015)","previouslyFormattedCitation":"(Xu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Xu et al. (2015)</w:t>
            </w:r>
            <w:r w:rsidRPr="00C81B1E">
              <w:rPr>
                <w:rFonts w:eastAsia="Calibri"/>
                <w:lang w:val="en-GB" w:eastAsia="en-US"/>
              </w:rPr>
              <w:fldChar w:fldCharType="end"/>
            </w:r>
          </w:p>
        </w:tc>
      </w:tr>
      <w:tr w:rsidR="00C81B1E" w:rsidRPr="00C81B1E" w14:paraId="3BDC58D0"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1E74D2A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Be</w:t>
            </w:r>
          </w:p>
        </w:tc>
        <w:tc>
          <w:tcPr>
            <w:tcW w:w="1167" w:type="dxa"/>
            <w:tcBorders>
              <w:top w:val="single" w:sz="4" w:space="0" w:color="7F7F7F"/>
              <w:bottom w:val="single" w:sz="4" w:space="0" w:color="7F7F7F"/>
            </w:tcBorders>
            <w:shd w:val="clear" w:color="auto" w:fill="auto"/>
            <w:noWrap/>
            <w:vAlign w:val="center"/>
            <w:hideMark/>
          </w:tcPr>
          <w:p w14:paraId="02C2BEF2"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0423EEB5"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5567" w:type="dxa"/>
            <w:vMerge/>
            <w:tcBorders>
              <w:top w:val="single" w:sz="4" w:space="0" w:color="7F7F7F"/>
              <w:bottom w:val="single" w:sz="4" w:space="0" w:color="7F7F7F"/>
            </w:tcBorders>
            <w:shd w:val="clear" w:color="auto" w:fill="auto"/>
            <w:noWrap/>
            <w:vAlign w:val="center"/>
          </w:tcPr>
          <w:p w14:paraId="71895059" w14:textId="77777777" w:rsidR="00C7764C" w:rsidRPr="00C81B1E" w:rsidRDefault="00C7764C" w:rsidP="00C81B1E">
            <w:pPr>
              <w:pStyle w:val="MDPI42tablebody"/>
              <w:rPr>
                <w:rFonts w:eastAsia="Calibri"/>
                <w:lang w:val="en-GB" w:eastAsia="en-US"/>
              </w:rPr>
            </w:pPr>
          </w:p>
        </w:tc>
      </w:tr>
      <w:tr w:rsidR="00C81B1E" w:rsidRPr="00C81B1E" w14:paraId="1E703F92" w14:textId="77777777" w:rsidTr="00C81B1E">
        <w:trPr>
          <w:trHeight w:val="285"/>
        </w:trPr>
        <w:tc>
          <w:tcPr>
            <w:tcW w:w="1439" w:type="dxa"/>
            <w:shd w:val="clear" w:color="auto" w:fill="auto"/>
            <w:noWrap/>
            <w:vAlign w:val="center"/>
            <w:hideMark/>
          </w:tcPr>
          <w:p w14:paraId="0F48034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Br</w:t>
            </w:r>
          </w:p>
        </w:tc>
        <w:tc>
          <w:tcPr>
            <w:tcW w:w="1167" w:type="dxa"/>
            <w:shd w:val="clear" w:color="auto" w:fill="auto"/>
            <w:noWrap/>
            <w:vAlign w:val="center"/>
            <w:hideMark/>
          </w:tcPr>
          <w:p w14:paraId="58B16000"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27BCD138"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5567" w:type="dxa"/>
            <w:vMerge/>
            <w:shd w:val="clear" w:color="auto" w:fill="auto"/>
            <w:noWrap/>
            <w:vAlign w:val="center"/>
          </w:tcPr>
          <w:p w14:paraId="11B3166E" w14:textId="77777777" w:rsidR="00C7764C" w:rsidRPr="00C81B1E" w:rsidRDefault="00C7764C" w:rsidP="00C81B1E">
            <w:pPr>
              <w:pStyle w:val="MDPI42tablebody"/>
              <w:rPr>
                <w:rFonts w:eastAsia="Calibri"/>
                <w:lang w:val="en-GB" w:eastAsia="en-US"/>
              </w:rPr>
            </w:pPr>
          </w:p>
        </w:tc>
      </w:tr>
      <w:tr w:rsidR="00C81B1E" w:rsidRPr="00C81B1E" w14:paraId="2F5F850D"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5343941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Se</w:t>
            </w:r>
          </w:p>
        </w:tc>
        <w:tc>
          <w:tcPr>
            <w:tcW w:w="1167" w:type="dxa"/>
            <w:tcBorders>
              <w:top w:val="single" w:sz="4" w:space="0" w:color="7F7F7F"/>
              <w:bottom w:val="single" w:sz="4" w:space="0" w:color="7F7F7F"/>
            </w:tcBorders>
            <w:shd w:val="clear" w:color="auto" w:fill="auto"/>
            <w:noWrap/>
            <w:vAlign w:val="center"/>
            <w:hideMark/>
          </w:tcPr>
          <w:p w14:paraId="6294035A"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63516FDB"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5567" w:type="dxa"/>
            <w:vMerge/>
            <w:tcBorders>
              <w:top w:val="single" w:sz="4" w:space="0" w:color="7F7F7F"/>
              <w:bottom w:val="single" w:sz="4" w:space="0" w:color="7F7F7F"/>
            </w:tcBorders>
            <w:shd w:val="clear" w:color="auto" w:fill="auto"/>
            <w:noWrap/>
            <w:vAlign w:val="center"/>
          </w:tcPr>
          <w:p w14:paraId="463D0E6F" w14:textId="77777777" w:rsidR="00C7764C" w:rsidRPr="00C81B1E" w:rsidRDefault="00C7764C" w:rsidP="00C81B1E">
            <w:pPr>
              <w:pStyle w:val="MDPI42tablebody"/>
              <w:rPr>
                <w:rFonts w:eastAsia="Calibri"/>
                <w:lang w:val="en-GB" w:eastAsia="en-US"/>
              </w:rPr>
            </w:pPr>
          </w:p>
        </w:tc>
      </w:tr>
      <w:tr w:rsidR="00C81B1E" w:rsidRPr="00C81B1E" w14:paraId="495E350B" w14:textId="77777777" w:rsidTr="00C81B1E">
        <w:trPr>
          <w:trHeight w:val="285"/>
        </w:trPr>
        <w:tc>
          <w:tcPr>
            <w:tcW w:w="1439" w:type="dxa"/>
            <w:shd w:val="clear" w:color="auto" w:fill="auto"/>
            <w:noWrap/>
            <w:vAlign w:val="center"/>
            <w:hideMark/>
          </w:tcPr>
          <w:p w14:paraId="7E801D8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Co</w:t>
            </w:r>
          </w:p>
        </w:tc>
        <w:tc>
          <w:tcPr>
            <w:tcW w:w="1167" w:type="dxa"/>
            <w:shd w:val="clear" w:color="auto" w:fill="auto"/>
            <w:noWrap/>
            <w:vAlign w:val="center"/>
            <w:hideMark/>
          </w:tcPr>
          <w:p w14:paraId="13FAEEFD"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1CAF1317"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5567" w:type="dxa"/>
            <w:vMerge/>
            <w:shd w:val="clear" w:color="auto" w:fill="auto"/>
            <w:noWrap/>
            <w:vAlign w:val="center"/>
          </w:tcPr>
          <w:p w14:paraId="037C0F28" w14:textId="77777777" w:rsidR="00C7764C" w:rsidRPr="00C81B1E" w:rsidRDefault="00C7764C" w:rsidP="00C81B1E">
            <w:pPr>
              <w:pStyle w:val="MDPI42tablebody"/>
              <w:rPr>
                <w:rFonts w:eastAsia="Calibri"/>
                <w:lang w:val="en-GB" w:eastAsia="en-US"/>
              </w:rPr>
            </w:pPr>
          </w:p>
        </w:tc>
      </w:tr>
      <w:tr w:rsidR="00C81B1E" w:rsidRPr="00C81B1E" w14:paraId="1B899DD6"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3E25B3B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w:t>
            </w:r>
            <w:r w:rsidRPr="00C81B1E">
              <w:rPr>
                <w:rFonts w:eastAsia="Calibri"/>
                <w:b/>
                <w:bCs/>
                <w:vertAlign w:val="superscript"/>
                <w:lang w:val="en-GB" w:eastAsia="en-US"/>
              </w:rPr>
              <w:t>-</w:t>
            </w:r>
          </w:p>
        </w:tc>
        <w:tc>
          <w:tcPr>
            <w:tcW w:w="1167" w:type="dxa"/>
            <w:tcBorders>
              <w:top w:val="single" w:sz="4" w:space="0" w:color="7F7F7F"/>
              <w:bottom w:val="single" w:sz="4" w:space="0" w:color="7F7F7F"/>
            </w:tcBorders>
            <w:shd w:val="clear" w:color="auto" w:fill="auto"/>
            <w:noWrap/>
            <w:vAlign w:val="center"/>
            <w:hideMark/>
          </w:tcPr>
          <w:p w14:paraId="476C9A0C"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2C5E9008" w14:textId="77777777" w:rsidR="00C7764C" w:rsidRPr="00C81B1E" w:rsidRDefault="00C7764C" w:rsidP="00C81B1E">
            <w:pPr>
              <w:pStyle w:val="MDPI42tablebody"/>
              <w:rPr>
                <w:rFonts w:eastAsia="Calibri"/>
                <w:lang w:val="en-GB" w:eastAsia="en-US"/>
              </w:rPr>
            </w:pPr>
            <w:r w:rsidRPr="00C81B1E">
              <w:rPr>
                <w:rFonts w:eastAsia="Calibri"/>
                <w:lang w:val="en-GB" w:eastAsia="en-US"/>
              </w:rPr>
              <w:t>C, TT</w:t>
            </w:r>
          </w:p>
        </w:tc>
        <w:tc>
          <w:tcPr>
            <w:tcW w:w="5567" w:type="dxa"/>
            <w:tcBorders>
              <w:top w:val="single" w:sz="4" w:space="0" w:color="7F7F7F"/>
              <w:bottom w:val="single" w:sz="4" w:space="0" w:color="7F7F7F"/>
            </w:tcBorders>
            <w:shd w:val="clear" w:color="auto" w:fill="auto"/>
            <w:noWrap/>
            <w:vAlign w:val="center"/>
            <w:hideMark/>
          </w:tcPr>
          <w:p w14:paraId="42C85C4C"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7D80A5EA" w14:textId="77777777" w:rsidTr="00C81B1E">
        <w:trPr>
          <w:trHeight w:val="285"/>
        </w:trPr>
        <w:tc>
          <w:tcPr>
            <w:tcW w:w="1439" w:type="dxa"/>
            <w:shd w:val="clear" w:color="auto" w:fill="auto"/>
            <w:noWrap/>
            <w:vAlign w:val="center"/>
            <w:hideMark/>
          </w:tcPr>
          <w:p w14:paraId="0978E68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B</w:t>
            </w:r>
          </w:p>
        </w:tc>
        <w:tc>
          <w:tcPr>
            <w:tcW w:w="1167" w:type="dxa"/>
            <w:shd w:val="clear" w:color="auto" w:fill="auto"/>
            <w:noWrap/>
            <w:vAlign w:val="center"/>
            <w:hideMark/>
          </w:tcPr>
          <w:p w14:paraId="7E2F621C"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7AD3D36A"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567" w:type="dxa"/>
            <w:vMerge w:val="restart"/>
            <w:shd w:val="clear" w:color="auto" w:fill="auto"/>
            <w:noWrap/>
            <w:vAlign w:val="center"/>
            <w:hideMark/>
          </w:tcPr>
          <w:p w14:paraId="2B628477"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2C9E131D"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4B69F64C"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Fe</w:t>
            </w:r>
          </w:p>
        </w:tc>
        <w:tc>
          <w:tcPr>
            <w:tcW w:w="1167" w:type="dxa"/>
            <w:tcBorders>
              <w:top w:val="single" w:sz="4" w:space="0" w:color="7F7F7F"/>
              <w:bottom w:val="single" w:sz="4" w:space="0" w:color="7F7F7F"/>
            </w:tcBorders>
            <w:shd w:val="clear" w:color="auto" w:fill="auto"/>
            <w:noWrap/>
            <w:vAlign w:val="center"/>
            <w:hideMark/>
          </w:tcPr>
          <w:p w14:paraId="3B1A97DA"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064062A9"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567" w:type="dxa"/>
            <w:vMerge/>
            <w:tcBorders>
              <w:top w:val="single" w:sz="4" w:space="0" w:color="7F7F7F"/>
              <w:bottom w:val="single" w:sz="4" w:space="0" w:color="7F7F7F"/>
            </w:tcBorders>
            <w:shd w:val="clear" w:color="auto" w:fill="auto"/>
            <w:noWrap/>
            <w:vAlign w:val="center"/>
          </w:tcPr>
          <w:p w14:paraId="6F15A66A" w14:textId="77777777" w:rsidR="00C7764C" w:rsidRPr="00C81B1E" w:rsidRDefault="00C7764C" w:rsidP="00C81B1E">
            <w:pPr>
              <w:pStyle w:val="MDPI42tablebody"/>
              <w:rPr>
                <w:rFonts w:eastAsia="Calibri"/>
                <w:lang w:val="en-GB" w:eastAsia="en-US"/>
              </w:rPr>
            </w:pPr>
          </w:p>
        </w:tc>
      </w:tr>
      <w:tr w:rsidR="00C81B1E" w:rsidRPr="00C81B1E" w14:paraId="737F7973" w14:textId="77777777" w:rsidTr="00C81B1E">
        <w:trPr>
          <w:trHeight w:val="285"/>
        </w:trPr>
        <w:tc>
          <w:tcPr>
            <w:tcW w:w="1439" w:type="dxa"/>
            <w:shd w:val="clear" w:color="auto" w:fill="auto"/>
            <w:noWrap/>
            <w:vAlign w:val="center"/>
            <w:hideMark/>
          </w:tcPr>
          <w:p w14:paraId="47501AD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Mn</w:t>
            </w:r>
          </w:p>
        </w:tc>
        <w:tc>
          <w:tcPr>
            <w:tcW w:w="1167" w:type="dxa"/>
            <w:shd w:val="clear" w:color="auto" w:fill="auto"/>
            <w:noWrap/>
            <w:vAlign w:val="center"/>
            <w:hideMark/>
          </w:tcPr>
          <w:p w14:paraId="6723C6F5"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62949F0F"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567" w:type="dxa"/>
            <w:vMerge/>
            <w:shd w:val="clear" w:color="auto" w:fill="auto"/>
            <w:noWrap/>
            <w:vAlign w:val="center"/>
          </w:tcPr>
          <w:p w14:paraId="7AA6FE87" w14:textId="77777777" w:rsidR="00C7764C" w:rsidRPr="00C81B1E" w:rsidRDefault="00C7764C" w:rsidP="00C81B1E">
            <w:pPr>
              <w:pStyle w:val="MDPI42tablebody"/>
              <w:rPr>
                <w:rFonts w:eastAsia="Calibri"/>
                <w:lang w:val="en-GB" w:eastAsia="en-US"/>
              </w:rPr>
            </w:pPr>
          </w:p>
        </w:tc>
      </w:tr>
      <w:tr w:rsidR="00C81B1E" w:rsidRPr="00C81B1E" w14:paraId="53CB4385"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7C632D14"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Na</w:t>
            </w:r>
          </w:p>
        </w:tc>
        <w:tc>
          <w:tcPr>
            <w:tcW w:w="1167" w:type="dxa"/>
            <w:tcBorders>
              <w:top w:val="single" w:sz="4" w:space="0" w:color="7F7F7F"/>
              <w:bottom w:val="single" w:sz="4" w:space="0" w:color="7F7F7F"/>
            </w:tcBorders>
            <w:shd w:val="clear" w:color="auto" w:fill="auto"/>
            <w:noWrap/>
            <w:vAlign w:val="center"/>
            <w:hideMark/>
          </w:tcPr>
          <w:p w14:paraId="03C565A9"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46D9AE94"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567" w:type="dxa"/>
            <w:vMerge/>
            <w:tcBorders>
              <w:top w:val="single" w:sz="4" w:space="0" w:color="7F7F7F"/>
              <w:bottom w:val="single" w:sz="4" w:space="0" w:color="7F7F7F"/>
            </w:tcBorders>
            <w:shd w:val="clear" w:color="auto" w:fill="auto"/>
            <w:noWrap/>
            <w:vAlign w:val="center"/>
          </w:tcPr>
          <w:p w14:paraId="280B47B9" w14:textId="77777777" w:rsidR="00C7764C" w:rsidRPr="00C81B1E" w:rsidRDefault="00C7764C" w:rsidP="00C81B1E">
            <w:pPr>
              <w:pStyle w:val="MDPI42tablebody"/>
              <w:rPr>
                <w:rFonts w:eastAsia="Calibri"/>
                <w:lang w:val="en-GB" w:eastAsia="en-US"/>
              </w:rPr>
            </w:pPr>
          </w:p>
        </w:tc>
      </w:tr>
      <w:tr w:rsidR="00C81B1E" w:rsidRPr="00C81B1E" w14:paraId="2472513C" w14:textId="77777777" w:rsidTr="00C81B1E">
        <w:trPr>
          <w:trHeight w:val="285"/>
        </w:trPr>
        <w:tc>
          <w:tcPr>
            <w:tcW w:w="1439" w:type="dxa"/>
            <w:shd w:val="clear" w:color="auto" w:fill="auto"/>
            <w:noWrap/>
            <w:vAlign w:val="center"/>
            <w:hideMark/>
          </w:tcPr>
          <w:p w14:paraId="37EA31D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lastRenderedPageBreak/>
              <w:t>Total organic carbon (TOC)</w:t>
            </w:r>
          </w:p>
        </w:tc>
        <w:tc>
          <w:tcPr>
            <w:tcW w:w="1167" w:type="dxa"/>
            <w:shd w:val="clear" w:color="auto" w:fill="auto"/>
            <w:noWrap/>
            <w:vAlign w:val="center"/>
            <w:hideMark/>
          </w:tcPr>
          <w:p w14:paraId="2E85D301"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5EFC8A0E"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567" w:type="dxa"/>
            <w:vMerge w:val="restart"/>
            <w:shd w:val="clear" w:color="auto" w:fill="auto"/>
            <w:noWrap/>
            <w:vAlign w:val="center"/>
            <w:hideMark/>
          </w:tcPr>
          <w:p w14:paraId="194919DF"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7B712D95"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50A340BD"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Dioxins, furans and PCBs</w:t>
            </w:r>
          </w:p>
        </w:tc>
        <w:tc>
          <w:tcPr>
            <w:tcW w:w="1167" w:type="dxa"/>
            <w:tcBorders>
              <w:top w:val="single" w:sz="4" w:space="0" w:color="7F7F7F"/>
              <w:bottom w:val="single" w:sz="4" w:space="0" w:color="7F7F7F"/>
            </w:tcBorders>
            <w:shd w:val="clear" w:color="auto" w:fill="auto"/>
            <w:noWrap/>
            <w:vAlign w:val="center"/>
            <w:hideMark/>
          </w:tcPr>
          <w:p w14:paraId="21F7799D" w14:textId="77777777" w:rsidR="00C7764C" w:rsidRPr="00C81B1E" w:rsidRDefault="00C7764C" w:rsidP="00C81B1E">
            <w:pPr>
              <w:pStyle w:val="MDPI42tablebody"/>
              <w:rPr>
                <w:rFonts w:eastAsia="Calibri"/>
                <w:lang w:val="en-GB" w:eastAsia="en-US"/>
              </w:rPr>
            </w:pPr>
            <w:r w:rsidRPr="00C81B1E">
              <w:rPr>
                <w:rFonts w:eastAsia="Calibri"/>
                <w:lang w:val="en-GB" w:eastAsia="en-US"/>
              </w:rPr>
              <w:t>mg/m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2E01458B"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567" w:type="dxa"/>
            <w:vMerge/>
            <w:tcBorders>
              <w:top w:val="single" w:sz="4" w:space="0" w:color="7F7F7F"/>
              <w:bottom w:val="single" w:sz="4" w:space="0" w:color="7F7F7F"/>
            </w:tcBorders>
            <w:shd w:val="clear" w:color="auto" w:fill="auto"/>
            <w:noWrap/>
            <w:vAlign w:val="center"/>
          </w:tcPr>
          <w:p w14:paraId="01D5A03E" w14:textId="77777777" w:rsidR="00C7764C" w:rsidRPr="00C81B1E" w:rsidRDefault="00C7764C" w:rsidP="00C81B1E">
            <w:pPr>
              <w:pStyle w:val="MDPI42tablebody"/>
              <w:rPr>
                <w:rFonts w:eastAsia="Calibri"/>
                <w:lang w:val="en-GB" w:eastAsia="en-US"/>
              </w:rPr>
            </w:pPr>
          </w:p>
        </w:tc>
      </w:tr>
      <w:tr w:rsidR="00C81B1E" w:rsidRPr="00C81B1E" w14:paraId="660395FF" w14:textId="77777777" w:rsidTr="00C81B1E">
        <w:trPr>
          <w:trHeight w:val="315"/>
        </w:trPr>
        <w:tc>
          <w:tcPr>
            <w:tcW w:w="1439" w:type="dxa"/>
            <w:shd w:val="clear" w:color="auto" w:fill="auto"/>
            <w:noWrap/>
            <w:vAlign w:val="center"/>
            <w:hideMark/>
          </w:tcPr>
          <w:p w14:paraId="3FEE9CC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SO</w:t>
            </w:r>
            <w:r w:rsidRPr="00C81B1E">
              <w:rPr>
                <w:rFonts w:eastAsia="Calibri"/>
                <w:b/>
                <w:bCs/>
                <w:vertAlign w:val="subscript"/>
                <w:lang w:val="en-GB" w:eastAsia="en-US"/>
              </w:rPr>
              <w:t>4</w:t>
            </w:r>
            <w:r w:rsidRPr="00C81B1E">
              <w:rPr>
                <w:rFonts w:eastAsia="Calibri"/>
                <w:b/>
                <w:bCs/>
                <w:vertAlign w:val="superscript"/>
                <w:lang w:val="en-GB" w:eastAsia="en-US"/>
              </w:rPr>
              <w:t>-2</w:t>
            </w:r>
          </w:p>
        </w:tc>
        <w:tc>
          <w:tcPr>
            <w:tcW w:w="1167" w:type="dxa"/>
            <w:shd w:val="clear" w:color="auto" w:fill="auto"/>
            <w:noWrap/>
            <w:vAlign w:val="center"/>
            <w:hideMark/>
          </w:tcPr>
          <w:p w14:paraId="40013B36"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shd w:val="clear" w:color="auto" w:fill="auto"/>
            <w:noWrap/>
            <w:vAlign w:val="center"/>
            <w:hideMark/>
          </w:tcPr>
          <w:p w14:paraId="0A4953F2"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567" w:type="dxa"/>
            <w:vMerge/>
            <w:shd w:val="clear" w:color="auto" w:fill="auto"/>
            <w:noWrap/>
            <w:vAlign w:val="center"/>
          </w:tcPr>
          <w:p w14:paraId="3A262FC6" w14:textId="77777777" w:rsidR="00C7764C" w:rsidRPr="00C81B1E" w:rsidRDefault="00C7764C" w:rsidP="00C81B1E">
            <w:pPr>
              <w:pStyle w:val="MDPI42tablebody"/>
              <w:rPr>
                <w:rFonts w:eastAsia="Calibri"/>
                <w:lang w:val="en-GB" w:eastAsia="en-US"/>
              </w:rPr>
            </w:pPr>
          </w:p>
        </w:tc>
      </w:tr>
      <w:tr w:rsidR="00C81B1E" w:rsidRPr="00C81B1E" w14:paraId="570243B7" w14:textId="77777777" w:rsidTr="00C81B1E">
        <w:trPr>
          <w:trHeight w:val="285"/>
        </w:trPr>
        <w:tc>
          <w:tcPr>
            <w:tcW w:w="1439" w:type="dxa"/>
            <w:tcBorders>
              <w:top w:val="single" w:sz="4" w:space="0" w:color="7F7F7F"/>
              <w:bottom w:val="single" w:sz="4" w:space="0" w:color="7F7F7F"/>
            </w:tcBorders>
            <w:shd w:val="clear" w:color="auto" w:fill="auto"/>
            <w:noWrap/>
            <w:vAlign w:val="center"/>
            <w:hideMark/>
          </w:tcPr>
          <w:p w14:paraId="329E340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Cl</w:t>
            </w:r>
            <w:r w:rsidRPr="00C81B1E">
              <w:rPr>
                <w:rFonts w:eastAsia="Calibri"/>
                <w:b/>
                <w:bCs/>
                <w:vertAlign w:val="superscript"/>
                <w:lang w:val="en-GB" w:eastAsia="en-US"/>
              </w:rPr>
              <w:t>-</w:t>
            </w:r>
          </w:p>
        </w:tc>
        <w:tc>
          <w:tcPr>
            <w:tcW w:w="1167" w:type="dxa"/>
            <w:tcBorders>
              <w:top w:val="single" w:sz="4" w:space="0" w:color="7F7F7F"/>
              <w:bottom w:val="single" w:sz="4" w:space="0" w:color="7F7F7F"/>
            </w:tcBorders>
            <w:shd w:val="clear" w:color="auto" w:fill="auto"/>
            <w:noWrap/>
            <w:vAlign w:val="center"/>
            <w:hideMark/>
          </w:tcPr>
          <w:p w14:paraId="7A3EA298" w14:textId="77777777" w:rsidR="00C7764C" w:rsidRPr="00C81B1E" w:rsidRDefault="00C7764C" w:rsidP="00C81B1E">
            <w:pPr>
              <w:pStyle w:val="MDPI42tablebody"/>
              <w:rPr>
                <w:rFonts w:eastAsia="Calibri"/>
                <w:lang w:val="en-GB" w:eastAsia="en-US"/>
              </w:rPr>
            </w:pPr>
            <w:r w:rsidRPr="00C81B1E">
              <w:rPr>
                <w:rFonts w:eastAsia="Calibri"/>
                <w:lang w:val="en-GB" w:eastAsia="en-US"/>
              </w:rPr>
              <w:t>g/m</w:t>
            </w:r>
            <w:r w:rsidRPr="00C81B1E">
              <w:rPr>
                <w:rFonts w:eastAsia="Calibri"/>
                <w:vertAlign w:val="superscript"/>
                <w:lang w:val="en-GB" w:eastAsia="en-US"/>
              </w:rPr>
              <w:t>3</w:t>
            </w:r>
          </w:p>
        </w:tc>
        <w:tc>
          <w:tcPr>
            <w:tcW w:w="899" w:type="dxa"/>
            <w:tcBorders>
              <w:top w:val="single" w:sz="4" w:space="0" w:color="7F7F7F"/>
              <w:bottom w:val="single" w:sz="4" w:space="0" w:color="7F7F7F"/>
            </w:tcBorders>
            <w:shd w:val="clear" w:color="auto" w:fill="auto"/>
            <w:noWrap/>
            <w:vAlign w:val="center"/>
            <w:hideMark/>
          </w:tcPr>
          <w:p w14:paraId="4FF087F2"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567" w:type="dxa"/>
            <w:vMerge/>
            <w:tcBorders>
              <w:top w:val="single" w:sz="4" w:space="0" w:color="7F7F7F"/>
              <w:bottom w:val="single" w:sz="4" w:space="0" w:color="7F7F7F"/>
            </w:tcBorders>
            <w:shd w:val="clear" w:color="auto" w:fill="auto"/>
            <w:noWrap/>
            <w:vAlign w:val="center"/>
          </w:tcPr>
          <w:p w14:paraId="599C29F3" w14:textId="77777777" w:rsidR="00C7764C" w:rsidRPr="00C81B1E" w:rsidRDefault="00C7764C" w:rsidP="00C81B1E">
            <w:pPr>
              <w:pStyle w:val="MDPI42tablebody"/>
              <w:rPr>
                <w:rFonts w:eastAsia="Calibri"/>
                <w:lang w:val="en-GB" w:eastAsia="en-US"/>
              </w:rPr>
            </w:pPr>
          </w:p>
        </w:tc>
      </w:tr>
    </w:tbl>
    <w:p w14:paraId="6DE8D29D" w14:textId="77777777" w:rsidR="00C7764C" w:rsidRPr="00C7764C" w:rsidRDefault="00C7764C" w:rsidP="00C7764C">
      <w:pPr>
        <w:spacing w:after="160" w:line="259" w:lineRule="auto"/>
        <w:rPr>
          <w:rFonts w:eastAsia="Calibri"/>
          <w:color w:val="auto"/>
          <w:sz w:val="16"/>
          <w:szCs w:val="16"/>
          <w:lang w:val="en-GB" w:eastAsia="en-US"/>
        </w:rPr>
      </w:pPr>
    </w:p>
    <w:p w14:paraId="17E4B12C" w14:textId="77777777" w:rsidR="00C7764C" w:rsidRPr="00C7764C" w:rsidRDefault="00C7764C" w:rsidP="00BA2E09">
      <w:pPr>
        <w:pStyle w:val="MDPI41tablecaption"/>
        <w:rPr>
          <w:rFonts w:eastAsia="Calibri"/>
          <w:lang w:val="en-GB" w:eastAsia="en-US"/>
        </w:rPr>
      </w:pPr>
      <w:r w:rsidRPr="00C7764C">
        <w:rPr>
          <w:rFonts w:eastAsia="Calibri"/>
          <w:b/>
          <w:lang w:val="en-GB" w:eastAsia="en-US"/>
        </w:rPr>
        <w:t xml:space="preserve">Table </w:t>
      </w:r>
      <w:r w:rsidRPr="00C7764C">
        <w:rPr>
          <w:rFonts w:eastAsia="Calibri"/>
          <w:b/>
          <w:lang w:val="en-GB" w:eastAsia="en-US"/>
        </w:rPr>
        <w:fldChar w:fldCharType="begin"/>
      </w:r>
      <w:r w:rsidRPr="00C7764C">
        <w:rPr>
          <w:rFonts w:eastAsia="Calibri"/>
          <w:b/>
          <w:lang w:val="en-GB" w:eastAsia="en-US"/>
        </w:rPr>
        <w:instrText xml:space="preserve"> SEQ Table \* ARABIC </w:instrText>
      </w:r>
      <w:r w:rsidRPr="00C7764C">
        <w:rPr>
          <w:rFonts w:eastAsia="Calibri"/>
          <w:b/>
          <w:lang w:val="en-GB" w:eastAsia="en-US"/>
        </w:rPr>
        <w:fldChar w:fldCharType="separate"/>
      </w:r>
      <w:r w:rsidRPr="00C7764C">
        <w:rPr>
          <w:rFonts w:eastAsia="Calibri"/>
          <w:b/>
          <w:noProof/>
          <w:lang w:val="en-GB" w:eastAsia="en-US"/>
        </w:rPr>
        <w:t>8</w:t>
      </w:r>
      <w:r w:rsidRPr="00C7764C">
        <w:rPr>
          <w:rFonts w:eastAsia="Calibri"/>
          <w:b/>
          <w:lang w:val="en-GB" w:eastAsia="en-US"/>
        </w:rPr>
        <w:fldChar w:fldCharType="end"/>
      </w:r>
      <w:r w:rsidRPr="00C7764C">
        <w:rPr>
          <w:rFonts w:eastAsia="Calibri"/>
          <w:lang w:val="en-GB" w:eastAsia="en-US"/>
        </w:rPr>
        <w:t>. Environmental indicators: impacts to soil</w:t>
      </w:r>
    </w:p>
    <w:tbl>
      <w:tblPr>
        <w:tblW w:w="9072" w:type="dxa"/>
        <w:tblBorders>
          <w:top w:val="single" w:sz="4" w:space="0" w:color="7F7F7F"/>
          <w:bottom w:val="single" w:sz="4" w:space="0" w:color="7F7F7F"/>
        </w:tblBorders>
        <w:tblLook w:val="04A0" w:firstRow="1" w:lastRow="0" w:firstColumn="1" w:lastColumn="0" w:noHBand="0" w:noVBand="1"/>
      </w:tblPr>
      <w:tblGrid>
        <w:gridCol w:w="1668"/>
        <w:gridCol w:w="1476"/>
        <w:gridCol w:w="899"/>
        <w:gridCol w:w="5029"/>
      </w:tblGrid>
      <w:tr w:rsidR="00C81B1E" w:rsidRPr="00C81B1E" w14:paraId="35FC51C3" w14:textId="77777777" w:rsidTr="00C81B1E">
        <w:trPr>
          <w:trHeight w:val="255"/>
        </w:trPr>
        <w:tc>
          <w:tcPr>
            <w:tcW w:w="1668" w:type="dxa"/>
            <w:tcBorders>
              <w:bottom w:val="single" w:sz="4" w:space="0" w:color="7F7F7F"/>
            </w:tcBorders>
            <w:shd w:val="clear" w:color="auto" w:fill="auto"/>
            <w:noWrap/>
            <w:vAlign w:val="center"/>
          </w:tcPr>
          <w:p w14:paraId="3B6D9A42"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Indicator</w:t>
            </w:r>
          </w:p>
        </w:tc>
        <w:tc>
          <w:tcPr>
            <w:tcW w:w="1476" w:type="dxa"/>
            <w:tcBorders>
              <w:bottom w:val="single" w:sz="4" w:space="0" w:color="7F7F7F"/>
            </w:tcBorders>
            <w:shd w:val="clear" w:color="auto" w:fill="auto"/>
            <w:noWrap/>
            <w:vAlign w:val="center"/>
          </w:tcPr>
          <w:p w14:paraId="76C3B56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Example or unit</w:t>
            </w:r>
          </w:p>
        </w:tc>
        <w:tc>
          <w:tcPr>
            <w:tcW w:w="899" w:type="dxa"/>
            <w:tcBorders>
              <w:bottom w:val="single" w:sz="4" w:space="0" w:color="7F7F7F"/>
            </w:tcBorders>
            <w:shd w:val="clear" w:color="auto" w:fill="auto"/>
            <w:noWrap/>
            <w:vAlign w:val="center"/>
          </w:tcPr>
          <w:p w14:paraId="4D144CE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FWMS</w:t>
            </w:r>
          </w:p>
        </w:tc>
        <w:tc>
          <w:tcPr>
            <w:tcW w:w="5029" w:type="dxa"/>
            <w:tcBorders>
              <w:bottom w:val="single" w:sz="4" w:space="0" w:color="7F7F7F"/>
            </w:tcBorders>
            <w:shd w:val="clear" w:color="auto" w:fill="auto"/>
            <w:noWrap/>
            <w:vAlign w:val="center"/>
          </w:tcPr>
          <w:p w14:paraId="1ED6EAD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Reference</w:t>
            </w:r>
          </w:p>
        </w:tc>
      </w:tr>
      <w:tr w:rsidR="00C81B1E" w:rsidRPr="00C81B1E" w14:paraId="4869C1DB"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2BD971E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Solid residue flow rate</w:t>
            </w:r>
          </w:p>
        </w:tc>
        <w:tc>
          <w:tcPr>
            <w:tcW w:w="1476" w:type="dxa"/>
            <w:tcBorders>
              <w:top w:val="single" w:sz="4" w:space="0" w:color="7F7F7F"/>
              <w:bottom w:val="single" w:sz="4" w:space="0" w:color="7F7F7F"/>
            </w:tcBorders>
            <w:shd w:val="clear" w:color="auto" w:fill="auto"/>
            <w:noWrap/>
            <w:vAlign w:val="center"/>
            <w:hideMark/>
          </w:tcPr>
          <w:p w14:paraId="4FF31FAE" w14:textId="77777777" w:rsidR="00C7764C" w:rsidRPr="00C81B1E" w:rsidRDefault="00C7764C" w:rsidP="00C81B1E">
            <w:pPr>
              <w:pStyle w:val="MDPI42tablebody"/>
              <w:rPr>
                <w:rFonts w:eastAsia="Calibri"/>
                <w:lang w:val="en-GB" w:eastAsia="en-US"/>
              </w:rPr>
            </w:pPr>
            <w:r w:rsidRPr="00C81B1E">
              <w:rPr>
                <w:rFonts w:eastAsia="Calibri"/>
                <w:lang w:val="en-GB" w:eastAsia="en-US"/>
              </w:rPr>
              <w:t>kg/day</w:t>
            </w:r>
          </w:p>
        </w:tc>
        <w:tc>
          <w:tcPr>
            <w:tcW w:w="899" w:type="dxa"/>
            <w:tcBorders>
              <w:top w:val="single" w:sz="4" w:space="0" w:color="7F7F7F"/>
              <w:bottom w:val="single" w:sz="4" w:space="0" w:color="7F7F7F"/>
            </w:tcBorders>
            <w:shd w:val="clear" w:color="auto" w:fill="auto"/>
            <w:noWrap/>
            <w:vAlign w:val="center"/>
            <w:hideMark/>
          </w:tcPr>
          <w:p w14:paraId="3D13269C"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029" w:type="dxa"/>
            <w:vMerge w:val="restart"/>
            <w:tcBorders>
              <w:top w:val="single" w:sz="4" w:space="0" w:color="7F7F7F"/>
              <w:bottom w:val="single" w:sz="4" w:space="0" w:color="7F7F7F"/>
            </w:tcBorders>
            <w:shd w:val="clear" w:color="auto" w:fill="auto"/>
            <w:noWrap/>
            <w:vAlign w:val="center"/>
            <w:hideMark/>
          </w:tcPr>
          <w:p w14:paraId="22BD04B1"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72200529" w14:textId="77777777" w:rsidTr="00C81B1E">
        <w:trPr>
          <w:trHeight w:val="255"/>
        </w:trPr>
        <w:tc>
          <w:tcPr>
            <w:tcW w:w="1668" w:type="dxa"/>
            <w:shd w:val="clear" w:color="auto" w:fill="auto"/>
            <w:noWrap/>
            <w:vAlign w:val="center"/>
            <w:hideMark/>
          </w:tcPr>
          <w:p w14:paraId="1C3EDA4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Cu</w:t>
            </w:r>
          </w:p>
        </w:tc>
        <w:tc>
          <w:tcPr>
            <w:tcW w:w="1476" w:type="dxa"/>
            <w:shd w:val="clear" w:color="auto" w:fill="auto"/>
            <w:noWrap/>
            <w:vAlign w:val="center"/>
            <w:hideMark/>
          </w:tcPr>
          <w:p w14:paraId="3249C3D2"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shd w:val="clear" w:color="auto" w:fill="auto"/>
            <w:noWrap/>
            <w:vAlign w:val="center"/>
            <w:hideMark/>
          </w:tcPr>
          <w:p w14:paraId="52EA0ED4"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029" w:type="dxa"/>
            <w:vMerge/>
            <w:shd w:val="clear" w:color="auto" w:fill="auto"/>
            <w:noWrap/>
            <w:vAlign w:val="center"/>
          </w:tcPr>
          <w:p w14:paraId="7847B60D" w14:textId="77777777" w:rsidR="00C7764C" w:rsidRPr="00C81B1E" w:rsidRDefault="00C7764C" w:rsidP="00C81B1E">
            <w:pPr>
              <w:pStyle w:val="MDPI42tablebody"/>
              <w:rPr>
                <w:rFonts w:eastAsia="Calibri"/>
                <w:lang w:val="en-GB" w:eastAsia="en-US"/>
              </w:rPr>
            </w:pPr>
          </w:p>
        </w:tc>
      </w:tr>
      <w:tr w:rsidR="00C81B1E" w:rsidRPr="00C81B1E" w14:paraId="6966A30B"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5172DA3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Zn</w:t>
            </w:r>
          </w:p>
        </w:tc>
        <w:tc>
          <w:tcPr>
            <w:tcW w:w="1476" w:type="dxa"/>
            <w:tcBorders>
              <w:top w:val="single" w:sz="4" w:space="0" w:color="7F7F7F"/>
              <w:bottom w:val="single" w:sz="4" w:space="0" w:color="7F7F7F"/>
            </w:tcBorders>
            <w:shd w:val="clear" w:color="auto" w:fill="auto"/>
            <w:noWrap/>
            <w:vAlign w:val="center"/>
            <w:hideMark/>
          </w:tcPr>
          <w:p w14:paraId="3E2A9EF0"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tcBorders>
              <w:top w:val="single" w:sz="4" w:space="0" w:color="7F7F7F"/>
              <w:bottom w:val="single" w:sz="4" w:space="0" w:color="7F7F7F"/>
            </w:tcBorders>
            <w:shd w:val="clear" w:color="auto" w:fill="auto"/>
            <w:noWrap/>
            <w:vAlign w:val="center"/>
            <w:hideMark/>
          </w:tcPr>
          <w:p w14:paraId="04203C0D"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029" w:type="dxa"/>
            <w:vMerge/>
            <w:tcBorders>
              <w:top w:val="single" w:sz="4" w:space="0" w:color="7F7F7F"/>
              <w:bottom w:val="single" w:sz="4" w:space="0" w:color="7F7F7F"/>
            </w:tcBorders>
            <w:shd w:val="clear" w:color="auto" w:fill="auto"/>
            <w:noWrap/>
            <w:vAlign w:val="center"/>
          </w:tcPr>
          <w:p w14:paraId="63AC708C" w14:textId="77777777" w:rsidR="00C7764C" w:rsidRPr="00C81B1E" w:rsidRDefault="00C7764C" w:rsidP="00C81B1E">
            <w:pPr>
              <w:pStyle w:val="MDPI42tablebody"/>
              <w:rPr>
                <w:rFonts w:eastAsia="Calibri"/>
                <w:lang w:val="en-GB" w:eastAsia="en-US"/>
              </w:rPr>
            </w:pPr>
          </w:p>
        </w:tc>
      </w:tr>
      <w:tr w:rsidR="00C81B1E" w:rsidRPr="00C81B1E" w14:paraId="692A1BD3" w14:textId="77777777" w:rsidTr="00C81B1E">
        <w:trPr>
          <w:trHeight w:val="255"/>
        </w:trPr>
        <w:tc>
          <w:tcPr>
            <w:tcW w:w="1668" w:type="dxa"/>
            <w:shd w:val="clear" w:color="auto" w:fill="auto"/>
            <w:noWrap/>
            <w:vAlign w:val="center"/>
            <w:hideMark/>
          </w:tcPr>
          <w:p w14:paraId="2189C45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N</w:t>
            </w:r>
          </w:p>
        </w:tc>
        <w:tc>
          <w:tcPr>
            <w:tcW w:w="1476" w:type="dxa"/>
            <w:shd w:val="clear" w:color="auto" w:fill="auto"/>
            <w:noWrap/>
            <w:vAlign w:val="center"/>
            <w:hideMark/>
          </w:tcPr>
          <w:p w14:paraId="3D3D6A23" w14:textId="77777777" w:rsidR="00C7764C" w:rsidRPr="00C81B1E" w:rsidRDefault="00C7764C" w:rsidP="00C81B1E">
            <w:pPr>
              <w:pStyle w:val="MDPI42tablebody"/>
              <w:rPr>
                <w:rFonts w:eastAsia="Calibri"/>
                <w:lang w:val="en-GB" w:eastAsia="en-US"/>
              </w:rPr>
            </w:pPr>
            <w:r w:rsidRPr="00C81B1E">
              <w:rPr>
                <w:rFonts w:eastAsia="Calibri"/>
                <w:lang w:val="en-GB" w:eastAsia="en-US"/>
              </w:rPr>
              <w:t>g N/kg</w:t>
            </w:r>
          </w:p>
        </w:tc>
        <w:tc>
          <w:tcPr>
            <w:tcW w:w="899" w:type="dxa"/>
            <w:shd w:val="clear" w:color="auto" w:fill="auto"/>
            <w:noWrap/>
            <w:vAlign w:val="center"/>
            <w:hideMark/>
          </w:tcPr>
          <w:p w14:paraId="781D8D37"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val="restart"/>
            <w:shd w:val="clear" w:color="auto" w:fill="auto"/>
            <w:noWrap/>
            <w:vAlign w:val="center"/>
            <w:hideMark/>
          </w:tcPr>
          <w:p w14:paraId="20BF6248"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{"citationItems":[{"id":"ITEM-1","itemData":{"DOI":"10.1016/j.jenvman.2010.10.021","ISBN":"0301-4797","ISSN":"03014797","PMID":"21050654","abstract":"During anaerobic digestion of organic waste, both energy-rich biogas and a nutrient-rich digestate are produced. The digestate can be used as a fertiliser in agricultural soils if the levels of hazardous compounds and pathogens are low. This article reviews the main findings about phenols in anaerobic digestion processes degrading organic solid wastes, and examines the effect of process temperature on the anaerobic degradation of phenols, the microbial community and the quality of the digestate. The degradation efficiency of a number of different phenols has been shown to be correlated to the process temperature. Higher degradation efficiency is observed at mesophilic process temperature than at thermophilic temperature. Possible explanations for this variation in the degradation of phenols include differences in diversity, particularly of the phenol-degrading bacteria, and/or the presence of temperature-sensitive enzymes. Chemical analysis of digestate from bioreactors operating at thermophilic temperature detected a higher content of phenols compared to mesophilic bioreactors, verifying the degradation results. Digestate with the highest phenol content has the greatest negative impact on soil microbial activity. © 2010 Elsevier Ltd.","author":[{"dropping-particle":"","family":"Levén","given":"Lotta","non-dropping-particle":"","parse-names":false,"suffix":""},{"dropping-particle":"","family":"Nyberg","given":"Karin","non-dropping-particle":"","parse-names":false,"suffix":""},{"dropping-particle":"","family":"Schnürer","given":"Anna","non-dropping-particle":"","parse-names":false,"suffix":""}],"container-title":"Journal of Environmental Management","id":"ITEM-1","issue":"SUPPL.","issued":{"date-parts":[["2012"]]},"page":"S99-S103","publisher":"Elsevier Ltd","title":"Conversion of phenols during anaerobic digestion of organic solid waste - A review of important microorganisms and impact of temperature","type":"article-journal","volume":"95"},"uris":["http://www.mendeley.com/documents/?uuid=46374ed3-07d8-4cba-b723-e58cb13d563e"]}],"mendeley":{"formattedCitation":"(Levén et al., 2012)","manualFormatting":"Levén et al. (2012)","plainTextFormattedCitation":"(Levén et al., 2012)","previouslyFormattedCitation":"(Levén et al., 2012)"},"properties":{"noteIndex":0},"schema":"https://github.com/citation-style-language/schema/raw/master/csl-citation.json"}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Levén et al. (2012)</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{"citationItems":[{"id":"ITEM-1","itemData":{"ISSN":"02765055","author":[{"dropping-particle":"","family":"WRAP","given":"","non-dropping-particle":"","parse-names":false,"suffix":""}],"id":"ITEM-1","issue":"February","issued":{"date-parts":[["2016"]]},"publisher-place":"Banbury (UK)","title":"Digestate and compost use in agriculture. Good practice guidance for agricultural contractors","type":"report"},"uris":["http://www.mendeley.com/documents/?uuid=bfff9184-ca36-4b7d-95f7-ce36a8509b29"]}],"mendeley":{"formattedCitation":"(WRAP, 2016)","manualFormatting":"WRAP (2016)","plainTextFormattedCitation":"(WRAP, 2016)","previouslyFormattedCitation":"(WRAP,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WRAP (2016)</w:t>
            </w:r>
            <w:r w:rsidRPr="00C81B1E">
              <w:rPr>
                <w:rFonts w:eastAsia="Calibri"/>
                <w:lang w:val="en-GB" w:eastAsia="en-US"/>
              </w:rPr>
              <w:fldChar w:fldCharType="end"/>
            </w:r>
          </w:p>
        </w:tc>
      </w:tr>
      <w:tr w:rsidR="00C81B1E" w:rsidRPr="00C81B1E" w14:paraId="2B2970BE" w14:textId="77777777" w:rsidTr="00C81B1E">
        <w:trPr>
          <w:trHeight w:val="315"/>
        </w:trPr>
        <w:tc>
          <w:tcPr>
            <w:tcW w:w="1668" w:type="dxa"/>
            <w:tcBorders>
              <w:top w:val="single" w:sz="4" w:space="0" w:color="7F7F7F"/>
              <w:bottom w:val="single" w:sz="4" w:space="0" w:color="7F7F7F"/>
            </w:tcBorders>
            <w:shd w:val="clear" w:color="auto" w:fill="auto"/>
            <w:noWrap/>
            <w:vAlign w:val="center"/>
            <w:hideMark/>
          </w:tcPr>
          <w:p w14:paraId="0F7A6C4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P</w:t>
            </w:r>
          </w:p>
        </w:tc>
        <w:tc>
          <w:tcPr>
            <w:tcW w:w="1476" w:type="dxa"/>
            <w:tcBorders>
              <w:top w:val="single" w:sz="4" w:space="0" w:color="7F7F7F"/>
              <w:bottom w:val="single" w:sz="4" w:space="0" w:color="7F7F7F"/>
            </w:tcBorders>
            <w:shd w:val="clear" w:color="auto" w:fill="auto"/>
            <w:noWrap/>
            <w:vAlign w:val="center"/>
            <w:hideMark/>
          </w:tcPr>
          <w:p w14:paraId="6698DEF2" w14:textId="77777777" w:rsidR="00C7764C" w:rsidRPr="00C81B1E" w:rsidRDefault="00C7764C" w:rsidP="00C81B1E">
            <w:pPr>
              <w:pStyle w:val="MDPI42tablebody"/>
              <w:rPr>
                <w:rFonts w:eastAsia="Calibri"/>
                <w:lang w:val="en-GB" w:eastAsia="en-US"/>
              </w:rPr>
            </w:pPr>
            <w:r w:rsidRPr="00C81B1E">
              <w:rPr>
                <w:rFonts w:eastAsia="Calibri"/>
                <w:lang w:val="en-GB" w:eastAsia="en-US"/>
              </w:rPr>
              <w:t>g P</w:t>
            </w:r>
            <w:r w:rsidRPr="00C81B1E">
              <w:rPr>
                <w:rFonts w:eastAsia="Calibri"/>
                <w:vertAlign w:val="subscript"/>
                <w:lang w:val="en-GB" w:eastAsia="en-US"/>
              </w:rPr>
              <w:t>2</w:t>
            </w:r>
            <w:r w:rsidRPr="00C81B1E">
              <w:rPr>
                <w:rFonts w:eastAsia="Calibri"/>
                <w:lang w:val="en-GB" w:eastAsia="en-US"/>
              </w:rPr>
              <w:t>O</w:t>
            </w:r>
            <w:r w:rsidRPr="00C81B1E">
              <w:rPr>
                <w:rFonts w:eastAsia="Calibri"/>
                <w:vertAlign w:val="subscript"/>
                <w:lang w:val="en-GB" w:eastAsia="en-US"/>
              </w:rPr>
              <w:t>5</w:t>
            </w:r>
            <w:r w:rsidRPr="00C81B1E">
              <w:rPr>
                <w:rFonts w:eastAsia="Calibri"/>
                <w:lang w:val="en-GB" w:eastAsia="en-US"/>
              </w:rPr>
              <w:t>/kg</w:t>
            </w:r>
          </w:p>
        </w:tc>
        <w:tc>
          <w:tcPr>
            <w:tcW w:w="899" w:type="dxa"/>
            <w:tcBorders>
              <w:top w:val="single" w:sz="4" w:space="0" w:color="7F7F7F"/>
              <w:bottom w:val="single" w:sz="4" w:space="0" w:color="7F7F7F"/>
            </w:tcBorders>
            <w:shd w:val="clear" w:color="auto" w:fill="auto"/>
            <w:noWrap/>
            <w:vAlign w:val="center"/>
            <w:hideMark/>
          </w:tcPr>
          <w:p w14:paraId="11ADCD1F"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tcBorders>
              <w:top w:val="single" w:sz="4" w:space="0" w:color="7F7F7F"/>
              <w:bottom w:val="single" w:sz="4" w:space="0" w:color="7F7F7F"/>
            </w:tcBorders>
            <w:shd w:val="clear" w:color="auto" w:fill="auto"/>
            <w:noWrap/>
            <w:vAlign w:val="center"/>
          </w:tcPr>
          <w:p w14:paraId="53A2E49E" w14:textId="77777777" w:rsidR="00C7764C" w:rsidRPr="00C81B1E" w:rsidRDefault="00C7764C" w:rsidP="00C81B1E">
            <w:pPr>
              <w:pStyle w:val="MDPI42tablebody"/>
              <w:rPr>
                <w:rFonts w:eastAsia="Calibri"/>
                <w:lang w:val="en-GB" w:eastAsia="en-US"/>
              </w:rPr>
            </w:pPr>
          </w:p>
        </w:tc>
      </w:tr>
      <w:tr w:rsidR="00C81B1E" w:rsidRPr="00C81B1E" w14:paraId="5CC13AA0" w14:textId="77777777" w:rsidTr="00C81B1E">
        <w:trPr>
          <w:trHeight w:val="315"/>
        </w:trPr>
        <w:tc>
          <w:tcPr>
            <w:tcW w:w="1668" w:type="dxa"/>
            <w:shd w:val="clear" w:color="auto" w:fill="auto"/>
            <w:noWrap/>
            <w:vAlign w:val="center"/>
            <w:hideMark/>
          </w:tcPr>
          <w:p w14:paraId="6FD6FFB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K</w:t>
            </w:r>
          </w:p>
        </w:tc>
        <w:tc>
          <w:tcPr>
            <w:tcW w:w="1476" w:type="dxa"/>
            <w:shd w:val="clear" w:color="auto" w:fill="auto"/>
            <w:noWrap/>
            <w:vAlign w:val="center"/>
            <w:hideMark/>
          </w:tcPr>
          <w:p w14:paraId="261CEF64" w14:textId="77777777" w:rsidR="00C7764C" w:rsidRPr="00C81B1E" w:rsidRDefault="00C7764C" w:rsidP="00C81B1E">
            <w:pPr>
              <w:pStyle w:val="MDPI42tablebody"/>
              <w:rPr>
                <w:rFonts w:eastAsia="Calibri"/>
                <w:lang w:val="en-GB" w:eastAsia="en-US"/>
              </w:rPr>
            </w:pPr>
            <w:r w:rsidRPr="00C81B1E">
              <w:rPr>
                <w:rFonts w:eastAsia="Calibri"/>
                <w:lang w:val="en-GB" w:eastAsia="en-US"/>
              </w:rPr>
              <w:t>g K</w:t>
            </w:r>
            <w:r w:rsidRPr="00C81B1E">
              <w:rPr>
                <w:rFonts w:eastAsia="Calibri"/>
                <w:vertAlign w:val="subscript"/>
                <w:lang w:val="en-GB" w:eastAsia="en-US"/>
              </w:rPr>
              <w:t>2</w:t>
            </w:r>
            <w:r w:rsidRPr="00C81B1E">
              <w:rPr>
                <w:rFonts w:eastAsia="Calibri"/>
                <w:lang w:val="en-GB" w:eastAsia="en-US"/>
              </w:rPr>
              <w:t>O/kg</w:t>
            </w:r>
          </w:p>
        </w:tc>
        <w:tc>
          <w:tcPr>
            <w:tcW w:w="899" w:type="dxa"/>
            <w:shd w:val="clear" w:color="auto" w:fill="auto"/>
            <w:noWrap/>
            <w:vAlign w:val="center"/>
            <w:hideMark/>
          </w:tcPr>
          <w:p w14:paraId="3F1895FC"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shd w:val="clear" w:color="auto" w:fill="auto"/>
            <w:noWrap/>
            <w:vAlign w:val="center"/>
          </w:tcPr>
          <w:p w14:paraId="2D3EC967" w14:textId="77777777" w:rsidR="00C7764C" w:rsidRPr="00C81B1E" w:rsidRDefault="00C7764C" w:rsidP="00C81B1E">
            <w:pPr>
              <w:pStyle w:val="MDPI42tablebody"/>
              <w:rPr>
                <w:rFonts w:eastAsia="Calibri"/>
                <w:lang w:val="en-GB" w:eastAsia="en-US"/>
              </w:rPr>
            </w:pPr>
          </w:p>
        </w:tc>
      </w:tr>
      <w:tr w:rsidR="00C81B1E" w:rsidRPr="00C81B1E" w14:paraId="7A43D082"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7BF2ED8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Mg</w:t>
            </w:r>
          </w:p>
        </w:tc>
        <w:tc>
          <w:tcPr>
            <w:tcW w:w="1476" w:type="dxa"/>
            <w:tcBorders>
              <w:top w:val="single" w:sz="4" w:space="0" w:color="7F7F7F"/>
              <w:bottom w:val="single" w:sz="4" w:space="0" w:color="7F7F7F"/>
            </w:tcBorders>
            <w:shd w:val="clear" w:color="auto" w:fill="auto"/>
            <w:noWrap/>
            <w:vAlign w:val="center"/>
            <w:hideMark/>
          </w:tcPr>
          <w:p w14:paraId="318F5957" w14:textId="77777777" w:rsidR="00C7764C" w:rsidRPr="00C81B1E" w:rsidRDefault="00C7764C" w:rsidP="00C81B1E">
            <w:pPr>
              <w:pStyle w:val="MDPI42tablebody"/>
              <w:rPr>
                <w:rFonts w:eastAsia="Calibri"/>
                <w:lang w:val="en-GB" w:eastAsia="en-US"/>
              </w:rPr>
            </w:pPr>
            <w:r w:rsidRPr="00C81B1E">
              <w:rPr>
                <w:rFonts w:eastAsia="Calibri"/>
                <w:lang w:val="en-GB" w:eastAsia="en-US"/>
              </w:rPr>
              <w:t>g MgO/kg</w:t>
            </w:r>
          </w:p>
        </w:tc>
        <w:tc>
          <w:tcPr>
            <w:tcW w:w="899" w:type="dxa"/>
            <w:tcBorders>
              <w:top w:val="single" w:sz="4" w:space="0" w:color="7F7F7F"/>
              <w:bottom w:val="single" w:sz="4" w:space="0" w:color="7F7F7F"/>
            </w:tcBorders>
            <w:shd w:val="clear" w:color="auto" w:fill="auto"/>
            <w:noWrap/>
            <w:vAlign w:val="center"/>
            <w:hideMark/>
          </w:tcPr>
          <w:p w14:paraId="63633DD6"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tcBorders>
              <w:top w:val="single" w:sz="4" w:space="0" w:color="7F7F7F"/>
              <w:bottom w:val="single" w:sz="4" w:space="0" w:color="7F7F7F"/>
            </w:tcBorders>
            <w:shd w:val="clear" w:color="auto" w:fill="auto"/>
            <w:noWrap/>
            <w:vAlign w:val="center"/>
          </w:tcPr>
          <w:p w14:paraId="714835C6" w14:textId="77777777" w:rsidR="00C7764C" w:rsidRPr="00C81B1E" w:rsidRDefault="00C7764C" w:rsidP="00C81B1E">
            <w:pPr>
              <w:pStyle w:val="MDPI42tablebody"/>
              <w:rPr>
                <w:rFonts w:eastAsia="Calibri"/>
                <w:lang w:val="en-GB" w:eastAsia="en-US"/>
              </w:rPr>
            </w:pPr>
          </w:p>
        </w:tc>
      </w:tr>
      <w:tr w:rsidR="00C81B1E" w:rsidRPr="00C81B1E" w14:paraId="40D4C6CB" w14:textId="77777777" w:rsidTr="00C81B1E">
        <w:trPr>
          <w:trHeight w:val="315"/>
        </w:trPr>
        <w:tc>
          <w:tcPr>
            <w:tcW w:w="1668" w:type="dxa"/>
            <w:shd w:val="clear" w:color="auto" w:fill="auto"/>
            <w:noWrap/>
            <w:vAlign w:val="center"/>
            <w:hideMark/>
          </w:tcPr>
          <w:p w14:paraId="16A2F481"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S</w:t>
            </w:r>
          </w:p>
        </w:tc>
        <w:tc>
          <w:tcPr>
            <w:tcW w:w="1476" w:type="dxa"/>
            <w:shd w:val="clear" w:color="auto" w:fill="auto"/>
            <w:noWrap/>
            <w:vAlign w:val="center"/>
            <w:hideMark/>
          </w:tcPr>
          <w:p w14:paraId="048AB449" w14:textId="77777777" w:rsidR="00C7764C" w:rsidRPr="00C81B1E" w:rsidRDefault="00C7764C" w:rsidP="00C81B1E">
            <w:pPr>
              <w:pStyle w:val="MDPI42tablebody"/>
              <w:rPr>
                <w:rFonts w:eastAsia="Calibri"/>
                <w:lang w:val="en-GB" w:eastAsia="en-US"/>
              </w:rPr>
            </w:pPr>
            <w:r w:rsidRPr="00C81B1E">
              <w:rPr>
                <w:rFonts w:eastAsia="Calibri"/>
                <w:lang w:val="en-GB" w:eastAsia="en-US"/>
              </w:rPr>
              <w:t>g SO</w:t>
            </w:r>
            <w:r w:rsidRPr="00C81B1E">
              <w:rPr>
                <w:rFonts w:eastAsia="Calibri"/>
                <w:vertAlign w:val="subscript"/>
                <w:lang w:val="en-GB" w:eastAsia="en-US"/>
              </w:rPr>
              <w:t>3</w:t>
            </w:r>
            <w:r w:rsidRPr="00C81B1E">
              <w:rPr>
                <w:rFonts w:eastAsia="Calibri"/>
                <w:lang w:val="en-GB" w:eastAsia="en-US"/>
              </w:rPr>
              <w:t>/kg</w:t>
            </w:r>
          </w:p>
        </w:tc>
        <w:tc>
          <w:tcPr>
            <w:tcW w:w="899" w:type="dxa"/>
            <w:shd w:val="clear" w:color="auto" w:fill="auto"/>
            <w:noWrap/>
            <w:vAlign w:val="center"/>
            <w:hideMark/>
          </w:tcPr>
          <w:p w14:paraId="58330991"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shd w:val="clear" w:color="auto" w:fill="auto"/>
            <w:noWrap/>
            <w:vAlign w:val="center"/>
            <w:hideMark/>
          </w:tcPr>
          <w:p w14:paraId="3902F098"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{"citationItems":[{"id":"ITEM-1","itemData":{"DOI":"10.1016/j.energy.2015.02.098","ISBN":"03605442","ISSN":"03605442","abstract":"The aim of this work was to assess the energy potential of food waste energy harvesting system (digestion followed by pyrolysis of digestate). Digestate (DFW) with increased calorific content was produced after a commercial one stage anaerobic digestion of the raw food waste (RFW). Separate pyrolysis of RFW and DFW (digestated food waste) distributed 15.7 MJ/kg and 17.2 MJ/kg respectively, among the gas, char and bio-oil, while energy of pyrolysis at 0.72 MJ/kg for RFW and 0.87 MJ/kg for DFW at the heating rate of 10 ??C/min to 500 ??C. Increase in the digestate specific heat to 2.5 MJ/m3 and its significant ash difference reflects the substrate (RFW) transformation due to biochemical treatment. The thermogravimetric analysis indicated the substrates mass dynamics and stability extent of the treatment products (DFW, RFW500 and DFW500). Generally, transitional energy base products (biogas and bio-oil) are generated through the energy harvesting system (EHS) of food waste, while energy rich solid fuels can be produced through pyrolysis at 500 ??C. Thus, the sustainable potential of EHS to widen and broaden recycling capacity of biomass and smartly appropriate its resources are demonstrated to be dependent and pivoted on the adopted treatment method.","author":[{"dropping-particle":"","family":"Opatokun","given":"Suraj Adebayo","non-dropping-particle":"","parse-names":false,"suffix":""},{"dropping-particle":"","family":"Strezov","given":"Vladimir","non-dropping-particle":"","parse-names":false,"suffix":""},{"dropping-particle":"","family":"Kan","given":"Tao","non-dropping-particle":"","parse-names":false,"suffix":""}],"container-title":"Energy","id":"ITEM-1","issued":{"date-parts":[["2015"]]},"page":"2-7","publisher":"Elsevier Ltd","title":"Product based evaluation of pyrolysis of food waste and its digestate","type":"article-journal","volume":"92"},"uris":["http://www.mendeley.com/documents/?uuid=b5bb558a-2b12-47ee-8a87-8b2474293e89"]}],"mendeley":{"formattedCitation":"(Opatokun et al., 2015)","manualFormatting":"Opatokun et al. (2015)","plainTextFormattedCitation":"(Opatokun et al., 2015)","previouslyFormattedCitation":"(Opatokun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Opatokun et al. (2015)</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{"citationItems":[{"id":"ITEM-1","itemData":{"ISSN":"02765055","author":[{"dropping-particle":"","family":"WRAP","given":"","non-dropping-particle":"","parse-names":false,"suffix":""}],"id":"ITEM-1","issue":"February","issued":{"date-parts":[["2016"]]},"publisher-place":"Banbury (UK)","title":"Digestate and compost use in agriculture. Good practice guidance for agricultural contractors","type":"report"},"uris":["http://www.mendeley.com/documents/?uuid=bfff9184-ca36-4b7d-95f7-ce36a8509b29"]}],"mendeley":{"formattedCitation":"(WRAP, 2016)","manualFormatting":"WRAP (2016)","plainTextFormattedCitation":"(WRAP, 2016)","previouslyFormattedCitation":"(WRAP,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WRAP (2016)</w:t>
            </w:r>
            <w:r w:rsidRPr="00C81B1E">
              <w:rPr>
                <w:rFonts w:eastAsia="Calibri"/>
                <w:lang w:val="en-GB" w:eastAsia="en-US"/>
              </w:rPr>
              <w:fldChar w:fldCharType="end"/>
            </w:r>
          </w:p>
        </w:tc>
      </w:tr>
      <w:tr w:rsidR="00C81B1E" w:rsidRPr="00C81B1E" w14:paraId="5460B5B5" w14:textId="77777777" w:rsidTr="00C81B1E">
        <w:trPr>
          <w:trHeight w:val="315"/>
        </w:trPr>
        <w:tc>
          <w:tcPr>
            <w:tcW w:w="1668" w:type="dxa"/>
            <w:tcBorders>
              <w:top w:val="single" w:sz="4" w:space="0" w:color="7F7F7F"/>
              <w:bottom w:val="single" w:sz="4" w:space="0" w:color="7F7F7F"/>
            </w:tcBorders>
            <w:shd w:val="clear" w:color="auto" w:fill="auto"/>
            <w:noWrap/>
            <w:vAlign w:val="center"/>
            <w:hideMark/>
          </w:tcPr>
          <w:p w14:paraId="3DDB2FD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Ca</w:t>
            </w:r>
          </w:p>
        </w:tc>
        <w:tc>
          <w:tcPr>
            <w:tcW w:w="1476" w:type="dxa"/>
            <w:tcBorders>
              <w:top w:val="single" w:sz="4" w:space="0" w:color="7F7F7F"/>
              <w:bottom w:val="single" w:sz="4" w:space="0" w:color="7F7F7F"/>
            </w:tcBorders>
            <w:shd w:val="clear" w:color="auto" w:fill="auto"/>
            <w:noWrap/>
            <w:vAlign w:val="center"/>
            <w:hideMark/>
          </w:tcPr>
          <w:p w14:paraId="1CC719A2" w14:textId="77777777" w:rsidR="00C7764C" w:rsidRPr="00C81B1E" w:rsidRDefault="00C7764C" w:rsidP="00C81B1E">
            <w:pPr>
              <w:pStyle w:val="MDPI42tablebody"/>
              <w:rPr>
                <w:rFonts w:eastAsia="Calibri"/>
                <w:lang w:val="en-GB" w:eastAsia="en-US"/>
              </w:rPr>
            </w:pPr>
            <w:r w:rsidRPr="00C81B1E">
              <w:rPr>
                <w:rFonts w:eastAsia="Calibri"/>
                <w:lang w:val="en-GB" w:eastAsia="en-US"/>
              </w:rPr>
              <w:t>g CaCO</w:t>
            </w:r>
            <w:r w:rsidRPr="00C81B1E">
              <w:rPr>
                <w:rFonts w:eastAsia="Calibri"/>
                <w:vertAlign w:val="subscript"/>
                <w:lang w:val="en-GB" w:eastAsia="en-US"/>
              </w:rPr>
              <w:t>3</w:t>
            </w:r>
            <w:r w:rsidRPr="00C81B1E">
              <w:rPr>
                <w:rFonts w:eastAsia="Calibri"/>
                <w:lang w:val="en-GB" w:eastAsia="en-US"/>
              </w:rPr>
              <w:t>/kg</w:t>
            </w:r>
          </w:p>
        </w:tc>
        <w:tc>
          <w:tcPr>
            <w:tcW w:w="899" w:type="dxa"/>
            <w:tcBorders>
              <w:top w:val="single" w:sz="4" w:space="0" w:color="7F7F7F"/>
              <w:bottom w:val="single" w:sz="4" w:space="0" w:color="7F7F7F"/>
            </w:tcBorders>
            <w:shd w:val="clear" w:color="auto" w:fill="auto"/>
            <w:noWrap/>
            <w:vAlign w:val="center"/>
            <w:hideMark/>
          </w:tcPr>
          <w:p w14:paraId="1D2F1D1E"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tcBorders>
              <w:top w:val="single" w:sz="4" w:space="0" w:color="7F7F7F"/>
              <w:bottom w:val="single" w:sz="4" w:space="0" w:color="7F7F7F"/>
            </w:tcBorders>
            <w:shd w:val="clear" w:color="auto" w:fill="auto"/>
            <w:noWrap/>
            <w:vAlign w:val="center"/>
            <w:hideMark/>
          </w:tcPr>
          <w:p w14:paraId="337CC365" w14:textId="3C67C644"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{"citationItems":[{"id":"ITEM-1","itemData":{"DOI":"10.1039/b617101j","ISBN":"1464-0325 (Print)\\r1464-0325 (Linking)","ISSN":"1464-0325","PMID":"17492091","abstract":"In Europe, 9.3 x 10(6) t(dry weight (dw)) of compost and digestate are produced per year. Most of this is applied to agricultural land, which can lead to considerable inputs of organic pollutants, such as polychlorinated biphenyls (PCB) and polycyclic aromatic hydrocarbons (PAH) to soil. This paper presents an inventory of the pollutant situation in source-separated composts, digestates and presswater in Switzerland by a detailed analysis of over 70 samples. PCB concentrations ( summation PCB 28, 52, 101, 118, 138, 153, 180) were significantly higher in urban (median: 30 microg kg(-1)dw, n = 52) than in rural samples (median: 14 microg kg(-1)dw, n = 16). Together with low concentrations in general, this points to aerial deposition on compost input material as the major contamination pathway. Enantiomeric fractions of atropisometric PCB were close to racemic. Median PAH concentration was 3010 microg kg(-1)dw( summation 15PAH, n = 69), and one quarter of the samples exhibited concentrations above the relevant Swiss guide value for compost (4000 microg kg(-1)dw). The levels were influenced by the treatment process (digestate &gt; compost), the season of input material collection (spring-summer &gt; winter &gt; autumn), the particle size (coarse-grained &gt; fine-grained), and maturity (mature &gt; less mature). The main source of PAH in compost was pyrogenic, probably influenced mainly by liquid fossil fuel combustion and some asphalt abrasion, as suggested by multiple linear regression. This study, together with a companion paper reporting on other organic contaminates including emerging compound classes, provides a starting point for a better risk-benefit estimation of the application of compost and digestate to agricultural soil in Switzerland.","author":[{"dropping-particle":"","family":"Brändli","given":"Rahel C.","non-dropping-particle":"","parse-names":false,"suffix":""},{"dropping-particle":"","family":"Bucheli","given":"Thomas D.","non-dropping-particle":"","parse-names":false,"suffix":""},{"dropping-particle":"","family":"Kupper","given":"Thomas","non-dropping-particle":"","parse-names":false,"suffix":""},{"dropping-particle":"","family":"Furrer","given":"Reinhard","non-dropping-particle":"","parse-names":false,"suffix":""},{"dropping-particle":"","family":"Stahel","given":"Werner A.","non-dropping-particle":"","parse-names":false,"suffix":""},{"dropping-particle":"","family":"Stadelmann","given":"Franz X.","non-dropping-particle":"","parse-names":false,"suffix":""},{"dropping-particle":"","family":"Tarradellas","given":"Joseph","non-dropping-particle":"","parse-names":false,"suffix":""}],"container-title":"Journal of Environmental Monitoring","id":"ITEM-1","issue":"5","issued":{"date-parts":[["2007"]]},"page":"456-464","title":"Organic pollutants in compost and digestate. Part 1. Polychlorinated biphenyls, polycyclic aromatic hydrocarbons and molecular markers","type":"article-journal","volume":"9"},"uris":["http://www.mendeley.com/documents/?uuid=6a2bcfa8-e240-4327-b896-20ea52d9c9e1"]}],"mendeley":{"formattedCitation":"(Brändli et al., 2007)","manualFormatting":"Brändli, Bucheli, et al. (2007)","plainTextFormattedCitation":"(Brändli et al., 2007)","previouslyFormattedCitation":"(Brändli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Brändli, et al. (2007)</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{"citationItems":[{"id":"ITEM-1","itemData":{"DOI":"10.1039/b617101j","ISBN":"1464-0325 (Print)\\r1464-0325 (Linking)","ISSN":"1464-0325","PMID":"17492091","abstract":"In Europe, 9.3 x 10(6) t(dry weight (dw)) of compost and digestate are produced per year. Most of this is applied to agricultural land, which can lead to considerable inputs of organic pollutants, such as polychlorinated biphenyls (PCB) and polycyclic aromatic hydrocarbons (PAH) to soil. This paper presents an inventory of the pollutant situation in source-separated composts, digestates and presswater in Switzerland by a detailed analysis of over 70 samples. PCB concentrations ( summation PCB 28, 52, 101, 118, 138, 153, 180) were significantly higher in urban (median: 30 microg kg(-1)dw, n = 52) than in rural samples (median: 14 microg kg(-1)dw, n = 16). Together with low concentrations in general, this points to aerial deposition on compost input material as the major contamination pathway. Enantiomeric fractions of atropisometric PCB were close to racemic. Median PAH concentration was 3010 microg kg(-1)dw( summation 15PAH, n = 69), and one quarter of the samples exhibited concentrations above the relevant Swiss guide value for compost (4000 microg kg(-1)dw). The levels were influenced by the treatment process (digestate &gt; compost), the season of input material collection (spring-summer &gt; winter &gt; autumn), the particle size (coarse-grained &gt; fine-grained), and maturity (mature &gt; less mature). The main source of PAH in compost was pyrogenic, probably influenced mainly by liquid fossil fuel combustion and some asphalt abrasion, as suggested by multiple linear regression. This study, together with a companion paper reporting on other organic contaminates including emerging compound classes, provides a starting point for a better risk-benefit estimation of the application of compost and digestate to agricultural soil in Switzerland.","author":[{"dropping-particle":"","family":"Brändli","given":"Rahel C.","non-dropping-particle":"","parse-names":false,"suffix":""},{"dropping-particle":"","family":"Bucheli","given":"Thomas D.","non-dropping-particle":"","parse-names":false,"suffix":""},{"dropping-particle":"","family":"Kupper","given":"Thomas","non-dropping-particle":"","parse-names":false,"suffix":""},{"dropping-particle":"","family":"Furrer","given":"Reinhard","non-dropping-particle":"","parse-names":false,"suffix":""},{"dropping-particle":"","family":"Stahel","given":"Werner A.","non-dropping-particle":"","parse-names":false,"suffix":""},{"dropping-particle":"","family":"Stadelmann","given":"Franz X.","non-dropping-particle":"","parse-names":false,"suffix":""},{"dropping-particle":"","family":"Tarradellas","given":"Joseph","non-dropping-particle":"","parse-names":false,"suffix":""}],"container-title":"Journal of Environmental Monitoring","id":"ITEM-1","issue":"5","issued":{"date-parts":[["2007"]]},"page":"456-464","title":"Organic pollutants in compost and digestate. Part 1. Polychlorinated biphenyls, polycyclic aromatic hydrocarbons and molecular markers","type":"article-journal","volume":"9"},"uris":["http://www.mendeley.com/documents/?uuid=6a2bcfa8-e240-4327-b896-20ea52d9c9e1"]}],"mendeley":{"formattedCitation":"(Brändli et al., 2007)","manualFormatting":"Brändli, Bucheli, et al. (2007)","plainTextFormattedCitation":"(Brändli et al., 2007)","previouslyFormattedCitation":"(Brändli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Brändli, Bucheli, et al. (2007)</w:t>
            </w:r>
            <w:r w:rsidRPr="00C81B1E">
              <w:rPr>
                <w:rFonts w:eastAsia="Calibri"/>
                <w:lang w:val="en-GB" w:eastAsia="en-US"/>
              </w:rPr>
              <w:fldChar w:fldCharType="end"/>
            </w:r>
          </w:p>
        </w:tc>
      </w:tr>
      <w:tr w:rsidR="00C81B1E" w:rsidRPr="00C81B1E" w14:paraId="55CBA525" w14:textId="77777777" w:rsidTr="00C81B1E">
        <w:trPr>
          <w:trHeight w:val="255"/>
        </w:trPr>
        <w:tc>
          <w:tcPr>
            <w:tcW w:w="1668" w:type="dxa"/>
            <w:shd w:val="clear" w:color="auto" w:fill="auto"/>
            <w:noWrap/>
            <w:vAlign w:val="center"/>
            <w:hideMark/>
          </w:tcPr>
          <w:p w14:paraId="1D27CD8D"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Moisture content</w:t>
            </w:r>
          </w:p>
        </w:tc>
        <w:tc>
          <w:tcPr>
            <w:tcW w:w="1476" w:type="dxa"/>
            <w:shd w:val="clear" w:color="auto" w:fill="auto"/>
            <w:noWrap/>
            <w:vAlign w:val="center"/>
            <w:hideMark/>
          </w:tcPr>
          <w:p w14:paraId="1B056A2C" w14:textId="77777777" w:rsidR="00C7764C" w:rsidRPr="00C81B1E" w:rsidRDefault="00C7764C" w:rsidP="00C81B1E">
            <w:pPr>
              <w:pStyle w:val="MDPI42tablebody"/>
              <w:rPr>
                <w:rFonts w:eastAsia="Calibri"/>
                <w:lang w:val="en-GB" w:eastAsia="en-US"/>
              </w:rPr>
            </w:pPr>
            <w:r w:rsidRPr="00C81B1E">
              <w:rPr>
                <w:rFonts w:eastAsia="Calibri"/>
                <w:lang w:val="en-GB" w:eastAsia="en-US"/>
              </w:rPr>
              <w:t>g/kg</w:t>
            </w:r>
          </w:p>
        </w:tc>
        <w:tc>
          <w:tcPr>
            <w:tcW w:w="899" w:type="dxa"/>
            <w:shd w:val="clear" w:color="auto" w:fill="auto"/>
            <w:noWrap/>
            <w:vAlign w:val="center"/>
            <w:hideMark/>
          </w:tcPr>
          <w:p w14:paraId="39C6EC8E"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shd w:val="clear" w:color="auto" w:fill="auto"/>
            <w:noWrap/>
            <w:vAlign w:val="center"/>
            <w:hideMark/>
          </w:tcPr>
          <w:p w14:paraId="1F6DE3DF"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41C8EA5B"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008B730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Loss on ignition / VS / TOC</w:t>
            </w:r>
          </w:p>
        </w:tc>
        <w:tc>
          <w:tcPr>
            <w:tcW w:w="1476" w:type="dxa"/>
            <w:tcBorders>
              <w:top w:val="single" w:sz="4" w:space="0" w:color="7F7F7F"/>
              <w:bottom w:val="single" w:sz="4" w:space="0" w:color="7F7F7F"/>
            </w:tcBorders>
            <w:shd w:val="clear" w:color="auto" w:fill="auto"/>
            <w:noWrap/>
            <w:vAlign w:val="center"/>
            <w:hideMark/>
          </w:tcPr>
          <w:p w14:paraId="00C9A82C" w14:textId="77777777" w:rsidR="00C7764C" w:rsidRPr="00C81B1E" w:rsidRDefault="00C7764C" w:rsidP="00C81B1E">
            <w:pPr>
              <w:pStyle w:val="MDPI42tablebody"/>
              <w:rPr>
                <w:rFonts w:eastAsia="Calibri"/>
                <w:lang w:val="en-GB" w:eastAsia="en-US"/>
              </w:rPr>
            </w:pPr>
            <w:r w:rsidRPr="00C81B1E">
              <w:rPr>
                <w:rFonts w:eastAsia="Calibri"/>
                <w:lang w:val="en-GB" w:eastAsia="en-US"/>
              </w:rPr>
              <w:t>g/kg</w:t>
            </w:r>
          </w:p>
        </w:tc>
        <w:tc>
          <w:tcPr>
            <w:tcW w:w="899" w:type="dxa"/>
            <w:tcBorders>
              <w:top w:val="single" w:sz="4" w:space="0" w:color="7F7F7F"/>
              <w:bottom w:val="single" w:sz="4" w:space="0" w:color="7F7F7F"/>
            </w:tcBorders>
            <w:shd w:val="clear" w:color="auto" w:fill="auto"/>
            <w:noWrap/>
            <w:vAlign w:val="center"/>
            <w:hideMark/>
          </w:tcPr>
          <w:p w14:paraId="5345496C"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029" w:type="dxa"/>
            <w:tcBorders>
              <w:top w:val="single" w:sz="4" w:space="0" w:color="7F7F7F"/>
              <w:bottom w:val="single" w:sz="4" w:space="0" w:color="7F7F7F"/>
            </w:tcBorders>
            <w:shd w:val="clear" w:color="auto" w:fill="auto"/>
            <w:noWrap/>
            <w:vAlign w:val="center"/>
            <w:hideMark/>
          </w:tcPr>
          <w:p w14:paraId="241E845F"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08B1E939" w14:textId="77777777" w:rsidTr="00C81B1E">
        <w:trPr>
          <w:trHeight w:val="255"/>
        </w:trPr>
        <w:tc>
          <w:tcPr>
            <w:tcW w:w="1668" w:type="dxa"/>
            <w:shd w:val="clear" w:color="auto" w:fill="auto"/>
            <w:noWrap/>
            <w:vAlign w:val="center"/>
            <w:hideMark/>
          </w:tcPr>
          <w:p w14:paraId="53D3879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pH / neutralising value</w:t>
            </w:r>
          </w:p>
        </w:tc>
        <w:tc>
          <w:tcPr>
            <w:tcW w:w="1476" w:type="dxa"/>
            <w:shd w:val="clear" w:color="auto" w:fill="auto"/>
            <w:noWrap/>
            <w:vAlign w:val="center"/>
            <w:hideMark/>
          </w:tcPr>
          <w:p w14:paraId="75058039" w14:textId="77777777" w:rsidR="00C7764C" w:rsidRPr="00C81B1E" w:rsidRDefault="00C7764C" w:rsidP="00C81B1E">
            <w:pPr>
              <w:pStyle w:val="MDPI42tablebody"/>
              <w:rPr>
                <w:rFonts w:eastAsia="Calibri"/>
                <w:lang w:val="en-GB" w:eastAsia="en-US"/>
              </w:rPr>
            </w:pPr>
            <w:r w:rsidRPr="00C81B1E">
              <w:rPr>
                <w:rFonts w:eastAsia="Calibri"/>
                <w:lang w:val="en-GB" w:eastAsia="en-US"/>
              </w:rPr>
              <w:t>0-14</w:t>
            </w:r>
          </w:p>
        </w:tc>
        <w:tc>
          <w:tcPr>
            <w:tcW w:w="899" w:type="dxa"/>
            <w:shd w:val="clear" w:color="auto" w:fill="auto"/>
            <w:noWrap/>
            <w:vAlign w:val="center"/>
            <w:hideMark/>
          </w:tcPr>
          <w:p w14:paraId="6F14F8C6"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shd w:val="clear" w:color="auto" w:fill="auto"/>
            <w:noWrap/>
            <w:vAlign w:val="center"/>
            <w:hideMark/>
          </w:tcPr>
          <w:p w14:paraId="1298BDB1"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09318531"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2C4CF2D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Dioxins, furans, PAH, PCBs and products alike</w:t>
            </w:r>
          </w:p>
        </w:tc>
        <w:tc>
          <w:tcPr>
            <w:tcW w:w="1476" w:type="dxa"/>
            <w:tcBorders>
              <w:top w:val="single" w:sz="4" w:space="0" w:color="7F7F7F"/>
              <w:bottom w:val="single" w:sz="4" w:space="0" w:color="7F7F7F"/>
            </w:tcBorders>
            <w:shd w:val="clear" w:color="auto" w:fill="auto"/>
            <w:noWrap/>
            <w:vAlign w:val="center"/>
            <w:hideMark/>
          </w:tcPr>
          <w:p w14:paraId="1F0D18B8" w14:textId="77777777" w:rsidR="00C7764C" w:rsidRPr="00C81B1E" w:rsidRDefault="00C7764C" w:rsidP="00C81B1E">
            <w:pPr>
              <w:pStyle w:val="MDPI42tablebody"/>
              <w:rPr>
                <w:rFonts w:eastAsia="Calibri"/>
                <w:lang w:val="pl-PL" w:eastAsia="en-US"/>
              </w:rPr>
            </w:pPr>
            <w:r w:rsidRPr="00C81B1E">
              <w:rPr>
                <w:rFonts w:eastAsia="Calibri"/>
                <w:lang w:val="pl-PL" w:eastAsia="en-US"/>
              </w:rPr>
              <w:t>ng I-TEQ/kg dry</w:t>
            </w:r>
          </w:p>
        </w:tc>
        <w:tc>
          <w:tcPr>
            <w:tcW w:w="899" w:type="dxa"/>
            <w:tcBorders>
              <w:top w:val="single" w:sz="4" w:space="0" w:color="7F7F7F"/>
              <w:bottom w:val="single" w:sz="4" w:space="0" w:color="7F7F7F"/>
            </w:tcBorders>
            <w:shd w:val="clear" w:color="auto" w:fill="auto"/>
            <w:noWrap/>
            <w:vAlign w:val="center"/>
            <w:hideMark/>
          </w:tcPr>
          <w:p w14:paraId="547A12ED"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029" w:type="dxa"/>
            <w:tcBorders>
              <w:top w:val="single" w:sz="4" w:space="0" w:color="7F7F7F"/>
              <w:bottom w:val="single" w:sz="4" w:space="0" w:color="7F7F7F"/>
            </w:tcBorders>
            <w:shd w:val="clear" w:color="auto" w:fill="auto"/>
            <w:noWrap/>
            <w:vAlign w:val="center"/>
            <w:hideMark/>
          </w:tcPr>
          <w:p w14:paraId="6A34DDE5" w14:textId="742DE3EF"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{"citationItems":[{"id":"ITEM-1","itemData":{"DOI":"10.1039/b617101j","ISBN":"1464-0325 (Print)\\r1464-0325 (Linking)","ISSN":"1464-0325","PMID":"17492091","abstract":"In Europe, 9.3 x 10(6) t(dry weight (dw)) of compost and digestate are produced per year. Most of this is applied to agricultural land, which can lead to considerable inputs of organic pollutants, such as polychlorinated biphenyls (PCB) and polycyclic aromatic hydrocarbons (PAH) to soil. This paper presents an inventory of the pollutant situation in source-separated composts, digestates and presswater in Switzerland by a detailed analysis of over 70 samples. PCB concentrations ( summation PCB 28, 52, 101, 118, 138, 153, 180) were significantly higher in urban (median: 30 microg kg(-1)dw, n = 52) than in rural samples (median: 14 microg kg(-1)dw, n = 16). Together with low concentrations in general, this points to aerial deposition on compost input material as the major contamination pathway. Enantiomeric fractions of atropisometric PCB were close to racemic. Median PAH concentration was 3010 microg kg(-1)dw( summation 15PAH, n = 69), and one quarter of the samples exhibited concentrations above the relevant Swiss guide value for compost (4000 microg kg(-1)dw). The levels were influenced by the treatment process (digestate &gt; compost), the season of input material collection (spring-summer &gt; winter &gt; autumn), the particle size (coarse-grained &gt; fine-grained), and maturity (mature &gt; less mature). The main source of PAH in compost was pyrogenic, probably influenced mainly by liquid fossil fuel combustion and some asphalt abrasion, as suggested by multiple linear regression. This study, together with a companion paper reporting on other organic contaminates including emerging compound classes, provides a starting point for a better risk-benefit estimation of the application of compost and digestate to agricultural soil in Switzerland.","author":[{"dropping-particle":"","family":"Brändli","given":"Rahel C.","non-dropping-particle":"","parse-names":false,"suffix":""},{"dropping-particle":"","family":"Bucheli","given":"Thomas D.","non-dropping-particle":"","parse-names":false,"suffix":""},{"dropping-particle":"","family":"Kupper","given":"Thomas","non-dropping-particle":"","parse-names":false,"suffix":""},{"dropping-particle":"","family":"Furrer","given":"Reinhard","non-dropping-particle":"","parse-names":false,"suffix":""},{"dropping-particle":"","family":"Stahel","given":"Werner A.","non-dropping-particle":"","parse-names":false,"suffix":""},{"dropping-particle":"","family":"Stadelmann","given":"Franz X.","non-dropping-particle":"","parse-names":false,"suffix":""},{"dropping-particle":"","family":"Tarradellas","given":"Joseph","non-dropping-particle":"","parse-names":false,"suffix":""}],"container-title":"Journal of Environmental Monitoring","id":"ITEM-1","issue":"5","issued":{"date-parts":[["2007"]]},"page":"456-464","title":"Organic pollutants in compost and digestate. Part 1. Polychlorinated biphenyls, polycyclic aromatic hydrocarbons and molecular markers","type":"article-journal","volume":"9"},"uris":["http://www.mendeley.com/documents/?uuid=6a2bcfa8-e240-4327-b896-20ea52d9c9e1"]}],"mendeley":{"formattedCitation":"(Brändli et al., 2007)","manualFormatting":"Brändli, Bucheli, et al. (2007)","plainTextFormattedCitation":"(Brändli et al., 2007)","previouslyFormattedCitation":"(Brändli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Brändli, et al. (2007)</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{"citationItems":[{"id":"ITEM-1","itemData":{"DOI":"10.1039/b617101j","ISBN":"1464-0325 (Print)\\r1464-0325 (Linking)","ISSN":"1464-0325","PMID":"17492091","abstract":"In Europe, 9.3 x 10(6) t(dry weight (dw)) of compost and digestate are produced per year. Most of this is applied to agricultural land, which can lead to considerable inputs of organic pollutants, such as polychlorinated biphenyls (PCB) and polycyclic aromatic hydrocarbons (PAH) to soil. This paper presents an inventory of the pollutant situation in source-separated composts, digestates and presswater in Switzerland by a detailed analysis of over 70 samples. PCB concentrations ( summation PCB 28, 52, 101, 118, 138, 153, 180) were significantly higher in urban (median: 30 microg kg(-1)dw, n = 52) than in rural samples (median: 14 microg kg(-1)dw, n = 16). Together with low concentrations in general, this points to aerial deposition on compost input material as the major contamination pathway. Enantiomeric fractions of atropisometric PCB were close to racemic. Median PAH concentration was 3010 microg kg(-1)dw( summation 15PAH, n = 69), and one quarter of the samples exhibited concentrations above the relevant Swiss guide value for compost (4000 microg kg(-1)dw). The levels were influenced by the treatment process (digestate &gt; compost), the season of input material collection (spring-summer &gt; winter &gt; autumn), the particle size (coarse-grained &gt; fine-grained), and maturity (mature &gt; less mature). The main source of PAH in compost was pyrogenic, probably influenced mainly by liquid fossil fuel combustion and some asphalt abrasion, as suggested by multiple linear regression. This study, together with a companion paper reporting on other organic contaminates including emerging compound classes, provides a starting point for a better risk-benefit estimation of the application of compost and digestate to agricultural soil in Switzerland.","author":[{"dropping-particle":"","family":"Brändli","given":"Rahel C.","non-dropping-particle":"","parse-names":false,"suffix":""},{"dropping-particle":"","family":"Bucheli","given":"Thomas D.","non-dropping-particle":"","parse-names":false,"suffix":""},{"dropping-particle":"","family":"Kupper","given":"Thomas","non-dropping-particle":"","parse-names":false,"suffix":""},{"dropping-particle":"","family":"Furrer","given":"Reinhard","non-dropping-particle":"","parse-names":false,"suffix":""},{"dropping-particle":"","family":"Stahel","given":"Werner A.","non-dropping-particle":"","parse-names":false,"suffix":""},{"dropping-particle":"","family":"Stadelmann","given":"Franz X.","non-dropping-particle":"","parse-names":false,"suffix":""},{"dropping-particle":"","family":"Tarradellas","given":"Joseph","non-dropping-particle":"","parse-names":false,"suffix":""}],"container-title":"Journal of Environmental Monitoring","id":"ITEM-1","issue":"5","issued":{"date-parts":[["2007"]]},"page":"456-464","title":"Organic pollutants in compost and digestate. Part 1. Polychlorinated biphenyls, polycyclic aromatic hydrocarbons and molecular markers","type":"article-journal","volume":"9"},"uris":["http://www.mendeley.com/documents/?uuid=6a2bcfa8-e240-4327-b896-20ea52d9c9e1"]}],"mendeley":{"formattedCitation":"(Brändli et al., 2007)","manualFormatting":"Brändli, Bucheli, et al. (2007)","plainTextFormattedCitation":"(Brändli et al., 2007)","previouslyFormattedCitation":"(Brändli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Brändli, Bucheli, et al. (2007)</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5A46F9DB" w14:textId="77777777" w:rsidTr="00C81B1E">
        <w:trPr>
          <w:trHeight w:val="255"/>
        </w:trPr>
        <w:tc>
          <w:tcPr>
            <w:tcW w:w="1668" w:type="dxa"/>
            <w:shd w:val="clear" w:color="auto" w:fill="auto"/>
            <w:noWrap/>
            <w:vAlign w:val="center"/>
            <w:hideMark/>
          </w:tcPr>
          <w:p w14:paraId="4BCF6AF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Fungicides, herbicides, insecticides, acaricides</w:t>
            </w:r>
          </w:p>
        </w:tc>
        <w:tc>
          <w:tcPr>
            <w:tcW w:w="1476" w:type="dxa"/>
            <w:shd w:val="clear" w:color="auto" w:fill="auto"/>
            <w:noWrap/>
            <w:vAlign w:val="center"/>
            <w:hideMark/>
          </w:tcPr>
          <w:p w14:paraId="6F47481D" w14:textId="77777777" w:rsidR="00C7764C" w:rsidRPr="00C81B1E" w:rsidRDefault="00C7764C" w:rsidP="00C81B1E">
            <w:pPr>
              <w:pStyle w:val="MDPI42tablebody"/>
              <w:rPr>
                <w:rFonts w:eastAsia="Calibri"/>
                <w:lang w:val="en-GB" w:eastAsia="en-US"/>
              </w:rPr>
            </w:pPr>
            <w:r w:rsidRPr="00C81B1E">
              <w:rPr>
                <w:rFonts w:eastAsia="Calibri"/>
                <w:lang w:val="en-GB" w:eastAsia="en-US"/>
              </w:rPr>
              <w:t>mg/t dry</w:t>
            </w:r>
          </w:p>
        </w:tc>
        <w:tc>
          <w:tcPr>
            <w:tcW w:w="899" w:type="dxa"/>
            <w:shd w:val="clear" w:color="auto" w:fill="auto"/>
            <w:noWrap/>
            <w:vAlign w:val="center"/>
            <w:hideMark/>
          </w:tcPr>
          <w:p w14:paraId="1CA67E31"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shd w:val="clear" w:color="auto" w:fill="auto"/>
            <w:noWrap/>
            <w:vAlign w:val="center"/>
            <w:hideMark/>
          </w:tcPr>
          <w:p w14:paraId="3A43E8CE" w14:textId="2F7C9128"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{"citationItems":[{"id":"ITEM-1","itemData":{"DOI":"10.1039/b617101j","ISBN":"1464-0325 (Print)\\r1464-0325 (Linking)","ISSN":"1464-0325","PMID":"17492091","abstract":"In Europe, 9.3 x 10(6) t(dry weight (dw)) of compost and digestate are produced per year. Most of this is applied to agricultural land, which can lead to considerable inputs of organic pollutants, such as polychlorinated biphenyls (PCB) and polycyclic aromatic hydrocarbons (PAH) to soil. This paper presents an inventory of the pollutant situation in source-separated composts, digestates and presswater in Switzerland by a detailed analysis of over 70 samples. PCB concentrations ( summation PCB 28, 52, 101, 118, 138, 153, 180) were significantly higher in urban (median: 30 microg kg(-1)dw, n = 52) than in rural samples (median: 14 microg kg(-1)dw, n = 16). Together with low concentrations in general, this points to aerial deposition on compost input material as the major contamination pathway. Enantiomeric fractions of atropisometric PCB were close to racemic. Median PAH concentration was 3010 microg kg(-1)dw( summation 15PAH, n = 69), and one quarter of the samples exhibited concentrations above the relevant Swiss guide value for compost (4000 microg kg(-1)dw). The levels were influenced by the treatment process (digestate &gt; compost), the season of input material collection (spring-summer &gt; winter &gt; autumn), the particle size (coarse-grained &gt; fine-grained), and maturity (mature &gt; less mature). The main source of PAH in compost was pyrogenic, probably influenced mainly by liquid fossil fuel combustion and some asphalt abrasion, as suggested by multiple linear regression. This study, together with a companion paper reporting on other organic contaminates including emerging compound classes, provides a starting point for a better risk-benefit estimation of the application of compost and digestate to agricultural soil in Switzerland.","author":[{"dropping-particle":"","family":"Brändli","given":"Rahel C.","non-dropping-particle":"","parse-names":false,"suffix":""},{"dropping-particle":"","family":"Bucheli","given":"Thomas D.","non-dropping-particle":"","parse-names":false,"suffix":""},{"dropping-particle":"","family":"Kupper","given":"Thomas","non-dropping-particle":"","parse-names":false,"suffix":""},{"dropping-particle":"","family":"Furrer","given":"Reinhard","non-dropping-particle":"","parse-names":false,"suffix":""},{"dropping-particle":"","family":"Stahel","given":"Werner A.","non-dropping-particle":"","parse-names":false,"suffix":""},{"dropping-particle":"","family":"Stadelmann","given":"Franz X.","non-dropping-particle":"","parse-names":false,"suffix":""},{"dropping-particle":"","family":"Tarradellas","given":"Joseph","non-dropping-particle":"","parse-names":false,"suffix":""}],"container-title":"Journal of Environmental Monitoring","id":"ITEM-1","issue":"5","issued":{"date-parts":[["2007"]]},"page":"456-464","title":"Organic pollutants in compost and digestate. Part 1. Polychlorinated biphenyls, polycyclic aromatic hydrocarbons and molecular markers","type":"article-journal","volume":"9"},"uris":["http://www.mendeley.com/documents/?uuid=6a2bcfa8-e240-4327-b896-20ea52d9c9e1"]}],"mendeley":{"formattedCitation":"(Brändli et al., 2007)","manualFormatting":"Brändli, Bucheli, et al. (2007)","plainTextFormattedCitation":"(Brändli et al., 2007)","previouslyFormattedCitation":"(Brändli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Brändli, et al. (2007)</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{"citationItems":[{"id":"ITEM-1","itemData":{"DOI":"10.1039/b617101j","ISBN":"1464-0325 (Print)\\r1464-0325 (Linking)","ISSN":"1464-0325","PMID":"17492091","abstract":"In Europe, 9.3 x 10(6) t(dry weight (dw)) of compost and digestate are produced per year. Most of this is applied to agricultural land, which can lead to considerable inputs of organic pollutants, such as polychlorinated biphenyls (PCB) and polycyclic aromatic hydrocarbons (PAH) to soil. This paper presents an inventory of the pollutant situation in source-separated composts, digestates and presswater in Switzerland by a detailed analysis of over 70 samples. PCB concentrations ( summation PCB 28, 52, 101, 118, 138, 153, 180) were significantly higher in urban (median: 30 microg kg(-1)dw, n = 52) than in rural samples (median: 14 microg kg(-1)dw, n = 16). Together with low concentrations in general, this points to aerial deposition on compost input material as the major contamination pathway. Enantiomeric fractions of atropisometric PCB were close to racemic. Median PAH concentration was 3010 microg kg(-1)dw( summation 15PAH, n = 69), and one quarter of the samples exhibited concentrations above the relevant Swiss guide value for compost (4000 microg kg(-1)dw). The levels were influenced by the treatment process (digestate &gt; compost), the season of input material collection (spring-summer &gt; winter &gt; autumn), the particle size (coarse-grained &gt; fine-grained), and maturity (mature &gt; less mature). The main source of PAH in compost was pyrogenic, probably influenced mainly by liquid fossil fuel combustion and some asphalt abrasion, as suggested by multiple linear regression. This study, together with a companion paper reporting on other organic contaminates including emerging compound classes, provides a starting point for a better risk-benefit estimation of the application of compost and digestate to agricultural soil in Switzerland.","author":[{"dropping-particle":"","family":"Brändli","given":"Rahel C.","non-dropping-particle":"","parse-names":false,"suffix":""},{"dropping-particle":"","family":"Bucheli","given":"Thomas D.","non-dropping-particle":"","parse-names":false,"suffix":""},{"dropping-particle":"","family":"Kupper","given":"Thomas","non-dropping-particle":"","parse-names":false,"suffix":""},{"dropping-particle":"","family":"Furrer","given":"Reinhard","non-dropping-particle":"","parse-names":false,"suffix":""},{"dropping-particle":"","family":"Stahel","given":"Werner A.","non-dropping-particle":"","parse-names":false,"suffix":""},{"dropping-particle":"","family":"Stadelmann","given":"Franz X.","non-dropping-particle":"","parse-names":false,"suffix":""},{"dropping-particle":"","family":"Tarradellas","given":"Joseph","non-dropping-particle":"","parse-names":false,"suffix":""}],"container-title":"Journal of Environmental Monitoring","id":"ITEM-1","issue":"5","issued":{"date-parts":[["2007"]]},"page":"456-464","title":"Organic pollutants in compost and digestate. Part 1. Polychlorinated biphenyls, polycyclic aromatic hydrocarbons and molecular markers","type":"article-journal","volume":"9"},"uris":["http://www.mendeley.com/documents/?uuid=6a2bcfa8-e240-4327-b896-20ea52d9c9e1"]}],"mendeley":{"formattedCitation":"(Brändli et al., 2007)","manualFormatting":"Brändli, Bucheli, et al. (2007)","plainTextFormattedCitation":"(Brändli et al., 2007)","previouslyFormattedCitation":"(Brändli et al., 2007)"},"properties":{"noteIndex":0},"schema":"https://github.com/citation-style-language/schema/raw/master/csl-citation.json"}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Brändli, et al. (2007)</w:t>
            </w:r>
            <w:r w:rsidRPr="00C81B1E">
              <w:rPr>
                <w:rFonts w:eastAsia="Calibri"/>
                <w:lang w:val="en-GB" w:eastAsia="en-US"/>
              </w:rPr>
              <w:fldChar w:fldCharType="end"/>
            </w:r>
          </w:p>
        </w:tc>
      </w:tr>
      <w:tr w:rsidR="00C81B1E" w:rsidRPr="00C81B1E" w14:paraId="185FAC76"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6FEC2A49" w14:textId="77777777" w:rsidR="00C7764C" w:rsidRPr="00C81B1E" w:rsidRDefault="00C7764C" w:rsidP="00C81B1E">
            <w:pPr>
              <w:pStyle w:val="MDPI42tablebody"/>
              <w:rPr>
                <w:rFonts w:eastAsia="Calibri"/>
                <w:b/>
                <w:bCs/>
                <w:i/>
                <w:iCs/>
                <w:lang w:val="en-GB" w:eastAsia="en-US"/>
              </w:rPr>
            </w:pPr>
            <w:r w:rsidRPr="00C81B1E">
              <w:rPr>
                <w:rFonts w:eastAsia="Calibri"/>
                <w:b/>
                <w:bCs/>
                <w:i/>
                <w:iCs/>
                <w:lang w:val="en-GB" w:eastAsia="en-US"/>
              </w:rPr>
              <w:t>E. coli</w:t>
            </w:r>
          </w:p>
        </w:tc>
        <w:tc>
          <w:tcPr>
            <w:tcW w:w="1476" w:type="dxa"/>
            <w:tcBorders>
              <w:top w:val="single" w:sz="4" w:space="0" w:color="7F7F7F"/>
              <w:bottom w:val="single" w:sz="4" w:space="0" w:color="7F7F7F"/>
            </w:tcBorders>
            <w:shd w:val="clear" w:color="auto" w:fill="auto"/>
            <w:noWrap/>
            <w:vAlign w:val="center"/>
            <w:hideMark/>
          </w:tcPr>
          <w:p w14:paraId="521F29A8" w14:textId="77777777" w:rsidR="00C7764C" w:rsidRPr="00C81B1E" w:rsidRDefault="00C7764C" w:rsidP="00C81B1E">
            <w:pPr>
              <w:pStyle w:val="MDPI42tablebody"/>
              <w:rPr>
                <w:rFonts w:eastAsia="Calibri"/>
                <w:lang w:val="en-GB" w:eastAsia="en-US"/>
              </w:rPr>
            </w:pPr>
            <w:r w:rsidRPr="00C81B1E">
              <w:rPr>
                <w:rFonts w:eastAsia="Calibri"/>
                <w:lang w:val="en-GB" w:eastAsia="en-US"/>
              </w:rPr>
              <w:t>CFU/g fresh matter</w:t>
            </w:r>
          </w:p>
        </w:tc>
        <w:tc>
          <w:tcPr>
            <w:tcW w:w="899" w:type="dxa"/>
            <w:tcBorders>
              <w:top w:val="single" w:sz="4" w:space="0" w:color="7F7F7F"/>
              <w:bottom w:val="single" w:sz="4" w:space="0" w:color="7F7F7F"/>
            </w:tcBorders>
            <w:shd w:val="clear" w:color="auto" w:fill="auto"/>
            <w:noWrap/>
            <w:vAlign w:val="center"/>
            <w:hideMark/>
          </w:tcPr>
          <w:p w14:paraId="108DE4AE"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val="restart"/>
            <w:tcBorders>
              <w:top w:val="single" w:sz="4" w:space="0" w:color="7F7F7F"/>
              <w:bottom w:val="single" w:sz="4" w:space="0" w:color="7F7F7F"/>
            </w:tcBorders>
            <w:shd w:val="clear" w:color="auto" w:fill="auto"/>
            <w:noWrap/>
            <w:vAlign w:val="center"/>
            <w:hideMark/>
          </w:tcPr>
          <w:p w14:paraId="2E8AA81A"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01FD7F16" w14:textId="77777777" w:rsidTr="00C81B1E">
        <w:trPr>
          <w:trHeight w:val="255"/>
        </w:trPr>
        <w:tc>
          <w:tcPr>
            <w:tcW w:w="1668" w:type="dxa"/>
            <w:shd w:val="clear" w:color="auto" w:fill="auto"/>
            <w:noWrap/>
            <w:vAlign w:val="center"/>
            <w:hideMark/>
          </w:tcPr>
          <w:p w14:paraId="2967FB7E" w14:textId="77777777" w:rsidR="00C7764C" w:rsidRPr="00C81B1E" w:rsidRDefault="00C7764C" w:rsidP="00C81B1E">
            <w:pPr>
              <w:pStyle w:val="MDPI42tablebody"/>
              <w:rPr>
                <w:rFonts w:eastAsia="Calibri"/>
                <w:b/>
                <w:bCs/>
                <w:i/>
                <w:iCs/>
                <w:lang w:val="en-GB" w:eastAsia="en-US"/>
              </w:rPr>
            </w:pPr>
            <w:r w:rsidRPr="00C81B1E">
              <w:rPr>
                <w:rFonts w:eastAsia="Calibri"/>
                <w:b/>
                <w:bCs/>
                <w:i/>
                <w:iCs/>
                <w:lang w:val="en-GB" w:eastAsia="en-US"/>
              </w:rPr>
              <w:t xml:space="preserve">Salmonella </w:t>
            </w:r>
            <w:proofErr w:type="spellStart"/>
            <w:r w:rsidRPr="00C81B1E">
              <w:rPr>
                <w:rFonts w:eastAsia="Calibri"/>
                <w:b/>
                <w:bCs/>
                <w:i/>
                <w:iCs/>
                <w:lang w:val="en-GB" w:eastAsia="en-US"/>
              </w:rPr>
              <w:t>spp</w:t>
            </w:r>
            <w:proofErr w:type="spellEnd"/>
          </w:p>
        </w:tc>
        <w:tc>
          <w:tcPr>
            <w:tcW w:w="1476" w:type="dxa"/>
            <w:shd w:val="clear" w:color="auto" w:fill="auto"/>
            <w:noWrap/>
            <w:vAlign w:val="center"/>
            <w:hideMark/>
          </w:tcPr>
          <w:p w14:paraId="1527D556"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CFU/g fresh </w:t>
            </w:r>
            <w:r w:rsidRPr="00C81B1E">
              <w:rPr>
                <w:rFonts w:eastAsia="Calibri"/>
                <w:lang w:val="en-GB" w:eastAsia="en-US"/>
              </w:rPr>
              <w:lastRenderedPageBreak/>
              <w:t>matter</w:t>
            </w:r>
          </w:p>
        </w:tc>
        <w:tc>
          <w:tcPr>
            <w:tcW w:w="899" w:type="dxa"/>
            <w:shd w:val="clear" w:color="auto" w:fill="auto"/>
            <w:noWrap/>
            <w:vAlign w:val="center"/>
            <w:hideMark/>
          </w:tcPr>
          <w:p w14:paraId="342FFF70" w14:textId="77777777" w:rsidR="00C7764C" w:rsidRPr="00C81B1E" w:rsidRDefault="00C7764C" w:rsidP="00C81B1E">
            <w:pPr>
              <w:pStyle w:val="MDPI42tablebody"/>
              <w:rPr>
                <w:rFonts w:eastAsia="Calibri"/>
                <w:lang w:val="en-GB" w:eastAsia="en-US"/>
              </w:rPr>
            </w:pPr>
            <w:r w:rsidRPr="00C81B1E">
              <w:rPr>
                <w:rFonts w:eastAsia="Calibri"/>
                <w:lang w:val="en-GB" w:eastAsia="en-US"/>
              </w:rPr>
              <w:lastRenderedPageBreak/>
              <w:t>AD, C</w:t>
            </w:r>
          </w:p>
        </w:tc>
        <w:tc>
          <w:tcPr>
            <w:tcW w:w="5029" w:type="dxa"/>
            <w:vMerge/>
            <w:shd w:val="clear" w:color="auto" w:fill="auto"/>
            <w:noWrap/>
            <w:vAlign w:val="center"/>
          </w:tcPr>
          <w:p w14:paraId="30673232" w14:textId="77777777" w:rsidR="00C7764C" w:rsidRPr="00C81B1E" w:rsidRDefault="00C7764C" w:rsidP="00C81B1E">
            <w:pPr>
              <w:pStyle w:val="MDPI42tablebody"/>
              <w:rPr>
                <w:rFonts w:eastAsia="Calibri"/>
                <w:lang w:val="en-GB" w:eastAsia="en-US"/>
              </w:rPr>
            </w:pPr>
          </w:p>
        </w:tc>
      </w:tr>
      <w:tr w:rsidR="00C81B1E" w:rsidRPr="00C81B1E" w14:paraId="235740E8"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7501171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Cd</w:t>
            </w:r>
          </w:p>
        </w:tc>
        <w:tc>
          <w:tcPr>
            <w:tcW w:w="1476" w:type="dxa"/>
            <w:tcBorders>
              <w:top w:val="single" w:sz="4" w:space="0" w:color="7F7F7F"/>
              <w:bottom w:val="single" w:sz="4" w:space="0" w:color="7F7F7F"/>
            </w:tcBorders>
            <w:shd w:val="clear" w:color="auto" w:fill="auto"/>
            <w:noWrap/>
            <w:vAlign w:val="center"/>
            <w:hideMark/>
          </w:tcPr>
          <w:p w14:paraId="45DF3AED"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tcBorders>
              <w:top w:val="single" w:sz="4" w:space="0" w:color="7F7F7F"/>
              <w:bottom w:val="single" w:sz="4" w:space="0" w:color="7F7F7F"/>
            </w:tcBorders>
            <w:shd w:val="clear" w:color="auto" w:fill="auto"/>
            <w:noWrap/>
            <w:vAlign w:val="center"/>
            <w:hideMark/>
          </w:tcPr>
          <w:p w14:paraId="1FE46CCB"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tcBorders>
              <w:top w:val="single" w:sz="4" w:space="0" w:color="7F7F7F"/>
              <w:bottom w:val="single" w:sz="4" w:space="0" w:color="7F7F7F"/>
            </w:tcBorders>
            <w:shd w:val="clear" w:color="auto" w:fill="auto"/>
            <w:noWrap/>
            <w:vAlign w:val="center"/>
          </w:tcPr>
          <w:p w14:paraId="192E614B" w14:textId="77777777" w:rsidR="00C7764C" w:rsidRPr="00C81B1E" w:rsidRDefault="00C7764C" w:rsidP="00C81B1E">
            <w:pPr>
              <w:pStyle w:val="MDPI42tablebody"/>
              <w:rPr>
                <w:rFonts w:eastAsia="Calibri"/>
                <w:lang w:val="en-GB" w:eastAsia="en-US"/>
              </w:rPr>
            </w:pPr>
          </w:p>
        </w:tc>
      </w:tr>
      <w:tr w:rsidR="00C81B1E" w:rsidRPr="00C81B1E" w14:paraId="0DA60D54" w14:textId="77777777" w:rsidTr="00C81B1E">
        <w:trPr>
          <w:trHeight w:val="255"/>
        </w:trPr>
        <w:tc>
          <w:tcPr>
            <w:tcW w:w="1668" w:type="dxa"/>
            <w:shd w:val="clear" w:color="auto" w:fill="auto"/>
            <w:noWrap/>
            <w:vAlign w:val="center"/>
            <w:hideMark/>
          </w:tcPr>
          <w:p w14:paraId="6561C2C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Cr</w:t>
            </w:r>
          </w:p>
        </w:tc>
        <w:tc>
          <w:tcPr>
            <w:tcW w:w="1476" w:type="dxa"/>
            <w:shd w:val="clear" w:color="auto" w:fill="auto"/>
            <w:noWrap/>
            <w:vAlign w:val="center"/>
            <w:hideMark/>
          </w:tcPr>
          <w:p w14:paraId="7279EC22"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shd w:val="clear" w:color="auto" w:fill="auto"/>
            <w:noWrap/>
            <w:vAlign w:val="center"/>
            <w:hideMark/>
          </w:tcPr>
          <w:p w14:paraId="4A64DC1F"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shd w:val="clear" w:color="auto" w:fill="auto"/>
            <w:noWrap/>
            <w:vAlign w:val="center"/>
          </w:tcPr>
          <w:p w14:paraId="1A5D7033" w14:textId="77777777" w:rsidR="00C7764C" w:rsidRPr="00C81B1E" w:rsidRDefault="00C7764C" w:rsidP="00C81B1E">
            <w:pPr>
              <w:pStyle w:val="MDPI42tablebody"/>
              <w:rPr>
                <w:rFonts w:eastAsia="Calibri"/>
                <w:lang w:val="en-GB" w:eastAsia="en-US"/>
              </w:rPr>
            </w:pPr>
          </w:p>
        </w:tc>
      </w:tr>
      <w:tr w:rsidR="00C81B1E" w:rsidRPr="00C81B1E" w14:paraId="33FCA84A"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3659F6D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Pb</w:t>
            </w:r>
          </w:p>
        </w:tc>
        <w:tc>
          <w:tcPr>
            <w:tcW w:w="1476" w:type="dxa"/>
            <w:tcBorders>
              <w:top w:val="single" w:sz="4" w:space="0" w:color="7F7F7F"/>
              <w:bottom w:val="single" w:sz="4" w:space="0" w:color="7F7F7F"/>
            </w:tcBorders>
            <w:shd w:val="clear" w:color="auto" w:fill="auto"/>
            <w:noWrap/>
            <w:vAlign w:val="center"/>
            <w:hideMark/>
          </w:tcPr>
          <w:p w14:paraId="345FF0E6"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tcBorders>
              <w:top w:val="single" w:sz="4" w:space="0" w:color="7F7F7F"/>
              <w:bottom w:val="single" w:sz="4" w:space="0" w:color="7F7F7F"/>
            </w:tcBorders>
            <w:shd w:val="clear" w:color="auto" w:fill="auto"/>
            <w:noWrap/>
            <w:vAlign w:val="center"/>
            <w:hideMark/>
          </w:tcPr>
          <w:p w14:paraId="5FA96A04"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tcBorders>
              <w:top w:val="single" w:sz="4" w:space="0" w:color="7F7F7F"/>
              <w:bottom w:val="single" w:sz="4" w:space="0" w:color="7F7F7F"/>
            </w:tcBorders>
            <w:shd w:val="clear" w:color="auto" w:fill="auto"/>
            <w:noWrap/>
            <w:vAlign w:val="center"/>
          </w:tcPr>
          <w:p w14:paraId="0154F9B8" w14:textId="77777777" w:rsidR="00C7764C" w:rsidRPr="00C81B1E" w:rsidRDefault="00C7764C" w:rsidP="00C81B1E">
            <w:pPr>
              <w:pStyle w:val="MDPI42tablebody"/>
              <w:rPr>
                <w:rFonts w:eastAsia="Calibri"/>
                <w:lang w:val="en-GB" w:eastAsia="en-US"/>
              </w:rPr>
            </w:pPr>
          </w:p>
        </w:tc>
      </w:tr>
      <w:tr w:rsidR="00C81B1E" w:rsidRPr="00C81B1E" w14:paraId="45D6EBA5" w14:textId="77777777" w:rsidTr="00C81B1E">
        <w:trPr>
          <w:trHeight w:val="255"/>
        </w:trPr>
        <w:tc>
          <w:tcPr>
            <w:tcW w:w="1668" w:type="dxa"/>
            <w:shd w:val="clear" w:color="auto" w:fill="auto"/>
            <w:noWrap/>
            <w:vAlign w:val="center"/>
            <w:hideMark/>
          </w:tcPr>
          <w:p w14:paraId="7ED0EB4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Hg</w:t>
            </w:r>
          </w:p>
        </w:tc>
        <w:tc>
          <w:tcPr>
            <w:tcW w:w="1476" w:type="dxa"/>
            <w:shd w:val="clear" w:color="auto" w:fill="auto"/>
            <w:noWrap/>
            <w:vAlign w:val="center"/>
            <w:hideMark/>
          </w:tcPr>
          <w:p w14:paraId="2FE02588"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shd w:val="clear" w:color="auto" w:fill="auto"/>
            <w:noWrap/>
            <w:vAlign w:val="center"/>
            <w:hideMark/>
          </w:tcPr>
          <w:p w14:paraId="450C9CF6"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shd w:val="clear" w:color="auto" w:fill="auto"/>
            <w:noWrap/>
            <w:vAlign w:val="center"/>
          </w:tcPr>
          <w:p w14:paraId="0FEE58F2" w14:textId="77777777" w:rsidR="00C7764C" w:rsidRPr="00C81B1E" w:rsidRDefault="00C7764C" w:rsidP="00C81B1E">
            <w:pPr>
              <w:pStyle w:val="MDPI42tablebody"/>
              <w:rPr>
                <w:rFonts w:eastAsia="Calibri"/>
                <w:lang w:val="en-GB" w:eastAsia="en-US"/>
              </w:rPr>
            </w:pPr>
          </w:p>
        </w:tc>
      </w:tr>
      <w:tr w:rsidR="00C81B1E" w:rsidRPr="00C81B1E" w14:paraId="5323F356"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611AE777"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Ni</w:t>
            </w:r>
          </w:p>
        </w:tc>
        <w:tc>
          <w:tcPr>
            <w:tcW w:w="1476" w:type="dxa"/>
            <w:tcBorders>
              <w:top w:val="single" w:sz="4" w:space="0" w:color="7F7F7F"/>
              <w:bottom w:val="single" w:sz="4" w:space="0" w:color="7F7F7F"/>
            </w:tcBorders>
            <w:shd w:val="clear" w:color="auto" w:fill="auto"/>
            <w:noWrap/>
            <w:vAlign w:val="center"/>
            <w:hideMark/>
          </w:tcPr>
          <w:p w14:paraId="602EA7DB"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tcBorders>
              <w:top w:val="single" w:sz="4" w:space="0" w:color="7F7F7F"/>
              <w:bottom w:val="single" w:sz="4" w:space="0" w:color="7F7F7F"/>
            </w:tcBorders>
            <w:shd w:val="clear" w:color="auto" w:fill="auto"/>
            <w:noWrap/>
            <w:vAlign w:val="center"/>
            <w:hideMark/>
          </w:tcPr>
          <w:p w14:paraId="78EA5E69"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tcBorders>
              <w:top w:val="single" w:sz="4" w:space="0" w:color="7F7F7F"/>
              <w:bottom w:val="single" w:sz="4" w:space="0" w:color="7F7F7F"/>
            </w:tcBorders>
            <w:shd w:val="clear" w:color="auto" w:fill="auto"/>
            <w:noWrap/>
            <w:vAlign w:val="center"/>
          </w:tcPr>
          <w:p w14:paraId="5234EAE3" w14:textId="77777777" w:rsidR="00C7764C" w:rsidRPr="00C81B1E" w:rsidRDefault="00C7764C" w:rsidP="00C81B1E">
            <w:pPr>
              <w:pStyle w:val="MDPI42tablebody"/>
              <w:rPr>
                <w:rFonts w:eastAsia="Calibri"/>
                <w:lang w:val="en-GB" w:eastAsia="en-US"/>
              </w:rPr>
            </w:pPr>
          </w:p>
        </w:tc>
      </w:tr>
      <w:tr w:rsidR="00C81B1E" w:rsidRPr="00C81B1E" w14:paraId="46C64774" w14:textId="77777777" w:rsidTr="00C81B1E">
        <w:trPr>
          <w:trHeight w:val="255"/>
        </w:trPr>
        <w:tc>
          <w:tcPr>
            <w:tcW w:w="1668" w:type="dxa"/>
            <w:shd w:val="clear" w:color="auto" w:fill="auto"/>
            <w:noWrap/>
            <w:vAlign w:val="center"/>
            <w:hideMark/>
          </w:tcPr>
          <w:p w14:paraId="253B0129"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VFAs</w:t>
            </w:r>
          </w:p>
        </w:tc>
        <w:tc>
          <w:tcPr>
            <w:tcW w:w="1476" w:type="dxa"/>
            <w:shd w:val="clear" w:color="auto" w:fill="auto"/>
            <w:noWrap/>
            <w:vAlign w:val="center"/>
            <w:hideMark/>
          </w:tcPr>
          <w:p w14:paraId="63A85058" w14:textId="77777777" w:rsidR="00C7764C" w:rsidRPr="00C81B1E" w:rsidRDefault="00C7764C" w:rsidP="00C81B1E">
            <w:pPr>
              <w:pStyle w:val="MDPI42tablebody"/>
              <w:rPr>
                <w:rFonts w:eastAsia="Calibri"/>
                <w:lang w:val="en-GB" w:eastAsia="en-US"/>
              </w:rPr>
            </w:pPr>
            <w:r w:rsidRPr="00C81B1E">
              <w:rPr>
                <w:rFonts w:eastAsia="Calibri"/>
                <w:lang w:val="en-GB" w:eastAsia="en-US"/>
              </w:rPr>
              <w:t>COD/g VS</w:t>
            </w:r>
          </w:p>
        </w:tc>
        <w:tc>
          <w:tcPr>
            <w:tcW w:w="899" w:type="dxa"/>
            <w:shd w:val="clear" w:color="auto" w:fill="auto"/>
            <w:noWrap/>
            <w:vAlign w:val="center"/>
            <w:hideMark/>
          </w:tcPr>
          <w:p w14:paraId="4B1F20A0"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shd w:val="clear" w:color="auto" w:fill="auto"/>
            <w:noWrap/>
            <w:vAlign w:val="center"/>
          </w:tcPr>
          <w:p w14:paraId="0433801B" w14:textId="77777777" w:rsidR="00C7764C" w:rsidRPr="00C81B1E" w:rsidRDefault="00C7764C" w:rsidP="00C81B1E">
            <w:pPr>
              <w:pStyle w:val="MDPI42tablebody"/>
              <w:rPr>
                <w:rFonts w:eastAsia="Calibri"/>
                <w:lang w:val="en-GB" w:eastAsia="en-US"/>
              </w:rPr>
            </w:pPr>
          </w:p>
        </w:tc>
      </w:tr>
      <w:tr w:rsidR="00C81B1E" w:rsidRPr="00C81B1E" w14:paraId="5986A463"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3FAFF71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Total glass, metal, plastic and any ‘other’ non-stone, man-made fragments &gt; 2 mm</w:t>
            </w:r>
          </w:p>
        </w:tc>
        <w:tc>
          <w:tcPr>
            <w:tcW w:w="1476" w:type="dxa"/>
            <w:tcBorders>
              <w:top w:val="single" w:sz="4" w:space="0" w:color="7F7F7F"/>
              <w:bottom w:val="single" w:sz="4" w:space="0" w:color="7F7F7F"/>
            </w:tcBorders>
            <w:shd w:val="clear" w:color="auto" w:fill="auto"/>
            <w:noWrap/>
            <w:vAlign w:val="center"/>
            <w:hideMark/>
          </w:tcPr>
          <w:p w14:paraId="5CA73845" w14:textId="77777777" w:rsidR="00C7764C" w:rsidRPr="00C81B1E" w:rsidRDefault="00C7764C" w:rsidP="00C81B1E">
            <w:pPr>
              <w:pStyle w:val="MDPI42tablebody"/>
              <w:rPr>
                <w:rFonts w:eastAsia="Calibri"/>
                <w:lang w:val="en-GB" w:eastAsia="en-US"/>
              </w:rPr>
            </w:pPr>
            <w:r w:rsidRPr="00C81B1E">
              <w:rPr>
                <w:rFonts w:eastAsia="Calibri"/>
                <w:lang w:val="en-GB" w:eastAsia="en-US"/>
              </w:rPr>
              <w:t>% m/m dry matter, no sharps</w:t>
            </w:r>
          </w:p>
        </w:tc>
        <w:tc>
          <w:tcPr>
            <w:tcW w:w="899" w:type="dxa"/>
            <w:tcBorders>
              <w:top w:val="single" w:sz="4" w:space="0" w:color="7F7F7F"/>
              <w:bottom w:val="single" w:sz="4" w:space="0" w:color="7F7F7F"/>
            </w:tcBorders>
            <w:shd w:val="clear" w:color="auto" w:fill="auto"/>
            <w:noWrap/>
            <w:vAlign w:val="center"/>
            <w:hideMark/>
          </w:tcPr>
          <w:p w14:paraId="1626A621"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vMerge/>
            <w:tcBorders>
              <w:top w:val="single" w:sz="4" w:space="0" w:color="7F7F7F"/>
              <w:bottom w:val="single" w:sz="4" w:space="0" w:color="7F7F7F"/>
            </w:tcBorders>
            <w:shd w:val="clear" w:color="auto" w:fill="auto"/>
            <w:noWrap/>
            <w:vAlign w:val="center"/>
          </w:tcPr>
          <w:p w14:paraId="63C00B84" w14:textId="77777777" w:rsidR="00C7764C" w:rsidRPr="00C81B1E" w:rsidRDefault="00C7764C" w:rsidP="00C81B1E">
            <w:pPr>
              <w:pStyle w:val="MDPI42tablebody"/>
              <w:rPr>
                <w:rFonts w:eastAsia="Calibri"/>
                <w:lang w:val="en-GB" w:eastAsia="en-US"/>
              </w:rPr>
            </w:pPr>
          </w:p>
        </w:tc>
      </w:tr>
      <w:tr w:rsidR="00C81B1E" w:rsidRPr="00C81B1E" w14:paraId="053A7087" w14:textId="77777777" w:rsidTr="00C81B1E">
        <w:trPr>
          <w:trHeight w:val="255"/>
        </w:trPr>
        <w:tc>
          <w:tcPr>
            <w:tcW w:w="1668" w:type="dxa"/>
            <w:shd w:val="clear" w:color="auto" w:fill="auto"/>
            <w:noWrap/>
            <w:vAlign w:val="center"/>
            <w:hideMark/>
          </w:tcPr>
          <w:p w14:paraId="1D5D573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Stones &gt; 5 mm</w:t>
            </w:r>
          </w:p>
        </w:tc>
        <w:tc>
          <w:tcPr>
            <w:tcW w:w="1476" w:type="dxa"/>
            <w:shd w:val="clear" w:color="auto" w:fill="auto"/>
            <w:noWrap/>
            <w:vAlign w:val="center"/>
            <w:hideMark/>
          </w:tcPr>
          <w:p w14:paraId="20E78604" w14:textId="77777777" w:rsidR="00C7764C" w:rsidRPr="00C81B1E" w:rsidRDefault="00C7764C" w:rsidP="00C81B1E">
            <w:pPr>
              <w:pStyle w:val="MDPI42tablebody"/>
              <w:rPr>
                <w:rFonts w:eastAsia="Calibri"/>
                <w:lang w:val="en-GB" w:eastAsia="en-US"/>
              </w:rPr>
            </w:pPr>
            <w:r w:rsidRPr="00C81B1E">
              <w:rPr>
                <w:rFonts w:eastAsia="Calibri"/>
                <w:lang w:val="en-GB" w:eastAsia="en-US"/>
              </w:rPr>
              <w:t>% m/m dry matter</w:t>
            </w:r>
          </w:p>
        </w:tc>
        <w:tc>
          <w:tcPr>
            <w:tcW w:w="899" w:type="dxa"/>
            <w:shd w:val="clear" w:color="auto" w:fill="auto"/>
            <w:noWrap/>
            <w:vAlign w:val="center"/>
            <w:hideMark/>
          </w:tcPr>
          <w:p w14:paraId="6D0D014C"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w:t>
            </w:r>
          </w:p>
        </w:tc>
        <w:tc>
          <w:tcPr>
            <w:tcW w:w="5029" w:type="dxa"/>
            <w:shd w:val="clear" w:color="auto" w:fill="auto"/>
            <w:noWrap/>
            <w:vAlign w:val="center"/>
            <w:hideMark/>
          </w:tcPr>
          <w:p w14:paraId="26F7A324"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170AE24D"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2DFB935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Total physical contaminants (excluding stones)</w:t>
            </w:r>
          </w:p>
        </w:tc>
        <w:tc>
          <w:tcPr>
            <w:tcW w:w="1476" w:type="dxa"/>
            <w:tcBorders>
              <w:top w:val="single" w:sz="4" w:space="0" w:color="7F7F7F"/>
              <w:bottom w:val="single" w:sz="4" w:space="0" w:color="7F7F7F"/>
            </w:tcBorders>
            <w:shd w:val="clear" w:color="auto" w:fill="auto"/>
            <w:noWrap/>
            <w:vAlign w:val="center"/>
            <w:hideMark/>
          </w:tcPr>
          <w:p w14:paraId="2750D942" w14:textId="77777777" w:rsidR="00C7764C" w:rsidRPr="00C81B1E" w:rsidRDefault="00C7764C" w:rsidP="00C81B1E">
            <w:pPr>
              <w:pStyle w:val="MDPI42tablebody"/>
              <w:rPr>
                <w:rFonts w:eastAsia="Calibri"/>
                <w:lang w:val="en-GB" w:eastAsia="en-US"/>
              </w:rPr>
            </w:pPr>
            <w:r w:rsidRPr="00C81B1E">
              <w:rPr>
                <w:rFonts w:eastAsia="Calibri"/>
                <w:lang w:val="en-GB" w:eastAsia="en-US"/>
              </w:rPr>
              <w:t>kg/t</w:t>
            </w:r>
          </w:p>
        </w:tc>
        <w:tc>
          <w:tcPr>
            <w:tcW w:w="899" w:type="dxa"/>
            <w:tcBorders>
              <w:top w:val="single" w:sz="4" w:space="0" w:color="7F7F7F"/>
              <w:bottom w:val="single" w:sz="4" w:space="0" w:color="7F7F7F"/>
            </w:tcBorders>
            <w:shd w:val="clear" w:color="auto" w:fill="auto"/>
            <w:noWrap/>
            <w:vAlign w:val="center"/>
            <w:hideMark/>
          </w:tcPr>
          <w:p w14:paraId="63AB9297" w14:textId="77777777" w:rsidR="00C7764C" w:rsidRPr="00C81B1E" w:rsidRDefault="00C7764C" w:rsidP="00C81B1E">
            <w:pPr>
              <w:pStyle w:val="MDPI42tablebody"/>
              <w:rPr>
                <w:rFonts w:eastAsia="Calibri"/>
                <w:lang w:val="en-GB" w:eastAsia="en-US"/>
              </w:rPr>
            </w:pPr>
            <w:r w:rsidRPr="00C81B1E">
              <w:rPr>
                <w:rFonts w:eastAsia="Calibri"/>
                <w:lang w:val="en-GB" w:eastAsia="en-US"/>
              </w:rPr>
              <w:t>AD</w:t>
            </w:r>
          </w:p>
        </w:tc>
        <w:tc>
          <w:tcPr>
            <w:tcW w:w="5029" w:type="dxa"/>
            <w:tcBorders>
              <w:top w:val="single" w:sz="4" w:space="0" w:color="7F7F7F"/>
              <w:bottom w:val="single" w:sz="4" w:space="0" w:color="7F7F7F"/>
            </w:tcBorders>
            <w:shd w:val="clear" w:color="auto" w:fill="auto"/>
            <w:noWrap/>
            <w:vAlign w:val="center"/>
            <w:hideMark/>
          </w:tcPr>
          <w:p w14:paraId="48238DFC"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{"citationItems":[{"id":"ITEM-1","itemData":{"ISBN":"0580617300","abstract":"Food products, Anaerobic bacteria, Digestive system, Agricultural products, Microorganisms, Microbiology","author":[{"dropping-particle":"","family":"British Standards Institution","given":"","non-dropping-particle":"","parse-names":false,"suffix":""}],"id":"ITEM-1","issued":{"date-parts":[["2014"]]},"title":"PAS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materials","type":"report"},"uris":["http://www.mendeley.com/documents/?uuid=a1334019-daa9-4ee5-bd60-cd891a066519"]}],"mendeley":{"formattedCitation":"(British Standards Institution, 2014)","manualFormatting":"British Standards Institution (2014)","plainTextFormattedCitation":"(British Standards Institution, 2014)","previouslyFormattedCitation":"(British Standards Institution,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(2014)</w:t>
            </w:r>
            <w:r w:rsidRPr="00C81B1E">
              <w:rPr>
                <w:rFonts w:eastAsia="Calibri"/>
                <w:lang w:val="en-GB" w:eastAsia="en-US"/>
              </w:rPr>
              <w:fldChar w:fldCharType="end"/>
            </w:r>
          </w:p>
        </w:tc>
      </w:tr>
      <w:tr w:rsidR="00C81B1E" w:rsidRPr="00C81B1E" w14:paraId="79A2B0C7" w14:textId="77777777" w:rsidTr="00C81B1E">
        <w:trPr>
          <w:trHeight w:val="255"/>
        </w:trPr>
        <w:tc>
          <w:tcPr>
            <w:tcW w:w="1668" w:type="dxa"/>
            <w:shd w:val="clear" w:color="auto" w:fill="auto"/>
            <w:noWrap/>
            <w:vAlign w:val="center"/>
            <w:hideMark/>
          </w:tcPr>
          <w:p w14:paraId="17987114"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Na</w:t>
            </w:r>
          </w:p>
        </w:tc>
        <w:tc>
          <w:tcPr>
            <w:tcW w:w="1476" w:type="dxa"/>
            <w:shd w:val="clear" w:color="auto" w:fill="auto"/>
            <w:noWrap/>
            <w:vAlign w:val="center"/>
            <w:hideMark/>
          </w:tcPr>
          <w:p w14:paraId="4E36BC38" w14:textId="58D9666C" w:rsidR="00C7764C" w:rsidRPr="00C81B1E" w:rsidRDefault="00C7764C" w:rsidP="00C81B1E">
            <w:pPr>
              <w:pStyle w:val="MDPI42tablebody"/>
              <w:rPr>
                <w:rFonts w:eastAsia="Calibri"/>
                <w:lang w:val="en-GB" w:eastAsia="en-US"/>
              </w:rPr>
            </w:pPr>
            <w:r w:rsidRPr="00C81B1E">
              <w:rPr>
                <w:rFonts w:eastAsia="Calibri"/>
                <w:lang w:val="en-GB" w:eastAsia="en-US"/>
              </w:rPr>
              <w:t>mg /kg</w:t>
            </w:r>
          </w:p>
        </w:tc>
        <w:tc>
          <w:tcPr>
            <w:tcW w:w="899" w:type="dxa"/>
            <w:shd w:val="clear" w:color="auto" w:fill="auto"/>
            <w:noWrap/>
            <w:vAlign w:val="center"/>
            <w:hideMark/>
          </w:tcPr>
          <w:p w14:paraId="24DF93C7"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val="restart"/>
            <w:shd w:val="clear" w:color="auto" w:fill="auto"/>
            <w:noWrap/>
            <w:vAlign w:val="center"/>
            <w:hideMark/>
          </w:tcPr>
          <w:p w14:paraId="3034EE32"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{"citationItems":[{"id":"ITEM-1","itemData":{"DOI":"10.1128/AEM.71.9.4951","ISBN":"058045195X","author":[{"dropping-particle":"","family":"British Standards Institution","given":"","non-dropping-particle":"","parse-names":false,"suffix":""}],"id":"ITEM-1","issued":{"date-parts":[["2011"]]},"title":"PAS 100:2011 Specification for Composted Materials","type":"report","volume":"January"},"uris":["http://www.mendeley.com/documents/?uuid=f0f7c64c-b25d-4a88-8d84-9a437c7611e0"]}],"mendeley":{"formattedCitation":"(British Standards Institution, 2011)","manualFormatting":"British Standards Institution (2011)","plainTextFormattedCitation":"(British Standards Institution, 2011)","previouslyFormattedCitation":"(British Standards Institution, 2011)"},"properties":{"noteIndex":0},"schema":"https://github.com/citation-style-language/schema/raw/master/csl-citation.json"}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British Standards Institution (2011)</w:t>
            </w:r>
            <w:r w:rsidRPr="00C81B1E">
              <w:rPr>
                <w:rFonts w:eastAsia="Calibri"/>
                <w:lang w:val="en-GB" w:eastAsia="en-US"/>
              </w:rPr>
              <w:fldChar w:fldCharType="end"/>
            </w:r>
          </w:p>
        </w:tc>
      </w:tr>
      <w:tr w:rsidR="00C81B1E" w:rsidRPr="00C81B1E" w14:paraId="7087E44E"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7164C07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B</w:t>
            </w:r>
          </w:p>
        </w:tc>
        <w:tc>
          <w:tcPr>
            <w:tcW w:w="1476" w:type="dxa"/>
            <w:tcBorders>
              <w:top w:val="single" w:sz="4" w:space="0" w:color="7F7F7F"/>
              <w:bottom w:val="single" w:sz="4" w:space="0" w:color="7F7F7F"/>
            </w:tcBorders>
            <w:shd w:val="clear" w:color="auto" w:fill="auto"/>
            <w:noWrap/>
            <w:vAlign w:val="center"/>
            <w:hideMark/>
          </w:tcPr>
          <w:p w14:paraId="4138B74D"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tcBorders>
              <w:top w:val="single" w:sz="4" w:space="0" w:color="7F7F7F"/>
              <w:bottom w:val="single" w:sz="4" w:space="0" w:color="7F7F7F"/>
            </w:tcBorders>
            <w:shd w:val="clear" w:color="auto" w:fill="auto"/>
            <w:noWrap/>
            <w:vAlign w:val="center"/>
            <w:hideMark/>
          </w:tcPr>
          <w:p w14:paraId="37DCDA9E"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tcBorders>
              <w:top w:val="single" w:sz="4" w:space="0" w:color="7F7F7F"/>
              <w:bottom w:val="single" w:sz="4" w:space="0" w:color="7F7F7F"/>
            </w:tcBorders>
            <w:shd w:val="clear" w:color="auto" w:fill="auto"/>
            <w:noWrap/>
            <w:vAlign w:val="center"/>
          </w:tcPr>
          <w:p w14:paraId="2EBBAA7A" w14:textId="77777777" w:rsidR="00C7764C" w:rsidRPr="00C81B1E" w:rsidRDefault="00C7764C" w:rsidP="00C81B1E">
            <w:pPr>
              <w:pStyle w:val="MDPI42tablebody"/>
              <w:rPr>
                <w:rFonts w:eastAsia="Calibri"/>
                <w:lang w:val="en-GB" w:eastAsia="en-US"/>
              </w:rPr>
            </w:pPr>
          </w:p>
        </w:tc>
      </w:tr>
      <w:tr w:rsidR="00C81B1E" w:rsidRPr="00C81B1E" w14:paraId="6462D0C6" w14:textId="77777777" w:rsidTr="00C81B1E">
        <w:trPr>
          <w:trHeight w:val="255"/>
        </w:trPr>
        <w:tc>
          <w:tcPr>
            <w:tcW w:w="1668" w:type="dxa"/>
            <w:shd w:val="clear" w:color="auto" w:fill="auto"/>
            <w:noWrap/>
            <w:vAlign w:val="center"/>
            <w:hideMark/>
          </w:tcPr>
          <w:p w14:paraId="284E8A4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Fe</w:t>
            </w:r>
          </w:p>
        </w:tc>
        <w:tc>
          <w:tcPr>
            <w:tcW w:w="1476" w:type="dxa"/>
            <w:shd w:val="clear" w:color="auto" w:fill="auto"/>
            <w:noWrap/>
            <w:vAlign w:val="center"/>
            <w:hideMark/>
          </w:tcPr>
          <w:p w14:paraId="681CC9D8"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shd w:val="clear" w:color="auto" w:fill="auto"/>
            <w:noWrap/>
            <w:vAlign w:val="center"/>
            <w:hideMark/>
          </w:tcPr>
          <w:p w14:paraId="337858CF"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shd w:val="clear" w:color="auto" w:fill="auto"/>
            <w:noWrap/>
            <w:vAlign w:val="center"/>
          </w:tcPr>
          <w:p w14:paraId="2AF3C1E9" w14:textId="77777777" w:rsidR="00C7764C" w:rsidRPr="00C81B1E" w:rsidRDefault="00C7764C" w:rsidP="00C81B1E">
            <w:pPr>
              <w:pStyle w:val="MDPI42tablebody"/>
              <w:rPr>
                <w:rFonts w:eastAsia="Calibri"/>
                <w:lang w:val="en-GB" w:eastAsia="en-US"/>
              </w:rPr>
            </w:pPr>
          </w:p>
        </w:tc>
      </w:tr>
      <w:tr w:rsidR="00C81B1E" w:rsidRPr="00C81B1E" w14:paraId="17B17CAB"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3DF0208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Nutrient content: Mn</w:t>
            </w:r>
          </w:p>
        </w:tc>
        <w:tc>
          <w:tcPr>
            <w:tcW w:w="1476" w:type="dxa"/>
            <w:tcBorders>
              <w:top w:val="single" w:sz="4" w:space="0" w:color="7F7F7F"/>
              <w:bottom w:val="single" w:sz="4" w:space="0" w:color="7F7F7F"/>
            </w:tcBorders>
            <w:shd w:val="clear" w:color="auto" w:fill="auto"/>
            <w:noWrap/>
            <w:vAlign w:val="center"/>
            <w:hideMark/>
          </w:tcPr>
          <w:p w14:paraId="401DE59E"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tcBorders>
              <w:top w:val="single" w:sz="4" w:space="0" w:color="7F7F7F"/>
              <w:bottom w:val="single" w:sz="4" w:space="0" w:color="7F7F7F"/>
            </w:tcBorders>
            <w:shd w:val="clear" w:color="auto" w:fill="auto"/>
            <w:noWrap/>
            <w:vAlign w:val="center"/>
            <w:hideMark/>
          </w:tcPr>
          <w:p w14:paraId="55FEA5CE"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tcBorders>
              <w:top w:val="single" w:sz="4" w:space="0" w:color="7F7F7F"/>
              <w:bottom w:val="single" w:sz="4" w:space="0" w:color="7F7F7F"/>
            </w:tcBorders>
            <w:shd w:val="clear" w:color="auto" w:fill="auto"/>
            <w:noWrap/>
            <w:vAlign w:val="center"/>
          </w:tcPr>
          <w:p w14:paraId="252BADA6" w14:textId="77777777" w:rsidR="00C7764C" w:rsidRPr="00C81B1E" w:rsidRDefault="00C7764C" w:rsidP="00C81B1E">
            <w:pPr>
              <w:pStyle w:val="MDPI42tablebody"/>
              <w:rPr>
                <w:rFonts w:eastAsia="Calibri"/>
                <w:lang w:val="en-GB" w:eastAsia="en-US"/>
              </w:rPr>
            </w:pPr>
          </w:p>
        </w:tc>
      </w:tr>
      <w:tr w:rsidR="00C81B1E" w:rsidRPr="00C81B1E" w14:paraId="451FF254" w14:textId="77777777" w:rsidTr="00C81B1E">
        <w:trPr>
          <w:trHeight w:val="255"/>
        </w:trPr>
        <w:tc>
          <w:tcPr>
            <w:tcW w:w="1668" w:type="dxa"/>
            <w:shd w:val="clear" w:color="auto" w:fill="auto"/>
            <w:noWrap/>
            <w:vAlign w:val="center"/>
            <w:hideMark/>
          </w:tcPr>
          <w:p w14:paraId="0F086AE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Particle size distribution</w:t>
            </w:r>
          </w:p>
        </w:tc>
        <w:tc>
          <w:tcPr>
            <w:tcW w:w="1476" w:type="dxa"/>
            <w:shd w:val="clear" w:color="auto" w:fill="auto"/>
            <w:noWrap/>
            <w:vAlign w:val="center"/>
            <w:hideMark/>
          </w:tcPr>
          <w:p w14:paraId="50FA4EBA" w14:textId="77777777" w:rsidR="00C7764C" w:rsidRPr="00C81B1E" w:rsidRDefault="00C7764C" w:rsidP="00C81B1E">
            <w:pPr>
              <w:pStyle w:val="MDPI42tablebody"/>
              <w:rPr>
                <w:rFonts w:eastAsia="Calibri"/>
                <w:lang w:val="en-GB" w:eastAsia="en-US"/>
              </w:rPr>
            </w:pPr>
            <w:r w:rsidRPr="00C81B1E">
              <w:rPr>
                <w:rFonts w:eastAsia="Calibri"/>
                <w:lang w:val="en-GB" w:eastAsia="en-US"/>
              </w:rPr>
              <w:t>mm</w:t>
            </w:r>
          </w:p>
        </w:tc>
        <w:tc>
          <w:tcPr>
            <w:tcW w:w="899" w:type="dxa"/>
            <w:shd w:val="clear" w:color="auto" w:fill="auto"/>
            <w:noWrap/>
            <w:vAlign w:val="center"/>
            <w:hideMark/>
          </w:tcPr>
          <w:p w14:paraId="2DAB067F"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shd w:val="clear" w:color="auto" w:fill="auto"/>
            <w:noWrap/>
            <w:vAlign w:val="center"/>
          </w:tcPr>
          <w:p w14:paraId="1524F036" w14:textId="77777777" w:rsidR="00C7764C" w:rsidRPr="00C81B1E" w:rsidRDefault="00C7764C" w:rsidP="00C81B1E">
            <w:pPr>
              <w:pStyle w:val="MDPI42tablebody"/>
              <w:rPr>
                <w:rFonts w:eastAsia="Calibri"/>
                <w:lang w:val="en-GB" w:eastAsia="en-US"/>
              </w:rPr>
            </w:pPr>
          </w:p>
        </w:tc>
      </w:tr>
      <w:tr w:rsidR="00C81B1E" w:rsidRPr="00C81B1E" w14:paraId="03F0762C"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75A04885" w14:textId="77777777" w:rsidR="00C7764C" w:rsidRPr="00C81B1E" w:rsidRDefault="00C7764C" w:rsidP="00C81B1E">
            <w:pPr>
              <w:pStyle w:val="MDPI42tablebody"/>
              <w:rPr>
                <w:rFonts w:eastAsia="Calibri"/>
                <w:b/>
                <w:bCs/>
                <w:lang w:val="en-GB" w:eastAsia="en-US"/>
              </w:rPr>
            </w:pPr>
            <w:proofErr w:type="gramStart"/>
            <w:r w:rsidRPr="00C81B1E">
              <w:rPr>
                <w:rFonts w:eastAsia="Calibri"/>
                <w:b/>
                <w:bCs/>
                <w:lang w:val="en-GB" w:eastAsia="en-US"/>
              </w:rPr>
              <w:t>C:N</w:t>
            </w:r>
            <w:proofErr w:type="gramEnd"/>
          </w:p>
        </w:tc>
        <w:tc>
          <w:tcPr>
            <w:tcW w:w="1476" w:type="dxa"/>
            <w:tcBorders>
              <w:top w:val="single" w:sz="4" w:space="0" w:color="7F7F7F"/>
              <w:bottom w:val="single" w:sz="4" w:space="0" w:color="7F7F7F"/>
            </w:tcBorders>
            <w:shd w:val="clear" w:color="auto" w:fill="auto"/>
            <w:noWrap/>
            <w:vAlign w:val="center"/>
            <w:hideMark/>
          </w:tcPr>
          <w:p w14:paraId="210B0583" w14:textId="77777777" w:rsidR="00C7764C" w:rsidRPr="00C81B1E" w:rsidRDefault="00C7764C" w:rsidP="00C81B1E">
            <w:pPr>
              <w:pStyle w:val="MDPI42tablebody"/>
              <w:rPr>
                <w:rFonts w:eastAsia="Calibri"/>
                <w:lang w:val="en-GB" w:eastAsia="en-US"/>
              </w:rPr>
            </w:pPr>
            <w:proofErr w:type="gramStart"/>
            <w:r w:rsidRPr="00C81B1E">
              <w:rPr>
                <w:rFonts w:eastAsia="Calibri"/>
                <w:lang w:val="en-GB" w:eastAsia="en-US"/>
              </w:rPr>
              <w:t>C:N</w:t>
            </w:r>
            <w:proofErr w:type="gramEnd"/>
            <w:r w:rsidRPr="00C81B1E">
              <w:rPr>
                <w:rFonts w:eastAsia="Calibri"/>
                <w:lang w:val="en-GB" w:eastAsia="en-US"/>
              </w:rPr>
              <w:t xml:space="preserve"> (mass)</w:t>
            </w:r>
          </w:p>
        </w:tc>
        <w:tc>
          <w:tcPr>
            <w:tcW w:w="899" w:type="dxa"/>
            <w:tcBorders>
              <w:top w:val="single" w:sz="4" w:space="0" w:color="7F7F7F"/>
              <w:bottom w:val="single" w:sz="4" w:space="0" w:color="7F7F7F"/>
            </w:tcBorders>
            <w:shd w:val="clear" w:color="auto" w:fill="auto"/>
            <w:noWrap/>
            <w:vAlign w:val="center"/>
            <w:hideMark/>
          </w:tcPr>
          <w:p w14:paraId="3EDF3B58"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tcBorders>
              <w:top w:val="single" w:sz="4" w:space="0" w:color="7F7F7F"/>
              <w:bottom w:val="single" w:sz="4" w:space="0" w:color="7F7F7F"/>
            </w:tcBorders>
            <w:shd w:val="clear" w:color="auto" w:fill="auto"/>
            <w:noWrap/>
            <w:vAlign w:val="center"/>
          </w:tcPr>
          <w:p w14:paraId="14F4871F" w14:textId="77777777" w:rsidR="00C7764C" w:rsidRPr="00C81B1E" w:rsidRDefault="00C7764C" w:rsidP="00C81B1E">
            <w:pPr>
              <w:pStyle w:val="MDPI42tablebody"/>
              <w:rPr>
                <w:rFonts w:eastAsia="Calibri"/>
                <w:lang w:val="en-GB" w:eastAsia="en-US"/>
              </w:rPr>
            </w:pPr>
          </w:p>
        </w:tc>
      </w:tr>
      <w:tr w:rsidR="00C81B1E" w:rsidRPr="00C81B1E" w14:paraId="65E721C7" w14:textId="77777777" w:rsidTr="00C81B1E">
        <w:trPr>
          <w:trHeight w:val="255"/>
        </w:trPr>
        <w:tc>
          <w:tcPr>
            <w:tcW w:w="1668" w:type="dxa"/>
            <w:shd w:val="clear" w:color="auto" w:fill="auto"/>
            <w:noWrap/>
            <w:vAlign w:val="center"/>
            <w:hideMark/>
          </w:tcPr>
          <w:p w14:paraId="3AF23B8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Electrical conductivity</w:t>
            </w:r>
          </w:p>
        </w:tc>
        <w:tc>
          <w:tcPr>
            <w:tcW w:w="1476" w:type="dxa"/>
            <w:shd w:val="clear" w:color="auto" w:fill="auto"/>
            <w:noWrap/>
            <w:vAlign w:val="center"/>
            <w:hideMark/>
          </w:tcPr>
          <w:p w14:paraId="79E2265E" w14:textId="77777777" w:rsidR="00C7764C" w:rsidRPr="00C81B1E" w:rsidRDefault="00C7764C" w:rsidP="00C81B1E">
            <w:pPr>
              <w:pStyle w:val="MDPI42tablebody"/>
              <w:rPr>
                <w:rFonts w:eastAsia="Calibri"/>
                <w:lang w:val="en-GB" w:eastAsia="en-US"/>
              </w:rPr>
            </w:pPr>
            <w:r w:rsidRPr="00C81B1E">
              <w:rPr>
                <w:rFonts w:eastAsia="Calibri"/>
                <w:lang w:val="en-GB" w:eastAsia="en-US"/>
              </w:rPr>
              <w:t>mS/cm</w:t>
            </w:r>
          </w:p>
        </w:tc>
        <w:tc>
          <w:tcPr>
            <w:tcW w:w="899" w:type="dxa"/>
            <w:shd w:val="clear" w:color="auto" w:fill="auto"/>
            <w:noWrap/>
            <w:vAlign w:val="center"/>
            <w:hideMark/>
          </w:tcPr>
          <w:p w14:paraId="73E6E82B"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shd w:val="clear" w:color="auto" w:fill="auto"/>
            <w:noWrap/>
            <w:vAlign w:val="center"/>
          </w:tcPr>
          <w:p w14:paraId="7C65BBEB" w14:textId="77777777" w:rsidR="00C7764C" w:rsidRPr="00C81B1E" w:rsidRDefault="00C7764C" w:rsidP="00C81B1E">
            <w:pPr>
              <w:pStyle w:val="MDPI42tablebody"/>
              <w:rPr>
                <w:rFonts w:eastAsia="Calibri"/>
                <w:lang w:val="en-GB" w:eastAsia="en-US"/>
              </w:rPr>
            </w:pPr>
          </w:p>
        </w:tc>
      </w:tr>
      <w:tr w:rsidR="00C81B1E" w:rsidRPr="00C81B1E" w14:paraId="4935903B" w14:textId="77777777" w:rsidTr="00C81B1E">
        <w:trPr>
          <w:trHeight w:val="315"/>
        </w:trPr>
        <w:tc>
          <w:tcPr>
            <w:tcW w:w="1668" w:type="dxa"/>
            <w:tcBorders>
              <w:top w:val="single" w:sz="4" w:space="0" w:color="7F7F7F"/>
              <w:bottom w:val="single" w:sz="4" w:space="0" w:color="7F7F7F"/>
            </w:tcBorders>
            <w:shd w:val="clear" w:color="auto" w:fill="auto"/>
            <w:noWrap/>
            <w:vAlign w:val="center"/>
            <w:hideMark/>
          </w:tcPr>
          <w:p w14:paraId="6F07AF6C"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Microbial respiration rate</w:t>
            </w:r>
          </w:p>
        </w:tc>
        <w:tc>
          <w:tcPr>
            <w:tcW w:w="1476" w:type="dxa"/>
            <w:tcBorders>
              <w:top w:val="single" w:sz="4" w:space="0" w:color="7F7F7F"/>
              <w:bottom w:val="single" w:sz="4" w:space="0" w:color="7F7F7F"/>
            </w:tcBorders>
            <w:shd w:val="clear" w:color="auto" w:fill="auto"/>
            <w:noWrap/>
            <w:vAlign w:val="center"/>
            <w:hideMark/>
          </w:tcPr>
          <w:p w14:paraId="14E1C42A" w14:textId="77777777" w:rsidR="00C7764C" w:rsidRPr="00C81B1E" w:rsidRDefault="00C7764C" w:rsidP="00C81B1E">
            <w:pPr>
              <w:pStyle w:val="MDPI42tablebody"/>
              <w:rPr>
                <w:rFonts w:eastAsia="Calibri"/>
                <w:lang w:val="en-GB" w:eastAsia="en-US"/>
              </w:rPr>
            </w:pPr>
            <w:r w:rsidRPr="00C81B1E">
              <w:rPr>
                <w:rFonts w:eastAsia="Calibri"/>
                <w:lang w:val="en-GB" w:eastAsia="en-US"/>
              </w:rPr>
              <w:t>mg CO</w:t>
            </w:r>
            <w:r w:rsidRPr="00C81B1E">
              <w:rPr>
                <w:rFonts w:eastAsia="Calibri"/>
                <w:vertAlign w:val="subscript"/>
                <w:lang w:val="en-GB" w:eastAsia="en-US"/>
              </w:rPr>
              <w:t>2</w:t>
            </w:r>
            <w:r w:rsidRPr="00C81B1E">
              <w:rPr>
                <w:rFonts w:eastAsia="Calibri"/>
                <w:lang w:val="en-GB" w:eastAsia="en-US"/>
              </w:rPr>
              <w:t>/g organic matter per day</w:t>
            </w:r>
          </w:p>
        </w:tc>
        <w:tc>
          <w:tcPr>
            <w:tcW w:w="899" w:type="dxa"/>
            <w:tcBorders>
              <w:top w:val="single" w:sz="4" w:space="0" w:color="7F7F7F"/>
              <w:bottom w:val="single" w:sz="4" w:space="0" w:color="7F7F7F"/>
            </w:tcBorders>
            <w:shd w:val="clear" w:color="auto" w:fill="auto"/>
            <w:noWrap/>
            <w:vAlign w:val="center"/>
            <w:hideMark/>
          </w:tcPr>
          <w:p w14:paraId="342F3189"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tcBorders>
              <w:top w:val="single" w:sz="4" w:space="0" w:color="7F7F7F"/>
              <w:bottom w:val="single" w:sz="4" w:space="0" w:color="7F7F7F"/>
            </w:tcBorders>
            <w:shd w:val="clear" w:color="auto" w:fill="auto"/>
            <w:noWrap/>
            <w:vAlign w:val="center"/>
          </w:tcPr>
          <w:p w14:paraId="118C2A0B" w14:textId="77777777" w:rsidR="00C7764C" w:rsidRPr="00C81B1E" w:rsidRDefault="00C7764C" w:rsidP="00C81B1E">
            <w:pPr>
              <w:pStyle w:val="MDPI42tablebody"/>
              <w:rPr>
                <w:rFonts w:eastAsia="Calibri"/>
                <w:lang w:val="en-GB" w:eastAsia="en-US"/>
              </w:rPr>
            </w:pPr>
          </w:p>
        </w:tc>
      </w:tr>
      <w:tr w:rsidR="00C81B1E" w:rsidRPr="00C81B1E" w14:paraId="7B7C8C0E" w14:textId="77777777" w:rsidTr="00C81B1E">
        <w:trPr>
          <w:trHeight w:val="255"/>
        </w:trPr>
        <w:tc>
          <w:tcPr>
            <w:tcW w:w="1668" w:type="dxa"/>
            <w:shd w:val="clear" w:color="auto" w:fill="auto"/>
            <w:noWrap/>
            <w:vAlign w:val="center"/>
            <w:hideMark/>
          </w:tcPr>
          <w:p w14:paraId="26EB160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Germination seeds or propagule regrowth</w:t>
            </w:r>
          </w:p>
        </w:tc>
        <w:tc>
          <w:tcPr>
            <w:tcW w:w="1476" w:type="dxa"/>
            <w:shd w:val="clear" w:color="auto" w:fill="auto"/>
            <w:noWrap/>
            <w:vAlign w:val="center"/>
            <w:hideMark/>
          </w:tcPr>
          <w:p w14:paraId="23B8E848" w14:textId="77777777" w:rsidR="00C7764C" w:rsidRPr="00C81B1E" w:rsidRDefault="00C7764C" w:rsidP="00C81B1E">
            <w:pPr>
              <w:pStyle w:val="MDPI42tablebody"/>
              <w:rPr>
                <w:rFonts w:eastAsia="Calibri"/>
                <w:lang w:val="en-GB" w:eastAsia="en-US"/>
              </w:rPr>
            </w:pPr>
            <w:r w:rsidRPr="00C81B1E">
              <w:rPr>
                <w:rFonts w:eastAsia="Calibri"/>
                <w:lang w:val="en-GB" w:eastAsia="en-US"/>
              </w:rPr>
              <w:t>mean number/litre of compost</w:t>
            </w:r>
          </w:p>
        </w:tc>
        <w:tc>
          <w:tcPr>
            <w:tcW w:w="899" w:type="dxa"/>
            <w:shd w:val="clear" w:color="auto" w:fill="auto"/>
            <w:noWrap/>
            <w:vAlign w:val="center"/>
            <w:hideMark/>
          </w:tcPr>
          <w:p w14:paraId="07B3CE8D"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shd w:val="clear" w:color="auto" w:fill="auto"/>
            <w:noWrap/>
            <w:vAlign w:val="center"/>
          </w:tcPr>
          <w:p w14:paraId="1807BA23" w14:textId="77777777" w:rsidR="00C7764C" w:rsidRPr="00C81B1E" w:rsidRDefault="00C7764C" w:rsidP="00C81B1E">
            <w:pPr>
              <w:pStyle w:val="MDPI42tablebody"/>
              <w:rPr>
                <w:rFonts w:eastAsia="Calibri"/>
                <w:lang w:val="en-GB" w:eastAsia="en-US"/>
              </w:rPr>
            </w:pPr>
          </w:p>
        </w:tc>
      </w:tr>
      <w:tr w:rsidR="00C81B1E" w:rsidRPr="00C81B1E" w14:paraId="0E887DA4"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7415EFE4"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Stones &gt; 4 mm in grades other than "mulch"</w:t>
            </w:r>
          </w:p>
        </w:tc>
        <w:tc>
          <w:tcPr>
            <w:tcW w:w="1476" w:type="dxa"/>
            <w:tcBorders>
              <w:top w:val="single" w:sz="4" w:space="0" w:color="7F7F7F"/>
              <w:bottom w:val="single" w:sz="4" w:space="0" w:color="7F7F7F"/>
            </w:tcBorders>
            <w:shd w:val="clear" w:color="auto" w:fill="auto"/>
            <w:noWrap/>
            <w:vAlign w:val="center"/>
            <w:hideMark/>
          </w:tcPr>
          <w:p w14:paraId="08A0F2F2"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899" w:type="dxa"/>
            <w:tcBorders>
              <w:top w:val="single" w:sz="4" w:space="0" w:color="7F7F7F"/>
              <w:bottom w:val="single" w:sz="4" w:space="0" w:color="7F7F7F"/>
            </w:tcBorders>
            <w:shd w:val="clear" w:color="auto" w:fill="auto"/>
            <w:noWrap/>
            <w:vAlign w:val="center"/>
            <w:hideMark/>
          </w:tcPr>
          <w:p w14:paraId="2194DDCC"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tcBorders>
              <w:top w:val="single" w:sz="4" w:space="0" w:color="7F7F7F"/>
              <w:bottom w:val="single" w:sz="4" w:space="0" w:color="7F7F7F"/>
            </w:tcBorders>
            <w:shd w:val="clear" w:color="auto" w:fill="auto"/>
            <w:noWrap/>
            <w:vAlign w:val="center"/>
          </w:tcPr>
          <w:p w14:paraId="670D9135" w14:textId="77777777" w:rsidR="00C7764C" w:rsidRPr="00C81B1E" w:rsidRDefault="00C7764C" w:rsidP="00C81B1E">
            <w:pPr>
              <w:pStyle w:val="MDPI42tablebody"/>
              <w:rPr>
                <w:rFonts w:eastAsia="Calibri"/>
                <w:lang w:val="en-GB" w:eastAsia="en-US"/>
              </w:rPr>
            </w:pPr>
          </w:p>
        </w:tc>
      </w:tr>
      <w:tr w:rsidR="00C81B1E" w:rsidRPr="00C81B1E" w14:paraId="2FC9DA0B" w14:textId="77777777" w:rsidTr="00C81B1E">
        <w:trPr>
          <w:trHeight w:val="255"/>
        </w:trPr>
        <w:tc>
          <w:tcPr>
            <w:tcW w:w="1668" w:type="dxa"/>
            <w:shd w:val="clear" w:color="auto" w:fill="auto"/>
            <w:noWrap/>
            <w:vAlign w:val="center"/>
            <w:hideMark/>
          </w:tcPr>
          <w:p w14:paraId="2548B8D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Stones &gt; 4 mm in "mulch" grade</w:t>
            </w:r>
          </w:p>
        </w:tc>
        <w:tc>
          <w:tcPr>
            <w:tcW w:w="1476" w:type="dxa"/>
            <w:shd w:val="clear" w:color="auto" w:fill="auto"/>
            <w:noWrap/>
            <w:vAlign w:val="center"/>
            <w:hideMark/>
          </w:tcPr>
          <w:p w14:paraId="71E72BA0" w14:textId="77777777" w:rsidR="00C7764C" w:rsidRPr="00C81B1E" w:rsidRDefault="00C7764C" w:rsidP="00C81B1E">
            <w:pPr>
              <w:pStyle w:val="MDPI42tablebody"/>
              <w:rPr>
                <w:rFonts w:eastAsia="Calibri"/>
                <w:lang w:val="en-GB" w:eastAsia="en-US"/>
              </w:rPr>
            </w:pPr>
            <w:r w:rsidRPr="00C81B1E">
              <w:rPr>
                <w:rFonts w:eastAsia="Calibri"/>
                <w:lang w:val="en-GB" w:eastAsia="en-US"/>
              </w:rPr>
              <w:t>% mass</w:t>
            </w:r>
          </w:p>
        </w:tc>
        <w:tc>
          <w:tcPr>
            <w:tcW w:w="899" w:type="dxa"/>
            <w:shd w:val="clear" w:color="auto" w:fill="auto"/>
            <w:noWrap/>
            <w:vAlign w:val="center"/>
            <w:hideMark/>
          </w:tcPr>
          <w:p w14:paraId="4C818313" w14:textId="77777777" w:rsidR="00C7764C" w:rsidRPr="00C81B1E" w:rsidRDefault="00C7764C" w:rsidP="00C81B1E">
            <w:pPr>
              <w:pStyle w:val="MDPI42tablebody"/>
              <w:rPr>
                <w:rFonts w:eastAsia="Calibri"/>
                <w:lang w:val="en-GB" w:eastAsia="en-US"/>
              </w:rPr>
            </w:pPr>
            <w:r w:rsidRPr="00C81B1E">
              <w:rPr>
                <w:rFonts w:eastAsia="Calibri"/>
                <w:lang w:val="en-GB" w:eastAsia="en-US"/>
              </w:rPr>
              <w:t>C</w:t>
            </w:r>
          </w:p>
        </w:tc>
        <w:tc>
          <w:tcPr>
            <w:tcW w:w="5029" w:type="dxa"/>
            <w:vMerge/>
            <w:shd w:val="clear" w:color="auto" w:fill="auto"/>
            <w:noWrap/>
            <w:vAlign w:val="center"/>
          </w:tcPr>
          <w:p w14:paraId="1F8E43C0" w14:textId="77777777" w:rsidR="00C7764C" w:rsidRPr="00C81B1E" w:rsidRDefault="00C7764C" w:rsidP="00C81B1E">
            <w:pPr>
              <w:pStyle w:val="MDPI42tablebody"/>
              <w:rPr>
                <w:rFonts w:eastAsia="Calibri"/>
                <w:lang w:val="en-GB" w:eastAsia="en-US"/>
              </w:rPr>
            </w:pPr>
          </w:p>
        </w:tc>
      </w:tr>
      <w:tr w:rsidR="00C81B1E" w:rsidRPr="00C81B1E" w14:paraId="1DDC8F99"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6DBEA1CC"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Leaching value</w:t>
            </w:r>
          </w:p>
        </w:tc>
        <w:tc>
          <w:tcPr>
            <w:tcW w:w="1476" w:type="dxa"/>
            <w:tcBorders>
              <w:top w:val="single" w:sz="4" w:space="0" w:color="7F7F7F"/>
              <w:bottom w:val="single" w:sz="4" w:space="0" w:color="7F7F7F"/>
            </w:tcBorders>
            <w:shd w:val="clear" w:color="auto" w:fill="auto"/>
            <w:noWrap/>
            <w:vAlign w:val="center"/>
            <w:hideMark/>
          </w:tcPr>
          <w:p w14:paraId="45520C17"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tcBorders>
              <w:top w:val="single" w:sz="4" w:space="0" w:color="7F7F7F"/>
              <w:bottom w:val="single" w:sz="4" w:space="0" w:color="7F7F7F"/>
            </w:tcBorders>
            <w:shd w:val="clear" w:color="auto" w:fill="auto"/>
            <w:noWrap/>
            <w:vAlign w:val="center"/>
            <w:hideMark/>
          </w:tcPr>
          <w:p w14:paraId="77A6A74B"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029" w:type="dxa"/>
            <w:vMerge w:val="restart"/>
            <w:tcBorders>
              <w:top w:val="single" w:sz="4" w:space="0" w:color="7F7F7F"/>
              <w:bottom w:val="single" w:sz="4" w:space="0" w:color="7F7F7F"/>
            </w:tcBorders>
            <w:shd w:val="clear" w:color="auto" w:fill="auto"/>
            <w:noWrap/>
            <w:vAlign w:val="center"/>
            <w:hideMark/>
          </w:tcPr>
          <w:p w14:paraId="4F6CD963"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3F93D23E" w14:textId="77777777" w:rsidTr="00C81B1E">
        <w:trPr>
          <w:trHeight w:val="255"/>
        </w:trPr>
        <w:tc>
          <w:tcPr>
            <w:tcW w:w="1668" w:type="dxa"/>
            <w:shd w:val="clear" w:color="auto" w:fill="auto"/>
            <w:noWrap/>
            <w:vAlign w:val="center"/>
            <w:hideMark/>
          </w:tcPr>
          <w:p w14:paraId="317D91E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Sb</w:t>
            </w:r>
          </w:p>
        </w:tc>
        <w:tc>
          <w:tcPr>
            <w:tcW w:w="1476" w:type="dxa"/>
            <w:shd w:val="clear" w:color="auto" w:fill="auto"/>
            <w:noWrap/>
            <w:vAlign w:val="center"/>
            <w:hideMark/>
          </w:tcPr>
          <w:p w14:paraId="395278DF"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shd w:val="clear" w:color="auto" w:fill="auto"/>
            <w:noWrap/>
            <w:vAlign w:val="center"/>
            <w:hideMark/>
          </w:tcPr>
          <w:p w14:paraId="2BF3E0D3"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029" w:type="dxa"/>
            <w:vMerge/>
            <w:shd w:val="clear" w:color="auto" w:fill="auto"/>
            <w:noWrap/>
            <w:vAlign w:val="center"/>
          </w:tcPr>
          <w:p w14:paraId="4604C203" w14:textId="77777777" w:rsidR="00C7764C" w:rsidRPr="00C81B1E" w:rsidRDefault="00C7764C" w:rsidP="00C81B1E">
            <w:pPr>
              <w:pStyle w:val="MDPI42tablebody"/>
              <w:rPr>
                <w:rFonts w:eastAsia="Calibri"/>
                <w:lang w:val="en-GB" w:eastAsia="en-US"/>
              </w:rPr>
            </w:pPr>
          </w:p>
        </w:tc>
      </w:tr>
      <w:tr w:rsidR="00C81B1E" w:rsidRPr="00C81B1E" w14:paraId="175A3E16"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24F5769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Mo</w:t>
            </w:r>
          </w:p>
        </w:tc>
        <w:tc>
          <w:tcPr>
            <w:tcW w:w="1476" w:type="dxa"/>
            <w:tcBorders>
              <w:top w:val="single" w:sz="4" w:space="0" w:color="7F7F7F"/>
              <w:bottom w:val="single" w:sz="4" w:space="0" w:color="7F7F7F"/>
            </w:tcBorders>
            <w:shd w:val="clear" w:color="auto" w:fill="auto"/>
            <w:noWrap/>
            <w:vAlign w:val="center"/>
            <w:hideMark/>
          </w:tcPr>
          <w:p w14:paraId="77D3E93A"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tcBorders>
              <w:top w:val="single" w:sz="4" w:space="0" w:color="7F7F7F"/>
              <w:bottom w:val="single" w:sz="4" w:space="0" w:color="7F7F7F"/>
            </w:tcBorders>
            <w:shd w:val="clear" w:color="auto" w:fill="auto"/>
            <w:noWrap/>
            <w:vAlign w:val="center"/>
            <w:hideMark/>
          </w:tcPr>
          <w:p w14:paraId="17A75CDE"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029" w:type="dxa"/>
            <w:vMerge/>
            <w:tcBorders>
              <w:top w:val="single" w:sz="4" w:space="0" w:color="7F7F7F"/>
              <w:bottom w:val="single" w:sz="4" w:space="0" w:color="7F7F7F"/>
            </w:tcBorders>
            <w:shd w:val="clear" w:color="auto" w:fill="auto"/>
            <w:noWrap/>
            <w:vAlign w:val="center"/>
          </w:tcPr>
          <w:p w14:paraId="0AA281CD" w14:textId="77777777" w:rsidR="00C7764C" w:rsidRPr="00C81B1E" w:rsidRDefault="00C7764C" w:rsidP="00C81B1E">
            <w:pPr>
              <w:pStyle w:val="MDPI42tablebody"/>
              <w:rPr>
                <w:rFonts w:eastAsia="Calibri"/>
                <w:lang w:val="en-GB" w:eastAsia="en-US"/>
              </w:rPr>
            </w:pPr>
          </w:p>
        </w:tc>
      </w:tr>
      <w:tr w:rsidR="00C81B1E" w:rsidRPr="00C81B1E" w14:paraId="0FC20CB0" w14:textId="77777777" w:rsidTr="00C81B1E">
        <w:trPr>
          <w:trHeight w:val="285"/>
        </w:trPr>
        <w:tc>
          <w:tcPr>
            <w:tcW w:w="1668" w:type="dxa"/>
            <w:shd w:val="clear" w:color="auto" w:fill="auto"/>
            <w:noWrap/>
            <w:vAlign w:val="center"/>
            <w:hideMark/>
          </w:tcPr>
          <w:p w14:paraId="7C0C96B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Cl-</w:t>
            </w:r>
          </w:p>
        </w:tc>
        <w:tc>
          <w:tcPr>
            <w:tcW w:w="1476" w:type="dxa"/>
            <w:shd w:val="clear" w:color="auto" w:fill="auto"/>
            <w:noWrap/>
            <w:vAlign w:val="center"/>
            <w:hideMark/>
          </w:tcPr>
          <w:p w14:paraId="09FE4086"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shd w:val="clear" w:color="auto" w:fill="auto"/>
            <w:noWrap/>
            <w:vAlign w:val="center"/>
            <w:hideMark/>
          </w:tcPr>
          <w:p w14:paraId="79FE12F1"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029" w:type="dxa"/>
            <w:vMerge/>
            <w:shd w:val="clear" w:color="auto" w:fill="auto"/>
            <w:noWrap/>
            <w:vAlign w:val="center"/>
          </w:tcPr>
          <w:p w14:paraId="2329A595" w14:textId="77777777" w:rsidR="00C7764C" w:rsidRPr="00C81B1E" w:rsidRDefault="00C7764C" w:rsidP="00C81B1E">
            <w:pPr>
              <w:pStyle w:val="MDPI42tablebody"/>
              <w:rPr>
                <w:rFonts w:eastAsia="Calibri"/>
                <w:lang w:val="en-GB" w:eastAsia="en-US"/>
              </w:rPr>
            </w:pPr>
          </w:p>
        </w:tc>
      </w:tr>
      <w:tr w:rsidR="00C81B1E" w:rsidRPr="00C81B1E" w14:paraId="05E8FB6E" w14:textId="77777777" w:rsidTr="00C81B1E">
        <w:trPr>
          <w:trHeight w:val="315"/>
        </w:trPr>
        <w:tc>
          <w:tcPr>
            <w:tcW w:w="1668" w:type="dxa"/>
            <w:tcBorders>
              <w:top w:val="single" w:sz="4" w:space="0" w:color="7F7F7F"/>
              <w:bottom w:val="single" w:sz="4" w:space="0" w:color="7F7F7F"/>
            </w:tcBorders>
            <w:shd w:val="clear" w:color="auto" w:fill="auto"/>
            <w:noWrap/>
            <w:vAlign w:val="center"/>
            <w:hideMark/>
          </w:tcPr>
          <w:p w14:paraId="226D8153"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lastRenderedPageBreak/>
              <w:t>SO</w:t>
            </w:r>
            <w:r w:rsidRPr="00C81B1E">
              <w:rPr>
                <w:rFonts w:eastAsia="Calibri"/>
                <w:b/>
                <w:bCs/>
                <w:vertAlign w:val="subscript"/>
                <w:lang w:val="en-GB" w:eastAsia="en-US"/>
              </w:rPr>
              <w:t>4</w:t>
            </w:r>
            <w:r w:rsidRPr="00C81B1E">
              <w:rPr>
                <w:rFonts w:eastAsia="Calibri"/>
                <w:b/>
                <w:bCs/>
                <w:vertAlign w:val="superscript"/>
                <w:lang w:val="en-GB" w:eastAsia="en-US"/>
              </w:rPr>
              <w:t>-2</w:t>
            </w:r>
          </w:p>
        </w:tc>
        <w:tc>
          <w:tcPr>
            <w:tcW w:w="1476" w:type="dxa"/>
            <w:tcBorders>
              <w:top w:val="single" w:sz="4" w:space="0" w:color="7F7F7F"/>
              <w:bottom w:val="single" w:sz="4" w:space="0" w:color="7F7F7F"/>
            </w:tcBorders>
            <w:shd w:val="clear" w:color="auto" w:fill="auto"/>
            <w:noWrap/>
            <w:vAlign w:val="center"/>
            <w:hideMark/>
          </w:tcPr>
          <w:p w14:paraId="5E070845" w14:textId="77777777" w:rsidR="00C7764C" w:rsidRPr="00C81B1E" w:rsidRDefault="00C7764C" w:rsidP="00C81B1E">
            <w:pPr>
              <w:pStyle w:val="MDPI42tablebody"/>
              <w:rPr>
                <w:rFonts w:eastAsia="Calibri"/>
                <w:lang w:val="en-GB" w:eastAsia="en-US"/>
              </w:rPr>
            </w:pPr>
            <w:r w:rsidRPr="00C81B1E">
              <w:rPr>
                <w:rFonts w:eastAsia="Calibri"/>
                <w:lang w:val="en-GB" w:eastAsia="en-US"/>
              </w:rPr>
              <w:t>mg/kg</w:t>
            </w:r>
          </w:p>
        </w:tc>
        <w:tc>
          <w:tcPr>
            <w:tcW w:w="899" w:type="dxa"/>
            <w:tcBorders>
              <w:top w:val="single" w:sz="4" w:space="0" w:color="7F7F7F"/>
              <w:bottom w:val="single" w:sz="4" w:space="0" w:color="7F7F7F"/>
            </w:tcBorders>
            <w:shd w:val="clear" w:color="auto" w:fill="auto"/>
            <w:noWrap/>
            <w:vAlign w:val="center"/>
            <w:hideMark/>
          </w:tcPr>
          <w:p w14:paraId="4ED524F8" w14:textId="77777777" w:rsidR="00C7764C" w:rsidRPr="00C81B1E" w:rsidRDefault="00C7764C" w:rsidP="00C81B1E">
            <w:pPr>
              <w:pStyle w:val="MDPI42tablebody"/>
              <w:rPr>
                <w:rFonts w:eastAsia="Calibri"/>
                <w:lang w:val="en-GB" w:eastAsia="en-US"/>
              </w:rPr>
            </w:pPr>
            <w:r w:rsidRPr="00C81B1E">
              <w:rPr>
                <w:rFonts w:eastAsia="Calibri"/>
                <w:lang w:val="en-GB" w:eastAsia="en-US"/>
              </w:rPr>
              <w:t>TT</w:t>
            </w:r>
          </w:p>
        </w:tc>
        <w:tc>
          <w:tcPr>
            <w:tcW w:w="5029" w:type="dxa"/>
            <w:vMerge/>
            <w:tcBorders>
              <w:top w:val="single" w:sz="4" w:space="0" w:color="7F7F7F"/>
              <w:bottom w:val="single" w:sz="4" w:space="0" w:color="7F7F7F"/>
            </w:tcBorders>
            <w:shd w:val="clear" w:color="auto" w:fill="auto"/>
            <w:noWrap/>
            <w:vAlign w:val="center"/>
          </w:tcPr>
          <w:p w14:paraId="61F81921" w14:textId="77777777" w:rsidR="00C7764C" w:rsidRPr="00C81B1E" w:rsidRDefault="00C7764C" w:rsidP="00C81B1E">
            <w:pPr>
              <w:pStyle w:val="MDPI42tablebody"/>
              <w:rPr>
                <w:rFonts w:eastAsia="Calibri"/>
                <w:lang w:val="en-GB" w:eastAsia="en-US"/>
              </w:rPr>
            </w:pPr>
          </w:p>
        </w:tc>
      </w:tr>
    </w:tbl>
    <w:p w14:paraId="357A6E83" w14:textId="77777777" w:rsidR="00C7764C" w:rsidRPr="00C7764C" w:rsidRDefault="00C7764C" w:rsidP="00C7764C">
      <w:pPr>
        <w:spacing w:after="160" w:line="259" w:lineRule="auto"/>
        <w:rPr>
          <w:rFonts w:eastAsia="Calibri"/>
          <w:color w:val="auto"/>
          <w:sz w:val="16"/>
          <w:szCs w:val="16"/>
          <w:lang w:val="en-GB" w:eastAsia="en-US"/>
        </w:rPr>
      </w:pPr>
    </w:p>
    <w:p w14:paraId="34EE77B9" w14:textId="77777777" w:rsidR="00C7764C" w:rsidRPr="00C7764C" w:rsidRDefault="00C7764C" w:rsidP="00BA2E09">
      <w:pPr>
        <w:pStyle w:val="MDPI41tablecaption"/>
        <w:rPr>
          <w:rFonts w:eastAsia="Calibri"/>
          <w:lang w:val="en-GB" w:eastAsia="en-US"/>
        </w:rPr>
      </w:pPr>
      <w:r w:rsidRPr="00C7764C">
        <w:rPr>
          <w:rFonts w:eastAsia="Calibri"/>
          <w:lang w:val="en-GB" w:eastAsia="en-US"/>
        </w:rPr>
        <w:t xml:space="preserve">Table </w:t>
      </w:r>
      <w:r w:rsidRPr="00C7764C">
        <w:rPr>
          <w:rFonts w:eastAsia="Calibri"/>
          <w:lang w:val="en-GB" w:eastAsia="en-US"/>
        </w:rPr>
        <w:fldChar w:fldCharType="begin"/>
      </w:r>
      <w:r w:rsidRPr="00C7764C">
        <w:rPr>
          <w:rFonts w:eastAsia="Calibri"/>
          <w:lang w:val="en-GB" w:eastAsia="en-US"/>
        </w:rPr>
        <w:instrText xml:space="preserve"> SEQ Table \* ARABIC </w:instrText>
      </w:r>
      <w:r w:rsidRPr="00C7764C">
        <w:rPr>
          <w:rFonts w:eastAsia="Calibri"/>
          <w:lang w:val="en-GB" w:eastAsia="en-US"/>
        </w:rPr>
        <w:fldChar w:fldCharType="separate"/>
      </w:r>
      <w:r w:rsidRPr="00C7764C">
        <w:rPr>
          <w:rFonts w:eastAsia="Calibri"/>
          <w:noProof/>
          <w:lang w:val="en-GB" w:eastAsia="en-US"/>
        </w:rPr>
        <w:t>9</w:t>
      </w:r>
      <w:r w:rsidRPr="00C7764C">
        <w:rPr>
          <w:rFonts w:eastAsia="Calibri"/>
          <w:lang w:val="en-GB" w:eastAsia="en-US"/>
        </w:rPr>
        <w:fldChar w:fldCharType="end"/>
      </w:r>
      <w:r w:rsidRPr="00C7764C">
        <w:rPr>
          <w:rFonts w:eastAsia="Calibri"/>
          <w:lang w:val="en-GB" w:eastAsia="en-US"/>
        </w:rPr>
        <w:t>. Economic indicators</w:t>
      </w:r>
    </w:p>
    <w:tbl>
      <w:tblPr>
        <w:tblW w:w="9072" w:type="dxa"/>
        <w:tblBorders>
          <w:top w:val="single" w:sz="4" w:space="0" w:color="7F7F7F"/>
          <w:bottom w:val="single" w:sz="4" w:space="0" w:color="7F7F7F"/>
        </w:tblBorders>
        <w:tblLook w:val="04A0" w:firstRow="1" w:lastRow="0" w:firstColumn="1" w:lastColumn="0" w:noHBand="0" w:noVBand="1"/>
      </w:tblPr>
      <w:tblGrid>
        <w:gridCol w:w="1668"/>
        <w:gridCol w:w="1127"/>
        <w:gridCol w:w="1112"/>
        <w:gridCol w:w="5165"/>
      </w:tblGrid>
      <w:tr w:rsidR="00C81B1E" w:rsidRPr="00C81B1E" w14:paraId="41B9B3FB" w14:textId="77777777" w:rsidTr="00C81B1E">
        <w:trPr>
          <w:trHeight w:val="255"/>
        </w:trPr>
        <w:tc>
          <w:tcPr>
            <w:tcW w:w="1668" w:type="dxa"/>
            <w:tcBorders>
              <w:bottom w:val="single" w:sz="4" w:space="0" w:color="7F7F7F"/>
            </w:tcBorders>
            <w:shd w:val="clear" w:color="auto" w:fill="auto"/>
            <w:noWrap/>
            <w:vAlign w:val="center"/>
          </w:tcPr>
          <w:p w14:paraId="3B73CFC5" w14:textId="77777777" w:rsidR="00C7764C" w:rsidRPr="00C81B1E" w:rsidRDefault="00C7764C" w:rsidP="00C81B1E">
            <w:pPr>
              <w:pStyle w:val="MDPI42tablebody"/>
              <w:rPr>
                <w:rFonts w:eastAsia="Calibri"/>
                <w:b/>
                <w:bCs/>
                <w:szCs w:val="22"/>
                <w:lang w:val="en-GB" w:eastAsia="en-US"/>
              </w:rPr>
            </w:pPr>
            <w:r w:rsidRPr="00C81B1E">
              <w:rPr>
                <w:rFonts w:eastAsia="Calibri"/>
                <w:b/>
                <w:bCs/>
                <w:szCs w:val="22"/>
                <w:lang w:val="en-GB" w:eastAsia="en-US"/>
              </w:rPr>
              <w:t>Indicator</w:t>
            </w:r>
          </w:p>
        </w:tc>
        <w:tc>
          <w:tcPr>
            <w:tcW w:w="1127" w:type="dxa"/>
            <w:tcBorders>
              <w:bottom w:val="single" w:sz="4" w:space="0" w:color="7F7F7F"/>
            </w:tcBorders>
            <w:shd w:val="clear" w:color="auto" w:fill="auto"/>
            <w:noWrap/>
            <w:vAlign w:val="center"/>
          </w:tcPr>
          <w:p w14:paraId="64F6910E" w14:textId="77777777" w:rsidR="00C7764C" w:rsidRPr="00C81B1E" w:rsidRDefault="00C7764C" w:rsidP="00C81B1E">
            <w:pPr>
              <w:pStyle w:val="MDPI42tablebody"/>
              <w:rPr>
                <w:rFonts w:eastAsia="Calibri"/>
                <w:b/>
                <w:bCs/>
                <w:szCs w:val="22"/>
                <w:lang w:val="en-GB" w:eastAsia="en-US"/>
              </w:rPr>
            </w:pPr>
            <w:r w:rsidRPr="00C81B1E">
              <w:rPr>
                <w:rFonts w:eastAsia="Calibri"/>
                <w:b/>
                <w:bCs/>
                <w:szCs w:val="22"/>
                <w:lang w:val="en-GB" w:eastAsia="en-US"/>
              </w:rPr>
              <w:t>Example or unit</w:t>
            </w:r>
          </w:p>
        </w:tc>
        <w:tc>
          <w:tcPr>
            <w:tcW w:w="1112" w:type="dxa"/>
            <w:tcBorders>
              <w:bottom w:val="single" w:sz="4" w:space="0" w:color="7F7F7F"/>
            </w:tcBorders>
            <w:shd w:val="clear" w:color="auto" w:fill="auto"/>
            <w:noWrap/>
            <w:vAlign w:val="center"/>
          </w:tcPr>
          <w:p w14:paraId="6227B3C7" w14:textId="77777777" w:rsidR="00C7764C" w:rsidRPr="00C81B1E" w:rsidRDefault="00C7764C" w:rsidP="00C81B1E">
            <w:pPr>
              <w:pStyle w:val="MDPI42tablebody"/>
              <w:rPr>
                <w:rFonts w:eastAsia="Calibri"/>
                <w:b/>
                <w:bCs/>
                <w:szCs w:val="22"/>
                <w:lang w:val="en-GB" w:eastAsia="en-US"/>
              </w:rPr>
            </w:pPr>
            <w:r w:rsidRPr="00C81B1E">
              <w:rPr>
                <w:rFonts w:eastAsia="Calibri"/>
                <w:b/>
                <w:bCs/>
                <w:szCs w:val="22"/>
                <w:lang w:val="en-GB" w:eastAsia="en-US"/>
              </w:rPr>
              <w:t>FWMS</w:t>
            </w:r>
          </w:p>
        </w:tc>
        <w:tc>
          <w:tcPr>
            <w:tcW w:w="5165" w:type="dxa"/>
            <w:tcBorders>
              <w:bottom w:val="single" w:sz="4" w:space="0" w:color="7F7F7F"/>
            </w:tcBorders>
            <w:shd w:val="clear" w:color="auto" w:fill="auto"/>
            <w:noWrap/>
            <w:vAlign w:val="center"/>
          </w:tcPr>
          <w:p w14:paraId="2828D680" w14:textId="77777777" w:rsidR="00C7764C" w:rsidRPr="00C81B1E" w:rsidRDefault="00C7764C" w:rsidP="00C81B1E">
            <w:pPr>
              <w:pStyle w:val="MDPI42tablebody"/>
              <w:rPr>
                <w:rFonts w:eastAsia="Calibri"/>
                <w:b/>
                <w:bCs/>
                <w:szCs w:val="22"/>
                <w:lang w:val="en-GB" w:eastAsia="en-US"/>
              </w:rPr>
            </w:pPr>
            <w:r w:rsidRPr="00C81B1E">
              <w:rPr>
                <w:rFonts w:eastAsia="Calibri"/>
                <w:b/>
                <w:bCs/>
                <w:szCs w:val="22"/>
                <w:lang w:val="en-GB" w:eastAsia="en-US"/>
              </w:rPr>
              <w:t>Reference</w:t>
            </w:r>
          </w:p>
        </w:tc>
      </w:tr>
      <w:tr w:rsidR="00C81B1E" w:rsidRPr="00C81B1E" w14:paraId="40446F78"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0C3A88F7" w14:textId="77777777" w:rsidR="00C7764C" w:rsidRPr="00C81B1E" w:rsidRDefault="00C7764C" w:rsidP="00C81B1E">
            <w:pPr>
              <w:pStyle w:val="MDPI42tablebody"/>
              <w:rPr>
                <w:rFonts w:eastAsia="Calibri"/>
                <w:b/>
                <w:bCs/>
                <w:szCs w:val="22"/>
                <w:lang w:val="en-GB" w:eastAsia="en-US"/>
              </w:rPr>
            </w:pPr>
            <w:r w:rsidRPr="00C81B1E">
              <w:rPr>
                <w:rFonts w:eastAsia="Calibri"/>
                <w:b/>
                <w:bCs/>
                <w:szCs w:val="22"/>
                <w:lang w:val="en-GB" w:eastAsia="en-US"/>
              </w:rPr>
              <w:t>Management cost</w:t>
            </w:r>
          </w:p>
        </w:tc>
        <w:tc>
          <w:tcPr>
            <w:tcW w:w="1127" w:type="dxa"/>
            <w:tcBorders>
              <w:top w:val="single" w:sz="4" w:space="0" w:color="7F7F7F"/>
              <w:bottom w:val="single" w:sz="4" w:space="0" w:color="7F7F7F"/>
            </w:tcBorders>
            <w:shd w:val="clear" w:color="auto" w:fill="auto"/>
            <w:noWrap/>
            <w:vAlign w:val="center"/>
            <w:hideMark/>
          </w:tcPr>
          <w:p w14:paraId="3CA52AF8"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w:t>
            </w:r>
          </w:p>
        </w:tc>
        <w:tc>
          <w:tcPr>
            <w:tcW w:w="1112" w:type="dxa"/>
            <w:tcBorders>
              <w:top w:val="single" w:sz="4" w:space="0" w:color="7F7F7F"/>
              <w:bottom w:val="single" w:sz="4" w:space="0" w:color="7F7F7F"/>
            </w:tcBorders>
            <w:shd w:val="clear" w:color="auto" w:fill="auto"/>
            <w:noWrap/>
            <w:vAlign w:val="center"/>
            <w:hideMark/>
          </w:tcPr>
          <w:p w14:paraId="276E51A0"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R, AF, AD, C, TT</w:t>
            </w:r>
          </w:p>
        </w:tc>
        <w:tc>
          <w:tcPr>
            <w:tcW w:w="5165" w:type="dxa"/>
            <w:tcBorders>
              <w:top w:val="single" w:sz="4" w:space="0" w:color="7F7F7F"/>
              <w:bottom w:val="single" w:sz="4" w:space="0" w:color="7F7F7F"/>
            </w:tcBorders>
            <w:shd w:val="clear" w:color="auto" w:fill="auto"/>
            <w:noWrap/>
            <w:vAlign w:val="center"/>
            <w:hideMark/>
          </w:tcPr>
          <w:p w14:paraId="4E3E1F52" w14:textId="77777777" w:rsidR="00C7764C" w:rsidRPr="00C81B1E" w:rsidRDefault="00C7764C" w:rsidP="00C81B1E">
            <w:pPr>
              <w:pStyle w:val="MDPI42tablebody"/>
              <w:rPr>
                <w:rFonts w:eastAsia="Calibri"/>
                <w:szCs w:val="22"/>
                <w:lang w:val="en-GB" w:eastAsia="en-US"/>
              </w:rPr>
            </w:pPr>
            <w:r w:rsidRPr="00C81B1E">
              <w:rPr>
                <w:rFonts w:eastAsia="Calibri"/>
                <w:szCs w:val="22"/>
                <w:lang w:val="es-ES" w:eastAsia="en-US"/>
              </w:rPr>
              <w:t xml:space="preserve">R: </w:t>
            </w:r>
            <w:r w:rsidRPr="00C81B1E">
              <w:rPr>
                <w:rFonts w:eastAsia="Calibri"/>
                <w:szCs w:val="22"/>
                <w:lang w:val="en-GB" w:eastAsia="en-US"/>
              </w:rPr>
              <w:fldChar w:fldCharType="begin" w:fldLock="1"/>
            </w:r>
            <w:r w:rsidRPr="00C81B1E">
              <w:rPr>
                <w:rFonts w:eastAsia="Calibri"/>
                <w:szCs w:val="22"/>
                <w:lang w:val="es-ES" w:eastAsia="en-US"/>
              </w:rPr>
              <w:instrText>ADDIN CSL_CITATION {"citationItems":[{"id":"ITEM-1","itemData":{"DOI":"10.1016/j.wasman.2014.02.018","ISBN":"0956-053X","ISSN":"18792456","PMID":"24685399","abstract":"The food supply chain is affected by losses of products near to their expiry date or damaged by improper transportation or production defects. Such products are usually poorly attractive for the consumer in the target market even if they maintain their nutritional properties. On the other hand undernourished people face every day the problem of fulfilling their nutritional needs usually relying on non-profit organizations. In this field the food recovery enabling economic benefits for donors is nowadays seen as a coherent way to manage food products unsalable in the target market for various causes and thus destined to be discarded and disposed to landfill thus representing only a cost. Despite its obvious affordability the food recovery is today not always practiced because the economic benefits that could be achieved are barely known. The paper aims at presenting a deterministic mathematical model for the optimization of the supply chain composed by retailers and potential recipients that practice the food recovery, taking into account the benefits recognized to donors and the management costs of the food recovery. The model determines the optimal time to withdraw the products from the shelves as well as the quantities to be donated to the non-profit organizations and those to be sent to the livestock market maximizing the retailer profit. The results show that the optimal conditions ensuring the affordability of the food recovery strategy including the tax reliefs and cost saving for the retailers outperforms the profit achievable in absence of such a system. ?? 2014 Elsevier Ltd.","author":[{"dropping-particle":"","family":"Giuseppe","given":"Aiello","non-dropping-particle":"","parse-names":false,"suffix":""},{"dropping-particle":"","family":"Mario","given":"Enea","non-dropping-particle":"","parse-names":false,"suffix":""},{"dropping-particle":"","family":"Cinzia","given":"Muriana","non-dropping-particle":"","parse-names":false,"suffix":""}],"container-title":"Waste Management","id":"ITEM-1","issue":"7","issued":{"date-parts":[["2014"]]},"page":"1306-1316","publisher":"Elsevier Ltd","title":"Economic benefits from food recovery at the retail stage: An application to Italian food chains","type":"article-journal","volume":"34"},"uris":["http://www.mendeley.com/documents/?uuid=7ee23600-f2be-4dcb-bec5-c39467b26db7"]}],"mendeley":{"formattedCitation":"(Giuseppe et al., 2014)","manualFormatting":"Giuseppe et al. (2014)","plainTextFormattedCitation":"(Giuseppe et al., 2014)","previouslyFormattedCitation":"(Giuseppe et al., 2014)"},"properties":{"noteIndex":0},"schema":"https://github.com/citation-style-language/schema/raw/master/csl-citation.json"}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s-ES" w:eastAsia="en-US"/>
              </w:rPr>
              <w:t>Giuseppe et al. (2014)</w:t>
            </w:r>
            <w:r w:rsidRPr="00C81B1E">
              <w:rPr>
                <w:rFonts w:eastAsia="Calibri"/>
                <w:szCs w:val="22"/>
                <w:lang w:val="en-GB" w:eastAsia="en-US"/>
              </w:rPr>
              <w:fldChar w:fldCharType="end"/>
            </w:r>
            <w:r w:rsidRPr="00C81B1E">
              <w:rPr>
                <w:rFonts w:eastAsia="Calibri"/>
                <w:szCs w:val="22"/>
                <w:lang w:val="es-ES" w:eastAsia="en-US"/>
              </w:rPr>
              <w:t xml:space="preserve">, AF: </w:t>
            </w:r>
            <w:r w:rsidRPr="00C81B1E">
              <w:rPr>
                <w:rFonts w:eastAsia="Calibri"/>
                <w:szCs w:val="22"/>
                <w:lang w:val="en-GB" w:eastAsia="en-US"/>
              </w:rPr>
              <w:fldChar w:fldCharType="begin" w:fldLock="1"/>
            </w:r>
            <w:r w:rsidRPr="00C81B1E">
              <w:rPr>
                <w:rFonts w:eastAsia="Calibri"/>
                <w:szCs w:val="22"/>
                <w:lang w:val="es-ES" w:eastAsia="en-US"/>
              </w:rPr>
              <w:instrText>ADDIN CSL_CITATION {"citationItems":[{"id":"ITEM-1","itemData":{"DOI":"10.1007/s10460-009-9193-x","ISBN":"0889-048X","ISSN":"0889048X","abstract":"Conflicts have arisen between communities and operators of confined animal feeding as farms have become bigger in order to maintain their competitiveness. These conflicts have been difficult to resolve because measuring and allocating the benefits and costs of livestock production is difficult. This papers demonstrates a policy tool for promoting compromise whereby the community gets reduced negative impacts from livestock while at the same time continues to benefit from livestock jobs, taxes, and related economic activity. Public economic benefits and public economic costs of confined animal feeding operations are estimated for every farm and affected house in Craven County, North Carolina. The results show public economic benefits of $5.7 million and public economic costs of $2.2 million, but that the ratio of benefits to costs for individual farm-house pairs varies in important ways across the 26 hog farms in Craven County.","author":[{"dropping-particle":"","family":"Kim","given":"Jungik","non-dropping-particle":"","parse-names":false,"suffix":""},{"dropping-particle":"","family":"Goldsmith","given":"Peter","non-dropping-particle":"","parse-names":false,"suffix":""},{"dropping-particle":"","family":"Thomas","given":"Michael H.","non-dropping-particle":"","parse-names":false,"suffix":""}],"container-title":"Agriculture and Human Values","id":"ITEM-1","issue":"1","issued":{"date-parts":[["2010"]]},"page":"29-42","title":"Economic impact and public costs of confined animal feeding operations at the parcel level of Craven County, North Carolina","type":"article-journal","volume":"27"},"uris":["http://www.mendeley.com/documents/?uuid=cccb9d87-eff2-46ab-9792-a105f8eb5d3a"]}],"mendeley":{"formattedCitation":"(Kim et al., 2010)","manualFormatting":"Kim et al. (2010)","plainTextFormattedCitation":"(Kim et al., 2010)","previouslyFormattedCitation":"(Kim et al., 2010)"},"properties":{"noteIndex":0},"schema":"https://github.com/citation-style-language/schema/raw/master/csl-citation.json"}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s-ES" w:eastAsia="en-US"/>
              </w:rPr>
              <w:t>Kim et al. (2010)</w:t>
            </w:r>
            <w:r w:rsidRPr="00C81B1E">
              <w:rPr>
                <w:rFonts w:eastAsia="Calibri"/>
                <w:szCs w:val="22"/>
                <w:lang w:val="en-GB" w:eastAsia="en-US"/>
              </w:rPr>
              <w:fldChar w:fldCharType="end"/>
            </w:r>
            <w:r w:rsidRPr="00C81B1E">
              <w:rPr>
                <w:rFonts w:eastAsia="Calibri"/>
                <w:szCs w:val="22"/>
                <w:lang w:val="es-ES" w:eastAsia="en-US"/>
              </w:rPr>
              <w:t xml:space="preserve">, AD: </w:t>
            </w:r>
            <w:r w:rsidRPr="00C81B1E">
              <w:rPr>
                <w:rFonts w:eastAsia="Calibri"/>
                <w:szCs w:val="22"/>
                <w:lang w:val="en-GB" w:eastAsia="en-US"/>
              </w:rPr>
              <w:fldChar w:fldCharType="begin" w:fldLock="1"/>
            </w:r>
            <w:r w:rsidRPr="00C81B1E">
              <w:rPr>
                <w:rFonts w:eastAsia="Calibri"/>
                <w:szCs w:val="22"/>
                <w:lang w:val="es-ES" w:eastAsia="en-US"/>
              </w:rPr>
              <w:instrText>ADDIN CSL_CITATION {"citationItems":[{"id":"ITEM-1","itemData":{"DOI":"10.1016/j.njas.2009.07.006","ISBN":"1573-5214","ISSN":"15735214","abstract":"One of the key concerns of biogas plants is the disposal of comparatively large amounts of digestates in an economically and environmentally sustainable manner. This paper analyses the economic performance of anaerobic digestion of a given biogas plant based on net present value (NPV) and internal rate of return (IRR) concepts. A scenario analysis is carried out based on a linear programming model to identify feedstocks that optimize electricity production and to determine the optimal application of digestate. In addition to a default scenario, management and policy scenarios were investigated. Economic evaluations of all scenarios, except no subsidy scenario, show positive NPV. The highest NPV and IRR values are observed under reverse osmosis (RO) as a green fertilizer scenario. Our findings show that treating RO as a green fertilizer, as opposed to manure (default scenario), is not only lucrative for the plant but also lessens environmental burden of long distance transportation of concentrates. This paper also concludes that given the uncertainty of regulations concerning RO and the currently low values of digestate and heat, high investment and operating costs limit feasibility of anaerobic digestion of wastes of farm origin and other co-substrates unless subsidies are provided. ?? 2009 Royal Netherlands Society for Agricultural Sciences.","author":[{"dropping-particle":"","family":"Gebrezgabher","given":"Solomie A.","non-dropping-particle":"","parse-names":false,"suffix":""},{"dropping-particle":"","family":"Meuwissen","given":"Miranda P M","non-dropping-particle":"","parse-names":false,"suffix":""},{"dropping-particle":"","family":"Prins","given":"Bram A M","non-dropping-particle":"","parse-names":false,"suffix":""},{"dropping-particle":"","family":"Lansink","given":"Alfons G J M Oude","non-dropping-particle":"","parse-names":false,"suffix":""}],"container-title":"NJAS - Wageningen Journal of Life Sciences","id":"ITEM-1","issue":"2","issued":{"date-parts":[["2010"]]},"page":"109-115","publisher":"Royal Netherlands Society for Agriculture Sciences","title":"Economic analysis of anaerobic digestion-A case of Green power biogas plant in the Netherlands","type":"article-journal","volume":"57"},"uris":["http://www.mendeley.com/documents/?uuid=4cef3017-a839-4bdf-9293-bdc9fd3565fc"]}],"mendeley":{"formattedCitation":"(Gebrezgabher et al., 2010)","manualFormatting":"Gebrezgabher et al. (2010)","plainTextFormattedCitation":"(Gebrezgabher et al., 2010)","previouslyFormattedCitation":"(Gebrezgabher et al., 2010)"},"properties":{"noteIndex":0},"schema":"https://github.com/citation-style-language/schema/raw/master/csl-citation.json"}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s-ES" w:eastAsia="en-US"/>
              </w:rPr>
              <w:t>Gebrezgabher et al. (2010)</w:t>
            </w:r>
            <w:r w:rsidRPr="00C81B1E">
              <w:rPr>
                <w:rFonts w:eastAsia="Calibri"/>
                <w:szCs w:val="22"/>
                <w:lang w:val="en-GB" w:eastAsia="en-US"/>
              </w:rPr>
              <w:fldChar w:fldCharType="end"/>
            </w:r>
            <w:r w:rsidRPr="00C81B1E">
              <w:rPr>
                <w:rFonts w:eastAsia="Calibri"/>
                <w:szCs w:val="22"/>
                <w:lang w:val="es-ES" w:eastAsia="en-US"/>
              </w:rPr>
              <w:t xml:space="preserve">, C: </w:t>
            </w:r>
            <w:r w:rsidRPr="00C81B1E">
              <w:rPr>
                <w:rFonts w:eastAsia="Calibri"/>
                <w:szCs w:val="22"/>
                <w:lang w:val="en-GB" w:eastAsia="en-US"/>
              </w:rPr>
              <w:fldChar w:fldCharType="begin" w:fldLock="1"/>
            </w:r>
            <w:r w:rsidRPr="00C81B1E">
              <w:rPr>
                <w:rFonts w:eastAsia="Calibri"/>
                <w:szCs w:val="22"/>
                <w:lang w:val="es-ES" w:eastAsia="en-US"/>
              </w:rPr>
              <w:instrText>ADDIN CSL_CITATION {"citationItems":[{"id":"ITEM-1","itemData":{"DOI":"10.1016/j.jclepro.2008.12.005","ISBN":"0959-6526","ISSN":"09596526","abstract":"The main organic wastes produced in modern wine industries include grape pomace (62%), lees (14%), stalk (12%) and dewatered sludge (12%). Some of these wastes are being used as by-products (grape pomace and lees) whereas the rest of organic wastes (stalk and wastewater sludge) has been traditionally incinerated or disposed in landfill. In this work, composting is proposed for the recovery of stalk and wastewater sludge to produce a sanitized organic amendment for application in the vineyard, closing the organic matter cycle. The environmental and economical analyses of the different alternatives to manage organic wastes from the wine industry are also presented. Composting costs are almost negligible when compared to other management options. From the environmental point of view, in-situ composting presents the best performance in 8 of the 10 impact categories analysed. Finally, the energy balance shows that the 4 composting systems involved less energy than the systems based on Mineral Fertilizer consumption. ?? 2008 Elsevier Ltd. All rights reserved.","author":[{"dropping-particle":"","family":"Ruggieri","given":"Luz","non-dropping-particle":"","parse-names":false,"suffix":""},{"dropping-particle":"","family":"Cadena","given":"Erasmo","non-dropping-particle":"","parse-names":false,"suffix":""},{"dropping-particle":"","family":"Martínez-Blanco","given":"Julia","non-dropping-particle":"","parse-names":false,"suffix":""},{"dropping-particle":"","family":"Gasol","given":"Carles M.","non-dropping-particle":"","parse-names":false,"suffix":""},{"dropping-particle":"","family":"Rieradevall","given":"Joan","non-dropping-particle":"","parse-names":false,"suffix":""},{"dropping-particle":"","family":"Gabarrell","given":"Xavier","non-dropping-particle":"","parse-names":false,"suffix":""},{"dropping-particle":"","family":"Gea","given":"Teresa","non-dropping-particle":"","parse-names":false,"suffix":""},{"dropping-particle":"","family":"Sort","given":"Xavier","non-dropping-particle":"","parse-names":false,"suffix":""},{"dropping-particle":"","family":"Sánchez","given":"Antoni","non-dropping-particle":"","parse-names":false,"suffix":""}],"container-title":"Journal of Cleaner Production","id":"ITEM-1","issue":"9","issued":{"date-parts":[["2009"]]},"page":"830-838","title":"Recovery of organic wastes in the Spanish wine industry. Technical, economic and environmental analyses of the composting process","type":"article-journal","volume":"17"},"uris":["http://www.mendeley.com/documents/?uuid=546bbbd1-4965-4bfa-8344-a7c4136aa461"]}],"mendeley":{"formattedCitation":"(Ruggieri et al., 2009)","manualFormatting":"Ruggieri et al. (2009)","plainTextFormattedCitation":"(Ruggieri et al., 2009)","previouslyFormattedCitation":"(Ruggieri et al., 2009)"},"properties":{"noteIndex":0},"schema":"https://github.com/citation-style-language/schema/raw/master/csl-citation.json"}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Ruggieri et al. (2009)</w:t>
            </w:r>
            <w:r w:rsidRPr="00C81B1E">
              <w:rPr>
                <w:rFonts w:eastAsia="Calibri"/>
                <w:szCs w:val="22"/>
                <w:lang w:val="en-GB" w:eastAsia="en-US"/>
              </w:rPr>
              <w:fldChar w:fldCharType="end"/>
            </w:r>
            <w:r w:rsidRPr="00C81B1E">
              <w:rPr>
                <w:rFonts w:eastAsia="Calibri"/>
                <w:szCs w:val="22"/>
                <w:lang w:val="en-GB" w:eastAsia="en-US"/>
              </w:rPr>
              <w:t xml:space="preserve">, TT : </w:t>
            </w:r>
            <w:r w:rsidRPr="00C81B1E">
              <w:rPr>
                <w:rFonts w:eastAsia="Calibri"/>
                <w:szCs w:val="22"/>
                <w:lang w:val="en-GB" w:eastAsia="en-US"/>
              </w:rPr>
              <w:fldChar w:fldCharType="begin" w:fldLock="1"/>
            </w:r>
            <w:r w:rsidRPr="00C81B1E">
              <w:rPr>
                <w:rFonts w:eastAsia="Calibri"/>
                <w:szCs w:val="22"/>
                <w:lang w:val="en-GB" w:eastAsia="en-US"/>
              </w:rPr>
              <w:instrText>ADDIN CSL_CITATION {"citationItems":[{"id":"ITEM-1","itemData":{"DOI":"10.1016/j.ecolind.2012.09.005","ISBN":"1470-160X","ISSN":"1470160X","abstract":"The selection of a municipal solid waste (MSW) treatment alternative is a complex task in which a widespread set of criteria must be taken into account. Additionally to economic or social aspects, the decision process should consider the environmental perspective. With the purpose of quantifying the environmental burdens, a wide variety of environmental and sustainability indicators have been developed in the last years. Furthermore, integrative frameworks have been highlighted as the best option to achieve more comprehensive assessments. In this work, four different options of MSW treatment were ranked from an environmental point of view applying two methods: (1) the ecological footprint (EF) as single composite indicator and (2) multi-criteria analysis (MCA) integrating the EF together with other material flow indicators related to water consumption, emissions to air and water and occupied landfill volume. The MCA methods selected were a combination of Analytic Hierarchy Process (AHP) and Preference Ranking Organization Method for Enrichment Evaluation (PROMETHEE) aided by Geometrical Analysis for Interactive Aid (GAIA). The objective was twofold: on the one side, the identification of the most beneficial waste treatment alternative (including thermal plasma gasification which as yet has not been assessed systematically) from an environmental perspective and, on the other side, the comparison of the results yielded by the two ranking methods proposed. The ranking obtained in both cases was (from best to worst): thermal plasma gasification, biological treatment of organic fraction with energy recovery from refuse derived fuel, incineration with energy recovery and landfilling. Hence, the EF proved to be a good screening indicator although it did not provide a comprehensive measure of environmental impacts associated to the waste treatment options considered. Besides, the combined application of AHP and PROMETHEE/GAIA as MCA methodology was found to be a suitable way, not very complex at user level, to integrate the information provided by a set of environmental criteria and to aid decision making. ?? 2012 Elsevier Ltd.","author":[{"dropping-particle":"","family":"Herva","given":"Marta","non-dropping-particle":"","parse-names":false,"suffix":""},{"dropping-particle":"","family":"Roca","given":"Enrique","non-dropping-particle":"","parse-names":false,"suffix":""}],"container-title":"Ecological Indicators","id":"ITEM-1","issued":{"date-parts":[["2013"]]},"page":"77-84","publisher":"Elsevier Ltd","title":"Ranking municipal solid waste treatment alternatives based on ecological footprint and multi-criteria analysis","type":"article-journal","volume":"25"},"uris":["http://www.mendeley.com/documents/?uuid=39f7016a-0be3-4d8d-b77a-642b1dfd5c4a"]}],"mendeley":{"formattedCitation":"(Herva and Roca, 2013)","manualFormatting":"Herva &amp; Roca (2013)","plainTextFormattedCitation":"(Herva and Roca, 2013)","previouslyFormattedCitation":"(Herva and Roca, 2013)"},"properties":{"noteIndex":0},"schema":"https://github.com/citation-style-language/schema/raw/master/csl-citation.json"}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Herva &amp; Roca (2013)</w:t>
            </w:r>
            <w:r w:rsidRPr="00C81B1E">
              <w:rPr>
                <w:rFonts w:eastAsia="Calibri"/>
                <w:szCs w:val="22"/>
                <w:lang w:val="en-GB" w:eastAsia="en-US"/>
              </w:rPr>
              <w:fldChar w:fldCharType="end"/>
            </w:r>
          </w:p>
        </w:tc>
      </w:tr>
      <w:tr w:rsidR="00C81B1E" w:rsidRPr="00C81B1E" w14:paraId="199E0B05" w14:textId="77777777" w:rsidTr="00C81B1E">
        <w:trPr>
          <w:trHeight w:val="255"/>
        </w:trPr>
        <w:tc>
          <w:tcPr>
            <w:tcW w:w="1668" w:type="dxa"/>
            <w:shd w:val="clear" w:color="auto" w:fill="auto"/>
            <w:noWrap/>
            <w:vAlign w:val="center"/>
            <w:hideMark/>
          </w:tcPr>
          <w:p w14:paraId="1C7530E7" w14:textId="77777777" w:rsidR="00C7764C" w:rsidRPr="00C81B1E" w:rsidRDefault="00C7764C" w:rsidP="00C81B1E">
            <w:pPr>
              <w:pStyle w:val="MDPI42tablebody"/>
              <w:rPr>
                <w:rFonts w:eastAsia="Calibri"/>
                <w:b/>
                <w:bCs/>
                <w:szCs w:val="22"/>
                <w:lang w:val="en-GB" w:eastAsia="en-US"/>
              </w:rPr>
            </w:pPr>
            <w:r w:rsidRPr="00C81B1E">
              <w:rPr>
                <w:rFonts w:eastAsia="Calibri"/>
                <w:b/>
                <w:bCs/>
                <w:szCs w:val="22"/>
                <w:lang w:val="en-GB" w:eastAsia="en-US"/>
              </w:rPr>
              <w:t>Economic value of solid material</w:t>
            </w:r>
          </w:p>
        </w:tc>
        <w:tc>
          <w:tcPr>
            <w:tcW w:w="1127" w:type="dxa"/>
            <w:shd w:val="clear" w:color="auto" w:fill="auto"/>
            <w:noWrap/>
            <w:vAlign w:val="center"/>
            <w:hideMark/>
          </w:tcPr>
          <w:p w14:paraId="56E1CD62"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£/t</w:t>
            </w:r>
          </w:p>
        </w:tc>
        <w:tc>
          <w:tcPr>
            <w:tcW w:w="1112" w:type="dxa"/>
            <w:shd w:val="clear" w:color="auto" w:fill="auto"/>
            <w:noWrap/>
            <w:vAlign w:val="center"/>
            <w:hideMark/>
          </w:tcPr>
          <w:p w14:paraId="2F90FCAC"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AF, AD, C, TT</w:t>
            </w:r>
          </w:p>
        </w:tc>
        <w:tc>
          <w:tcPr>
            <w:tcW w:w="5165" w:type="dxa"/>
            <w:shd w:val="clear" w:color="auto" w:fill="auto"/>
            <w:noWrap/>
            <w:vAlign w:val="center"/>
            <w:hideMark/>
          </w:tcPr>
          <w:p w14:paraId="683A24AE" w14:textId="273B3499"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 xml:space="preserve">AF: </w:t>
            </w:r>
            <w:r w:rsidRPr="00C81B1E">
              <w:rPr>
                <w:rFonts w:eastAsia="Calibri"/>
                <w:szCs w:val="22"/>
                <w:lang w:val="en-GB" w:eastAsia="en-US"/>
              </w:rPr>
              <w:fldChar w:fldCharType="begin" w:fldLock="1"/>
            </w:r>
            <w:r w:rsidRPr="00C81B1E">
              <w:rPr>
                <w:rFonts w:eastAsia="Calibri"/>
                <w:szCs w:val="22"/>
                <w:lang w:val="en-GB" w:eastAsia="en-US"/>
              </w:rPr>
              <w:instrText>ADDIN CSL_CITATION {"citationItems":[{"id":"ITEM-1","itemData":{"author":[{"dropping-particle":"","family":"Parfitt","given":"Julian","non-dropping-particle":"","parse-names":false,"suffix":""},{"dropping-particle":"","family":"Stanley","given":"Chris","non-dropping-particle":"","parse-names":false,"suffix":""},{"dropping-particle":"","family":"Thompson","given":"Laura","non-dropping-particle":"","parse-names":false,"suffix":""}],"id":"ITEM-1","issue":"May","issued":{"date-parts":[["2016"]]},"title":"Guidance for food and drink manufacturers and retailers on the use of food surplus as animal feed. Version 1.0","type":"report"},"uris":["http://www.mendeley.com/documents/?uuid=52a5d25a-b1e1-491e-ba4a-1b95106ef3dc"]}],"mendeley":{"formattedCitation":"(Parfitt et al., 2016)","manualFormatting":"Parfitt, Stanley, et al. (2016)","plainTextFormattedCitation":"(Parfitt et al., 2016)","previouslyFormattedCitation":"(Parfitt et al., 2016)"},"properties":{"noteIndex":0},"schema":"https://github.com/citation-style-language/schema/raw/master/csl-citation.json"}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Parfitt, et al. (2016)</w:t>
            </w:r>
            <w:r w:rsidRPr="00C81B1E">
              <w:rPr>
                <w:rFonts w:eastAsia="Calibri"/>
                <w:szCs w:val="22"/>
                <w:lang w:val="en-GB" w:eastAsia="en-US"/>
              </w:rPr>
              <w:fldChar w:fldCharType="end"/>
            </w:r>
            <w:r w:rsidRPr="00C81B1E">
              <w:rPr>
                <w:rFonts w:eastAsia="Calibri"/>
                <w:szCs w:val="22"/>
                <w:lang w:val="en-GB" w:eastAsia="en-US"/>
              </w:rPr>
              <w:t xml:space="preserve">, AD: </w:t>
            </w:r>
            <w:r w:rsidRPr="00C81B1E">
              <w:rPr>
                <w:rFonts w:eastAsia="Calibri"/>
                <w:szCs w:val="22"/>
                <w:lang w:val="en-GB" w:eastAsia="en-US"/>
              </w:rPr>
              <w:fldChar w:fldCharType="begin" w:fldLock="1"/>
            </w:r>
            <w:r w:rsidRPr="00C81B1E">
              <w:rPr>
                <w:rFonts w:eastAsia="Calibri"/>
                <w:szCs w:val="22"/>
                <w:lang w:val="en-GB" w:eastAsia="en-US"/>
              </w:rPr>
              <w:instrText>ADDIN CSL_CITATION {"citationItems":[{"id":"ITEM-1","itemData":{"DOI":"10.1016/j.scitotenv.2016.03.236","ISSN":"18791026","PMID":"27101461","abstract":"Anaerobic digestion (AD) is expanding rapidly in the UK. Previous life cycle assessment (LCA) studies have highlighted the sensitivity of environmental outcomes to feedstock type, fugitive emissions, biomethane use, energy conversion efficiency and digestate management. We combined statistics on current and planned AD deployment with operational data from a survey of biogas plant operators to evaluate the environmental balance of the UK biogas sector for the years 2014 and 2017. Consequential LCA was applied to account for all major environmental credits and burdens incurred, including: (i) substitution of composting, incineration, sewer disposal, field decomposition and animal feeding of wastes; (ii) indirect land use change (ILUC) incurred by the cultivation of crops used for biogas production and to compensate for bakery and brewery wastes diverted from animal feed. In 2014, the UK biogas sector reduced greenhouse gas (GHG) emissions by 551-755 Gg CO2e excluding ILUC, or 238-755 Gg CO2e including ILUC uncertainty. Fossil energy depletion was reduced by 8.9-10.8 PJe, but eutrophication and acidification burdens were increased by 1.8-3.4 Gg PO4e and 8.1-14.6 Gg SO2e, respectively. Food waste and manure feedstocks dominate GHG abatement, largely through substitution of in-vessel composting and manure storage, whilst food waste and crop feedstocks dominate fossil energy credit, primarily through substitution of natural gas power generation. Biogas expansion is projected to increase environmental credits and loadings by a factor of 2.4 by 2017. If all AD bioelectricity replaced coal generation, or if 90% of biomethane replaced transport diesel or grid natural gas, GHG abatement would increase by 131%, 38% and 20%, respectively. Policies to encourage digestion of food waste and manures could maximize GHG abatement, avoiding the risk of carbon leakage associated with use of crops and wastes otherwise used to feed livestock. Covering digestate stores could largely mitigate net eutrophication and acidification burdens.","author":[{"dropping-particle":"","family":"Styles","given":"David","non-dropping-particle":"","parse-names":false,"suffix":""},{"dropping-particle":"","family":"Dominguez","given":"Eduardo Mesa","non-dropping-particle":"","parse-names":false,"suffix":""},{"dropping-particle":"","family":"Chadwick","given":"Dave","non-dropping-particle":"","parse-names":false,"suffix":""}],"container-title":"Science of the Total Environment","id":"ITEM-1","issued":{"date-parts":[["2016"]]},"page":"241-253","publisher":"Elsevier B.V.","title":"Environmental balance of the of the UK biogas sector: An evaluation by consequential life cycle assessment","type":"article-journal","volume":"560-561"},"uris":["http://www.mendeley.com/documents/?uuid=eb2d83a2-c1b2-4004-9aa1-54e3aa1bd22a"]}],"mendeley":{"formattedCitation":"(Styles et al., 2016)","manualFormatting":"Styles et al. (2016)","plainTextFormattedCitation":"(Styles et al., 2016)","previouslyFormattedCitation":"(Styles et al., 2016)"},"properties":{"noteIndex":0},"schema":"https://github.com/citation-style-language/schema/raw/master/csl-citation.json"}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Styles et al. (2016)</w:t>
            </w:r>
            <w:r w:rsidRPr="00C81B1E">
              <w:rPr>
                <w:rFonts w:eastAsia="Calibri"/>
                <w:szCs w:val="22"/>
                <w:lang w:val="en-GB" w:eastAsia="en-US"/>
              </w:rPr>
              <w:fldChar w:fldCharType="end"/>
            </w:r>
            <w:r w:rsidRPr="00C81B1E">
              <w:rPr>
                <w:rFonts w:eastAsia="Calibri"/>
                <w:szCs w:val="22"/>
                <w:lang w:val="en-GB" w:eastAsia="en-US"/>
              </w:rPr>
              <w:t xml:space="preserve">, C: </w:t>
            </w:r>
            <w:r w:rsidRPr="00C81B1E">
              <w:rPr>
                <w:rFonts w:eastAsia="Calibri"/>
                <w:szCs w:val="22"/>
                <w:lang w:val="en-GB" w:eastAsia="en-US"/>
              </w:rPr>
              <w:fldChar w:fldCharType="begin" w:fldLock="1"/>
            </w:r>
            <w:r w:rsidRPr="00C81B1E">
              <w:rPr>
                <w:rFonts w:eastAsia="Calibri"/>
                <w:szCs w:val="22"/>
                <w:lang w:val="en-GB" w:eastAsia="en-US"/>
              </w:rPr>
              <w:instrText>ADDIN CSL_CITATION {"citationItems":[{"id":"ITEM-1","itemData":{"ISBN":"9783906484365","abstract":"Urban solid waste management is considered to be one of the most immediate and serious environmental problems confronting urban governments in developing countries. The severity of this challenge will increase in the future given the trends of rapid urbanisation and growth in urban population. Inadequate collection and disposal of waste poses a serious health risk to the population and is an obvious cause of environmental degradation in most cities of the developing world. With growing public pressure and environmental legislation, the waste experts are being called upon to develop more sustainable methods of dealing with municipal waste. One step in improving the current solid waste situation is enhancing resource recovering activities. Recycling inorganic materials from municipal solid waste is often well developed by the activities of the informal sector. Reuse of organic waste material however, often contributing to more than 50% of the total waste amount, is still fairly limited but has interesting recovery potential. Coupled with approaches to reduce reliance on landfill as a disposal route, biological treatment is increasingly becoming adopted as a standard requirement for the vast majority of biodegradable wastes. This book deals with such urban organic municipal wastes from households, commercial activities, institutions, as well as gardens and parks. It describes approaches and methods of composting on neighbourhood level in small -and middle- scale plants. It considers issues of primary waste collection, composting methods, management systems, occupational health, product quality, marketing and end - user demands.","author":[{"dropping-particle":"","family":"Rothenberger","given":"Silke","non-dropping-particle":"","parse-names":false,"suffix":""},{"dropping-particle":"","family":"Zurbrügg","given":"Christian","non-dropping-particle":"","parse-names":false,"suffix":""},{"dropping-particle":"","family":"Enayetullah","given":"Iftekhar","non-dropping-particle":"","parse-names":false,"suffix":""},{"dropping-particle":"","family":"Sinha","given":"a H Md Maqsood","non-dropping-particle":"","parse-names":false,"suffix":""}],"id":"ITEM-1","issued":{"date-parts":[["2006"]]},"publisher":"Waste Concern","title":"Decentralised Composting for Cities of Low- and Middle- Income Countries","type":"report"},"uris":["http://www.mendeley.com/documents/?uuid=b68f49db-b881-457a-828c-c06442c121a9"]}],"mendeley":{"formattedCitation":"(Rothenberger et al., 2006)","manualFormatting":"Rothenberger et al. (2006)","plainTextFormattedCitation":"(Rothenberger et al., 2006)","previouslyFormattedCitation":"(Rothenberger et al., 2006)"},"properties":{"noteIndex":0},"schema":"https://github.com/citation-style-language/schema/raw/master/csl-citation.json"}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Rothenberger et al. (2006)</w:t>
            </w:r>
            <w:r w:rsidRPr="00C81B1E">
              <w:rPr>
                <w:rFonts w:eastAsia="Calibri"/>
                <w:szCs w:val="22"/>
                <w:lang w:val="en-GB" w:eastAsia="en-US"/>
              </w:rPr>
              <w:fldChar w:fldCharType="end"/>
            </w:r>
            <w:r w:rsidRPr="00C81B1E">
              <w:rPr>
                <w:rFonts w:eastAsia="Calibri"/>
                <w:szCs w:val="22"/>
                <w:lang w:val="en-GB" w:eastAsia="en-US"/>
              </w:rPr>
              <w:t xml:space="preserve">, TT: </w:t>
            </w:r>
            <w:r w:rsidRPr="00C81B1E">
              <w:rPr>
                <w:rFonts w:eastAsia="Calibri"/>
                <w:szCs w:val="22"/>
                <w:lang w:val="en-GB" w:eastAsia="en-US"/>
              </w:rPr>
              <w:fldChar w:fldCharType="begin" w:fldLock="1"/>
            </w:r>
            <w:r w:rsidRPr="00C81B1E">
              <w:rPr>
                <w:rFonts w:eastAsia="Calibri"/>
                <w:szCs w:val="22"/>
                <w:lang w:val="en-GB" w:eastAsia="en-US"/>
              </w:rPr>
              <w:instrText>ADDIN CSL_CITATION {"citationItems":[{"id":"ITEM-1","itemData":{"DOI":"10.1016/j.renene.2015.06.007","ISSN":"09601481","abstract":"This paper discusses the effects of changes in the management methods for animal by-products in a meat-processing plant after the implementation of an onsite thermal process waste recycling system and the construction of a production facility for mineral fertilisers. The changes concern cured meat production at a beef, pork and poultry cutting plant with a capacity of 150 tons per day. The remains of the processing comprise 17 tons per day of bones and pulp from meat and bone, which are burnt to ash. The resulting waste (ash) is converted into a new and useful product: mineral fertiliser. This paper details a case study of the first facility in Poland with an animal by-product thermal recycling facility and a plant, located at the meat-processing factory, that produces mineral fertiliser for agriculture and horticulture. The results of this study indicate that the management of animal by-products eliminates some of the negative effects related to their transport to local facilities for disposal. The study also highlights substantial ecological, energy-related and economic advantages.","author":[{"dropping-particle":"","family":"Bujak","given":"Janusz Wojciech","non-dropping-particle":"","parse-names":false,"suffix":""}],"container-title":"Renewable Energy","id":"ITEM-1","issued":{"date-parts":[["2015"]]},"page":"1174-1186","publisher":"Elsevier Ltd","title":"New insights into waste management – Meat industry","type":"article-journal","volume":"83"},"uris":["http://www.mendeley.com/documents/?uuid=813faf4e-824c-4144-ad28-d119dada6f62"]}],"mendeley":{"formattedCitation":"(Bujak, 2015)","manualFormatting":"Bujak (2015)","plainTextFormattedCitation":"(Bujak, 2015)","previouslyFormattedCitation":"(Bujak, 2015)"},"properties":{"noteIndex":0},"schema":"https://github.com/citation-style-language/schema/raw/master/csl-citation.json"}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Bujak (2015)</w:t>
            </w:r>
            <w:r w:rsidRPr="00C81B1E">
              <w:rPr>
                <w:rFonts w:eastAsia="Calibri"/>
                <w:szCs w:val="22"/>
                <w:lang w:val="en-GB" w:eastAsia="en-US"/>
              </w:rPr>
              <w:fldChar w:fldCharType="end"/>
            </w:r>
          </w:p>
        </w:tc>
      </w:tr>
      <w:tr w:rsidR="00C81B1E" w:rsidRPr="00C81B1E" w14:paraId="3E621C8B"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5F197031" w14:textId="77777777" w:rsidR="00C7764C" w:rsidRPr="00C81B1E" w:rsidRDefault="00C7764C" w:rsidP="00C81B1E">
            <w:pPr>
              <w:pStyle w:val="MDPI42tablebody"/>
              <w:rPr>
                <w:rFonts w:eastAsia="Calibri"/>
                <w:b/>
                <w:bCs/>
                <w:szCs w:val="22"/>
                <w:lang w:val="en-GB" w:eastAsia="en-US"/>
              </w:rPr>
            </w:pPr>
            <w:r w:rsidRPr="00C81B1E">
              <w:rPr>
                <w:rFonts w:eastAsia="Calibri"/>
                <w:b/>
                <w:bCs/>
                <w:szCs w:val="22"/>
                <w:lang w:val="en-GB" w:eastAsia="en-US"/>
              </w:rPr>
              <w:t>Heat recovered / Output power</w:t>
            </w:r>
          </w:p>
        </w:tc>
        <w:tc>
          <w:tcPr>
            <w:tcW w:w="1127" w:type="dxa"/>
            <w:tcBorders>
              <w:top w:val="single" w:sz="4" w:space="0" w:color="7F7F7F"/>
              <w:bottom w:val="single" w:sz="4" w:space="0" w:color="7F7F7F"/>
            </w:tcBorders>
            <w:shd w:val="clear" w:color="auto" w:fill="auto"/>
            <w:noWrap/>
            <w:vAlign w:val="center"/>
            <w:hideMark/>
          </w:tcPr>
          <w:p w14:paraId="6DF1FC89"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kJ/min</w:t>
            </w:r>
          </w:p>
        </w:tc>
        <w:tc>
          <w:tcPr>
            <w:tcW w:w="1112" w:type="dxa"/>
            <w:tcBorders>
              <w:top w:val="single" w:sz="4" w:space="0" w:color="7F7F7F"/>
              <w:bottom w:val="single" w:sz="4" w:space="0" w:color="7F7F7F"/>
            </w:tcBorders>
            <w:shd w:val="clear" w:color="auto" w:fill="auto"/>
            <w:noWrap/>
            <w:vAlign w:val="center"/>
            <w:hideMark/>
          </w:tcPr>
          <w:p w14:paraId="777213D2"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AD, TT</w:t>
            </w:r>
          </w:p>
        </w:tc>
        <w:tc>
          <w:tcPr>
            <w:tcW w:w="5165" w:type="dxa"/>
            <w:tcBorders>
              <w:top w:val="single" w:sz="4" w:space="0" w:color="7F7F7F"/>
              <w:bottom w:val="single" w:sz="4" w:space="0" w:color="7F7F7F"/>
            </w:tcBorders>
            <w:shd w:val="clear" w:color="auto" w:fill="auto"/>
            <w:noWrap/>
            <w:vAlign w:val="center"/>
            <w:hideMark/>
          </w:tcPr>
          <w:p w14:paraId="6E6F4976"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 xml:space="preserve">AD: </w:t>
            </w:r>
            <w:r w:rsidRPr="00C81B1E">
              <w:rPr>
                <w:rFonts w:eastAsia="Calibri"/>
                <w:szCs w:val="22"/>
                <w:lang w:val="en-GB" w:eastAsia="en-US"/>
              </w:rPr>
              <w:fldChar w:fldCharType="begin" w:fldLock="1"/>
            </w:r>
            <w:r w:rsidRPr="00C81B1E">
              <w:rPr>
                <w:rFonts w:eastAsia="Calibri"/>
                <w:szCs w:val="22"/>
                <w:lang w:val="en-GB" w:eastAsia="en-US"/>
              </w:rPr>
              <w:instrText>ADDIN CSL_CITATION {"citationItems":[{"id":"ITEM-1","itemData":{"DOI":"10.1016/j.scitotenv.2016.03.236","ISSN":"18791026","PMID":"27101461","abstract":"Anaerobic digestion (AD) is expanding rapidly in the UK. Previous life cycle assessment (LCA) studies have highlighted the sensitivity of environmental outcomes to feedstock type, fugitive emissions, biomethane use, energy conversion efficiency and digestate management. We combined statistics on current and planned AD deployment with operational data from a survey of biogas plant operators to evaluate the environmental balance of the UK biogas sector for the years 2014 and 2017. Consequential LCA was applied to account for all major environmental credits and burdens incurred, including: (i) substitution of composting, incineration, sewer disposal, field decomposition and animal feeding of wastes; (ii) indirect land use change (ILUC) incurred by the cultivation of crops used for biogas production and to compensate for bakery and brewery wastes diverted from animal feed. In 2014, the UK biogas sector reduced greenhouse gas (GHG) emissions by 551-755 Gg CO2e excluding ILUC, or 238-755 Gg CO2e including ILUC uncertainty. Fossil energy depletion was reduced by 8.9-10.8 PJe, but eutrophication and acidification burdens were increased by 1.8-3.4 Gg PO4e and 8.1-14.6 Gg SO2e, respectively. Food waste and manure feedstocks dominate GHG abatement, largely through substitution of in-vessel composting and manure storage, whilst food waste and crop feedstocks dominate fossil energy credit, primarily through substitution of natural gas power generation. Biogas expansion is projected to increase environmental credits and loadings by a factor of 2.4 by 2017. If all AD bioelectricity replaced coal generation, or if 90% of biomethane replaced transport diesel or grid natural gas, GHG abatement would increase by 131%, 38% and 20%, respectively. Policies to encourage digestion of food waste and manures could maximize GHG abatement, avoiding the risk of carbon leakage associated with use of crops and wastes otherwise used to feed livestock. Covering digestate stores could largely mitigate net eutrophication and acidification burdens.","author":[{"dropping-particle":"","family":"Styles","given":"David","non-dropping-particle":"","parse-names":false,"suffix":""},{"dropping-particle":"","family":"Dominguez","given":"Eduardo Mesa","non-dropping-particle":"","parse-names":false,"suffix":""},{"dropping-particle":"","family":"Chadwick","given":"Dave","non-dropping-particle":"","parse-names":false,"suffix":""}],"container-title":"Science of the Total Environment","id":"ITEM-1","issued":{"date-parts":[["2016"]]},"page":"241-253","publisher":"Elsevier B.V.","title":"Environmental balance of the of the UK biogas sector: An evaluation by consequential life cycle assessment","type":"article-journal","volume":"560-561"},"uris":["http://www.mendeley.com/documents/?uuid=eb2d83a2-c1b2-4004-9aa1-54e3aa1bd22a"]}],"mendeley":{"formattedCitation":"(Styles et al., 2016)","manualFormatting":"Styles et al. (2016)","plainTextFormattedCitation":"(Styles et al., 2016)","previouslyFormattedCitation":"(Styles et al., 2016)"},"properties":{"noteIndex":0},"schema":"https://github.com/citation-style-language/schema/raw/master/csl-citation.json"}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Styles et al. (2016)</w:t>
            </w:r>
            <w:r w:rsidRPr="00C81B1E">
              <w:rPr>
                <w:rFonts w:eastAsia="Calibri"/>
                <w:szCs w:val="22"/>
                <w:lang w:val="en-GB" w:eastAsia="en-US"/>
              </w:rPr>
              <w:fldChar w:fldCharType="end"/>
            </w:r>
            <w:r w:rsidRPr="00C81B1E">
              <w:rPr>
                <w:rFonts w:eastAsia="Calibri"/>
                <w:szCs w:val="22"/>
                <w:lang w:val="en-GB" w:eastAsia="en-US"/>
              </w:rPr>
              <w:t xml:space="preserve">, TT: </w:t>
            </w:r>
            <w:r w:rsidRPr="00C81B1E">
              <w:rPr>
                <w:rFonts w:eastAsia="Calibri"/>
                <w:szCs w:val="22"/>
                <w:lang w:val="en-GB" w:eastAsia="en-US"/>
              </w:rPr>
              <w:fldChar w:fldCharType="begin" w:fldLock="1"/>
            </w:r>
            <w:r w:rsidRPr="00C81B1E">
              <w:rPr>
                <w:rFonts w:eastAsia="Calibri"/>
                <w:szCs w:val="22"/>
                <w:lang w:val="en-GB" w:eastAsia="en-US"/>
              </w:rPr>
              <w:instrText>ADDIN CSL_CITATION {"citationItems":[{"id":"ITEM-1","itemData":{"DOI":"10.1016/j.apenergy.2009.08.032","ISBN":"0306-2619","ISSN":"03062619","abstract":"Characteristics of syngas from the pyrolysis and gasification of food waste has been investigated. Characteristic differences in syngas properties and overall yields from pyrolysis and gasification were determined at two distinct high temperatures of 800 and 900 ??C. Pyrolysis and gasification behavior were evaluated in terms of syngas flow rate, hydrogen flow rate, output power, total syngas yield, total hydrogen yield, total energy yield, and apparent thermal efficiency. Gasification was more beneficial than pyrolysis based on investigated criteria, but longer time was needed to finish the gasification process. Longer time of gasification is attributed to slow reactions between the residual char and gasifying agent. Consequently, the char gasification kinetics was investigated. Inorganic constituents of food char were found to have a catalytic effect. Char reactivity increased with increased degree of conversion. In the conversion range from 0.1 to 0.9 the increase in reactivity was accompanied by an increase in pre-exponential factor, which suggested an increase in gasifying agent adsorption rate to char surface. However, in the conversion range from 0.93 to 0.98 the increase in reactivity was accompanied by a decrease in activation energy. A compensation effect was observed in this range of conversion of 0.93-0.98. ?? 2009 Elsevier Ltd. All rights reserved.","author":[{"dropping-particle":"","family":"Ahmed","given":"I. I.","non-dropping-particle":"","parse-names":false,"suffix":""},{"dropping-particle":"","family":"Gupta","given":"A. K.","non-dropping-particle":"","parse-names":false,"suffix":""}],"container-title":"Applied Energy","id":"ITEM-1","issue":"1","issued":{"date-parts":[["2010"]]},"page":"101-108","publisher":"Elsevier Ltd","title":"Pyrolysis and gasification of food waste: Syngas characteristics and char gasification kinetics","type":"article-journal","volume":"87"},"uris":["http://www.mendeley.com/documents/?uuid=ba947297-756d-4216-9a69-33c8820cc240"]}],"mendeley":{"formattedCitation":"(Ahmed and Gupta, 2010)","manualFormatting":"Ahmed &amp; Gupta (2010)","plainTextFormattedCitation":"(Ahmed and Gupta, 2010)","previouslyFormattedCitation":"(Ahmed and Gupta, 2010)"},"properties":{"noteIndex":0},"schema":"https://github.com/citation-style-language/schema/raw/master/csl-citation.json"}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Ahmed &amp; Gupta (2010)</w:t>
            </w:r>
            <w:r w:rsidRPr="00C81B1E">
              <w:rPr>
                <w:rFonts w:eastAsia="Calibri"/>
                <w:szCs w:val="22"/>
                <w:lang w:val="en-GB" w:eastAsia="en-US"/>
              </w:rPr>
              <w:fldChar w:fldCharType="end"/>
            </w:r>
          </w:p>
        </w:tc>
      </w:tr>
      <w:tr w:rsidR="00C81B1E" w:rsidRPr="00C81B1E" w14:paraId="6BF22890" w14:textId="77777777" w:rsidTr="00C81B1E">
        <w:trPr>
          <w:trHeight w:val="285"/>
        </w:trPr>
        <w:tc>
          <w:tcPr>
            <w:tcW w:w="1668" w:type="dxa"/>
            <w:shd w:val="clear" w:color="auto" w:fill="auto"/>
            <w:noWrap/>
            <w:vAlign w:val="center"/>
            <w:hideMark/>
          </w:tcPr>
          <w:p w14:paraId="54EDD0E5" w14:textId="77777777" w:rsidR="00C7764C" w:rsidRPr="00C81B1E" w:rsidRDefault="00C7764C" w:rsidP="00C81B1E">
            <w:pPr>
              <w:pStyle w:val="MDPI42tablebody"/>
              <w:rPr>
                <w:rFonts w:eastAsia="Calibri"/>
                <w:b/>
                <w:bCs/>
                <w:szCs w:val="22"/>
                <w:lang w:val="en-GB" w:eastAsia="en-US"/>
              </w:rPr>
            </w:pPr>
            <w:r w:rsidRPr="00C81B1E">
              <w:rPr>
                <w:rFonts w:eastAsia="Calibri"/>
                <w:b/>
                <w:bCs/>
                <w:szCs w:val="22"/>
                <w:lang w:val="en-GB" w:eastAsia="en-US"/>
              </w:rPr>
              <w:t>Biogas rate</w:t>
            </w:r>
          </w:p>
        </w:tc>
        <w:tc>
          <w:tcPr>
            <w:tcW w:w="1127" w:type="dxa"/>
            <w:shd w:val="clear" w:color="auto" w:fill="auto"/>
            <w:noWrap/>
            <w:vAlign w:val="center"/>
            <w:hideMark/>
          </w:tcPr>
          <w:p w14:paraId="4273B736"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Nm</w:t>
            </w:r>
            <w:r w:rsidRPr="00C81B1E">
              <w:rPr>
                <w:rFonts w:eastAsia="Calibri"/>
                <w:szCs w:val="22"/>
                <w:vertAlign w:val="superscript"/>
                <w:lang w:val="en-GB" w:eastAsia="en-US"/>
              </w:rPr>
              <w:t>3</w:t>
            </w:r>
            <w:r w:rsidRPr="00C81B1E">
              <w:rPr>
                <w:rFonts w:eastAsia="Calibri"/>
                <w:szCs w:val="22"/>
                <w:lang w:val="en-GB" w:eastAsia="en-US"/>
              </w:rPr>
              <w:t>/day</w:t>
            </w:r>
          </w:p>
        </w:tc>
        <w:tc>
          <w:tcPr>
            <w:tcW w:w="1112" w:type="dxa"/>
            <w:shd w:val="clear" w:color="auto" w:fill="auto"/>
            <w:noWrap/>
            <w:vAlign w:val="center"/>
            <w:hideMark/>
          </w:tcPr>
          <w:p w14:paraId="6C485A2C"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AD</w:t>
            </w:r>
          </w:p>
        </w:tc>
        <w:tc>
          <w:tcPr>
            <w:tcW w:w="5165" w:type="dxa"/>
            <w:vMerge w:val="restart"/>
            <w:shd w:val="clear" w:color="auto" w:fill="auto"/>
            <w:noWrap/>
            <w:vAlign w:val="center"/>
            <w:hideMark/>
          </w:tcPr>
          <w:p w14:paraId="2EB835BC"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fldChar w:fldCharType="begin" w:fldLock="1"/>
            </w:r>
            <w:r w:rsidRPr="00C81B1E">
              <w:rPr>
                <w:rFonts w:eastAsia="Calibri"/>
                <w:szCs w:val="22"/>
                <w:lang w:val="en-GB" w:eastAsia="en-US"/>
              </w:rPr>
              <w:instrText>ADDIN CSL_CITATION {"citationItems":[{"id":"ITEM-1","itemData":{"DOI":"10.1016/j.scitotenv.2016.03.236","ISSN":"18791026","PMID":"27101461","abstract":"Anaerobic digestion (AD) is expanding rapidly in the UK. Previous life cycle assessment (LCA) studies have highlighted the sensitivity of environmental outcomes to feedstock type, fugitive emissions, biomethane use, energy conversion efficiency and digestate management. We combined statistics on current and planned AD deployment with operational data from a survey of biogas plant operators to evaluate the environmental balance of the UK biogas sector for the years 2014 and 2017. Consequential LCA was applied to account for all major environmental credits and burdens incurred, including: (i) substitution of composting, incineration, sewer disposal, field decomposition and animal feeding of wastes; (ii) indirect land use change (ILUC) incurred by the cultivation of crops used for biogas production and to compensate for bakery and brewery wastes diverted from animal feed. In 2014, the UK biogas sector reduced greenhouse gas (GHG) emissions by 551-755 Gg CO2e excluding ILUC, or 238-755 Gg CO2e including ILUC uncertainty. Fossil energy depletion was reduced by 8.9-10.8 PJe, but eutrophication and acidification burdens were increased by 1.8-3.4 Gg PO4e and 8.1-14.6 Gg SO2e, respectively. Food waste and manure feedstocks dominate GHG abatement, largely through substitution of in-vessel composting and manure storage, whilst food waste and crop feedstocks dominate fossil energy credit, primarily through substitution of natural gas power generation. Biogas expansion is projected to increase environmental credits and loadings by a factor of 2.4 by 2017. If all AD bioelectricity replaced coal generation, or if 90% of biomethane replaced transport diesel or grid natural gas, GHG abatement would increase by 131%, 38% and 20%, respectively. Policies to encourage digestion of food waste and manures could maximize GHG abatement, avoiding the risk of carbon leakage associated with use of crops and wastes otherwise used to feed livestock. Covering digestate stores could largely mitigate net eutrophication and acidification burdens.","author":[{"dropping-particle":"","family":"Styles","given":"David","non-dropping-particle":"","parse-names":false,"suffix":""},{"dropping-particle":"","family":"Dominguez","given":"Eduardo Mesa","non-dropping-particle":"","parse-names":false,"suffix":""},{"dropping-particle":"","family":"Chadwick","given":"Dave","non-dropping-particle":"","parse-names":false,"suffix":""}],"container-title":"Science of the Total Environment","id":"ITEM-1","issued":{"date-parts":[["2016"]]},"page":"241-253","publisher":"Elsevier B.V.","title":"Environmental balance of the of the UK biogas sector: An evaluation by consequential life cycle assessment","type":"article-journal","volume":"560-561"},"uris":["http://www.mendeley.com/documents/?uuid=eb2d83a2-c1b2-4004-9aa1-54e3aa1bd22a"]}],"mendeley":{"formattedCitation":"(Styles et al., 2016)","manualFormatting":"Styles et al. (2016)","plainTextFormattedCitation":"(Styles et al., 2016)","previouslyFormattedCitation":"(Styles et al., 2016)"},"properties":{"noteIndex":0},"schema":"https://github.com/citation-style-language/schema/raw/master/csl-citation.json"}</w:instrText>
            </w:r>
            <w:r w:rsidRPr="00C81B1E">
              <w:rPr>
                <w:rFonts w:eastAsia="Calibri"/>
                <w:szCs w:val="22"/>
                <w:lang w:val="en-GB" w:eastAsia="en-US"/>
              </w:rPr>
              <w:fldChar w:fldCharType="separate"/>
            </w:r>
            <w:r w:rsidRPr="00C81B1E">
              <w:rPr>
                <w:rFonts w:eastAsia="Calibri"/>
                <w:noProof/>
                <w:szCs w:val="22"/>
                <w:lang w:val="en-GB" w:eastAsia="en-US"/>
              </w:rPr>
              <w:t>Styles et al. (2016)</w:t>
            </w:r>
            <w:r w:rsidRPr="00C81B1E">
              <w:rPr>
                <w:rFonts w:eastAsia="Calibri"/>
                <w:szCs w:val="22"/>
                <w:lang w:val="en-GB" w:eastAsia="en-US"/>
              </w:rPr>
              <w:fldChar w:fldCharType="end"/>
            </w:r>
          </w:p>
        </w:tc>
      </w:tr>
      <w:tr w:rsidR="00C81B1E" w:rsidRPr="00C81B1E" w14:paraId="195342BB" w14:textId="77777777" w:rsidTr="00C81B1E">
        <w:trPr>
          <w:trHeight w:val="255"/>
        </w:trPr>
        <w:tc>
          <w:tcPr>
            <w:tcW w:w="1668" w:type="dxa"/>
            <w:tcBorders>
              <w:top w:val="single" w:sz="4" w:space="0" w:color="7F7F7F"/>
              <w:bottom w:val="single" w:sz="4" w:space="0" w:color="7F7F7F"/>
            </w:tcBorders>
            <w:shd w:val="clear" w:color="auto" w:fill="auto"/>
            <w:noWrap/>
            <w:vAlign w:val="center"/>
            <w:hideMark/>
          </w:tcPr>
          <w:p w14:paraId="440B1027" w14:textId="77777777" w:rsidR="00C7764C" w:rsidRPr="00C81B1E" w:rsidRDefault="00C7764C" w:rsidP="00C81B1E">
            <w:pPr>
              <w:pStyle w:val="MDPI42tablebody"/>
              <w:rPr>
                <w:rFonts w:eastAsia="Calibri"/>
                <w:b/>
                <w:bCs/>
                <w:szCs w:val="22"/>
                <w:lang w:val="en-GB" w:eastAsia="en-US"/>
              </w:rPr>
            </w:pPr>
            <w:r w:rsidRPr="00C81B1E">
              <w:rPr>
                <w:rFonts w:eastAsia="Calibri"/>
                <w:b/>
                <w:bCs/>
                <w:szCs w:val="22"/>
                <w:lang w:val="en-GB" w:eastAsia="en-US"/>
              </w:rPr>
              <w:t>[CH</w:t>
            </w:r>
            <w:r w:rsidRPr="00C81B1E">
              <w:rPr>
                <w:rFonts w:eastAsia="Calibri"/>
                <w:b/>
                <w:bCs/>
                <w:szCs w:val="22"/>
                <w:vertAlign w:val="subscript"/>
                <w:lang w:val="en-GB" w:eastAsia="en-US"/>
              </w:rPr>
              <w:t>4</w:t>
            </w:r>
            <w:r w:rsidRPr="00C81B1E">
              <w:rPr>
                <w:rFonts w:eastAsia="Calibri"/>
                <w:b/>
                <w:bCs/>
                <w:szCs w:val="22"/>
                <w:lang w:val="en-GB" w:eastAsia="en-US"/>
              </w:rPr>
              <w:t>] in biogas</w:t>
            </w:r>
          </w:p>
        </w:tc>
        <w:tc>
          <w:tcPr>
            <w:tcW w:w="1127" w:type="dxa"/>
            <w:tcBorders>
              <w:top w:val="single" w:sz="4" w:space="0" w:color="7F7F7F"/>
              <w:bottom w:val="single" w:sz="4" w:space="0" w:color="7F7F7F"/>
            </w:tcBorders>
            <w:shd w:val="clear" w:color="auto" w:fill="auto"/>
            <w:noWrap/>
            <w:vAlign w:val="center"/>
            <w:hideMark/>
          </w:tcPr>
          <w:p w14:paraId="77777B1C"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w:t>
            </w:r>
          </w:p>
        </w:tc>
        <w:tc>
          <w:tcPr>
            <w:tcW w:w="1112" w:type="dxa"/>
            <w:tcBorders>
              <w:top w:val="single" w:sz="4" w:space="0" w:color="7F7F7F"/>
              <w:bottom w:val="single" w:sz="4" w:space="0" w:color="7F7F7F"/>
            </w:tcBorders>
            <w:shd w:val="clear" w:color="auto" w:fill="auto"/>
            <w:noWrap/>
            <w:vAlign w:val="center"/>
            <w:hideMark/>
          </w:tcPr>
          <w:p w14:paraId="3DBAE44C" w14:textId="77777777" w:rsidR="00C7764C" w:rsidRPr="00C81B1E" w:rsidRDefault="00C7764C" w:rsidP="00C81B1E">
            <w:pPr>
              <w:pStyle w:val="MDPI42tablebody"/>
              <w:rPr>
                <w:rFonts w:eastAsia="Calibri"/>
                <w:szCs w:val="22"/>
                <w:lang w:val="en-GB" w:eastAsia="en-US"/>
              </w:rPr>
            </w:pPr>
            <w:r w:rsidRPr="00C81B1E">
              <w:rPr>
                <w:rFonts w:eastAsia="Calibri"/>
                <w:szCs w:val="22"/>
                <w:lang w:val="en-GB" w:eastAsia="en-US"/>
              </w:rPr>
              <w:t>AD</w:t>
            </w:r>
          </w:p>
        </w:tc>
        <w:tc>
          <w:tcPr>
            <w:tcW w:w="5165" w:type="dxa"/>
            <w:vMerge/>
            <w:tcBorders>
              <w:top w:val="single" w:sz="4" w:space="0" w:color="7F7F7F"/>
              <w:bottom w:val="single" w:sz="4" w:space="0" w:color="7F7F7F"/>
            </w:tcBorders>
            <w:shd w:val="clear" w:color="auto" w:fill="auto"/>
            <w:noWrap/>
            <w:vAlign w:val="center"/>
            <w:hideMark/>
          </w:tcPr>
          <w:p w14:paraId="45D50CA7" w14:textId="77777777" w:rsidR="00C7764C" w:rsidRPr="00C81B1E" w:rsidRDefault="00C7764C" w:rsidP="00C81B1E">
            <w:pPr>
              <w:pStyle w:val="MDPI42tablebody"/>
              <w:rPr>
                <w:rFonts w:eastAsia="Calibri"/>
                <w:szCs w:val="22"/>
                <w:lang w:val="en-GB" w:eastAsia="en-US"/>
              </w:rPr>
            </w:pPr>
          </w:p>
        </w:tc>
      </w:tr>
    </w:tbl>
    <w:p w14:paraId="2A33AE2A" w14:textId="77777777" w:rsidR="00C7764C" w:rsidRPr="00C7764C" w:rsidRDefault="00C7764C" w:rsidP="00C7764C">
      <w:pPr>
        <w:spacing w:after="160" w:line="259" w:lineRule="auto"/>
        <w:rPr>
          <w:rFonts w:eastAsia="Calibri"/>
          <w:color w:val="auto"/>
          <w:sz w:val="16"/>
          <w:szCs w:val="16"/>
          <w:lang w:val="en-GB" w:eastAsia="en-US"/>
        </w:rPr>
      </w:pPr>
    </w:p>
    <w:p w14:paraId="64F6FAF8" w14:textId="77777777" w:rsidR="00C7764C" w:rsidRPr="00C7764C" w:rsidRDefault="00C7764C" w:rsidP="00BA2E09">
      <w:pPr>
        <w:pStyle w:val="MDPI41tablecaption"/>
        <w:rPr>
          <w:rFonts w:eastAsia="Calibri"/>
          <w:lang w:val="en-GB" w:eastAsia="en-US"/>
        </w:rPr>
      </w:pPr>
      <w:r w:rsidRPr="00C7764C">
        <w:rPr>
          <w:rFonts w:eastAsia="Calibri"/>
          <w:lang w:val="en-GB" w:eastAsia="en-US"/>
        </w:rPr>
        <w:t xml:space="preserve">Table </w:t>
      </w:r>
      <w:r w:rsidRPr="00C7764C">
        <w:rPr>
          <w:rFonts w:eastAsia="Calibri"/>
          <w:lang w:val="en-GB" w:eastAsia="en-US"/>
        </w:rPr>
        <w:fldChar w:fldCharType="begin"/>
      </w:r>
      <w:r w:rsidRPr="00C7764C">
        <w:rPr>
          <w:rFonts w:eastAsia="Calibri"/>
          <w:lang w:val="en-GB" w:eastAsia="en-US"/>
        </w:rPr>
        <w:instrText xml:space="preserve"> SEQ Table \* ARABIC </w:instrText>
      </w:r>
      <w:r w:rsidRPr="00C7764C">
        <w:rPr>
          <w:rFonts w:eastAsia="Calibri"/>
          <w:lang w:val="en-GB" w:eastAsia="en-US"/>
        </w:rPr>
        <w:fldChar w:fldCharType="separate"/>
      </w:r>
      <w:r w:rsidRPr="00C7764C">
        <w:rPr>
          <w:rFonts w:eastAsia="Calibri"/>
          <w:noProof/>
          <w:lang w:val="en-GB" w:eastAsia="en-US"/>
        </w:rPr>
        <w:t>10</w:t>
      </w:r>
      <w:r w:rsidRPr="00C7764C">
        <w:rPr>
          <w:rFonts w:eastAsia="Calibri"/>
          <w:lang w:val="en-GB" w:eastAsia="en-US"/>
        </w:rPr>
        <w:fldChar w:fldCharType="end"/>
      </w:r>
      <w:r w:rsidRPr="00C7764C">
        <w:rPr>
          <w:rFonts w:eastAsia="Calibri"/>
          <w:lang w:val="en-GB" w:eastAsia="en-US"/>
        </w:rPr>
        <w:t>. Social indicators</w:t>
      </w:r>
    </w:p>
    <w:tbl>
      <w:tblPr>
        <w:tblW w:w="9072" w:type="dxa"/>
        <w:tblBorders>
          <w:top w:val="single" w:sz="4" w:space="0" w:color="7F7F7F"/>
          <w:bottom w:val="single" w:sz="4" w:space="0" w:color="7F7F7F"/>
        </w:tblBorders>
        <w:tblLook w:val="04A0" w:firstRow="1" w:lastRow="0" w:firstColumn="1" w:lastColumn="0" w:noHBand="0" w:noVBand="1"/>
      </w:tblPr>
      <w:tblGrid>
        <w:gridCol w:w="1266"/>
        <w:gridCol w:w="1812"/>
        <w:gridCol w:w="881"/>
        <w:gridCol w:w="5113"/>
      </w:tblGrid>
      <w:tr w:rsidR="00C81B1E" w:rsidRPr="00C81B1E" w14:paraId="32086D4B" w14:textId="77777777" w:rsidTr="00C81B1E">
        <w:trPr>
          <w:trHeight w:val="255"/>
        </w:trPr>
        <w:tc>
          <w:tcPr>
            <w:tcW w:w="1266" w:type="dxa"/>
            <w:tcBorders>
              <w:bottom w:val="single" w:sz="4" w:space="0" w:color="7F7F7F"/>
            </w:tcBorders>
            <w:shd w:val="clear" w:color="auto" w:fill="auto"/>
            <w:noWrap/>
            <w:vAlign w:val="center"/>
          </w:tcPr>
          <w:p w14:paraId="7206D674"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Indicator</w:t>
            </w:r>
          </w:p>
        </w:tc>
        <w:tc>
          <w:tcPr>
            <w:tcW w:w="1812" w:type="dxa"/>
            <w:tcBorders>
              <w:bottom w:val="single" w:sz="4" w:space="0" w:color="7F7F7F"/>
            </w:tcBorders>
            <w:shd w:val="clear" w:color="auto" w:fill="auto"/>
            <w:noWrap/>
            <w:vAlign w:val="center"/>
          </w:tcPr>
          <w:p w14:paraId="0B5E2298"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Example or unit</w:t>
            </w:r>
          </w:p>
        </w:tc>
        <w:tc>
          <w:tcPr>
            <w:tcW w:w="881" w:type="dxa"/>
            <w:tcBorders>
              <w:bottom w:val="single" w:sz="4" w:space="0" w:color="7F7F7F"/>
            </w:tcBorders>
            <w:shd w:val="clear" w:color="auto" w:fill="auto"/>
            <w:noWrap/>
            <w:vAlign w:val="center"/>
          </w:tcPr>
          <w:p w14:paraId="3561DDD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FWMS</w:t>
            </w:r>
          </w:p>
        </w:tc>
        <w:tc>
          <w:tcPr>
            <w:tcW w:w="5113" w:type="dxa"/>
            <w:tcBorders>
              <w:bottom w:val="single" w:sz="4" w:space="0" w:color="7F7F7F"/>
            </w:tcBorders>
            <w:shd w:val="clear" w:color="auto" w:fill="auto"/>
            <w:noWrap/>
            <w:vAlign w:val="center"/>
          </w:tcPr>
          <w:p w14:paraId="06883290"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Reference</w:t>
            </w:r>
          </w:p>
        </w:tc>
      </w:tr>
      <w:tr w:rsidR="00C81B1E" w:rsidRPr="00C81B1E" w14:paraId="0C11F6A1" w14:textId="77777777" w:rsidTr="00C81B1E">
        <w:trPr>
          <w:trHeight w:val="255"/>
        </w:trPr>
        <w:tc>
          <w:tcPr>
            <w:tcW w:w="1266" w:type="dxa"/>
            <w:tcBorders>
              <w:top w:val="single" w:sz="4" w:space="0" w:color="7F7F7F"/>
              <w:bottom w:val="single" w:sz="4" w:space="0" w:color="7F7F7F"/>
            </w:tcBorders>
            <w:shd w:val="clear" w:color="auto" w:fill="auto"/>
            <w:noWrap/>
            <w:vAlign w:val="center"/>
            <w:hideMark/>
          </w:tcPr>
          <w:p w14:paraId="0855ABD1"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Support of local economies</w:t>
            </w:r>
          </w:p>
        </w:tc>
        <w:tc>
          <w:tcPr>
            <w:tcW w:w="1812" w:type="dxa"/>
            <w:tcBorders>
              <w:top w:val="single" w:sz="4" w:space="0" w:color="7F7F7F"/>
              <w:bottom w:val="single" w:sz="4" w:space="0" w:color="7F7F7F"/>
            </w:tcBorders>
            <w:shd w:val="clear" w:color="auto" w:fill="auto"/>
            <w:noWrap/>
            <w:vAlign w:val="center"/>
            <w:hideMark/>
          </w:tcPr>
          <w:p w14:paraId="59AD3509" w14:textId="77777777" w:rsidR="00C7764C" w:rsidRPr="00C81B1E" w:rsidRDefault="00C7764C" w:rsidP="00C81B1E">
            <w:pPr>
              <w:pStyle w:val="MDPI42tablebody"/>
              <w:rPr>
                <w:rFonts w:eastAsia="Calibri"/>
                <w:lang w:val="en-GB" w:eastAsia="en-US"/>
              </w:rPr>
            </w:pPr>
            <w:r w:rsidRPr="00C81B1E">
              <w:rPr>
                <w:rFonts w:eastAsia="Calibri"/>
                <w:lang w:val="en-GB" w:eastAsia="en-US"/>
              </w:rPr>
              <w:t>Yes (number of people benefitted / tonne) / No</w:t>
            </w:r>
          </w:p>
        </w:tc>
        <w:tc>
          <w:tcPr>
            <w:tcW w:w="881" w:type="dxa"/>
            <w:tcBorders>
              <w:top w:val="single" w:sz="4" w:space="0" w:color="7F7F7F"/>
              <w:bottom w:val="single" w:sz="4" w:space="0" w:color="7F7F7F"/>
            </w:tcBorders>
            <w:shd w:val="clear" w:color="auto" w:fill="auto"/>
            <w:noWrap/>
            <w:vAlign w:val="center"/>
            <w:hideMark/>
          </w:tcPr>
          <w:p w14:paraId="64D87861" w14:textId="77777777" w:rsidR="00C7764C" w:rsidRPr="00C81B1E" w:rsidRDefault="00C7764C" w:rsidP="00C81B1E">
            <w:pPr>
              <w:pStyle w:val="MDPI42tablebody"/>
              <w:rPr>
                <w:rFonts w:eastAsia="Calibri"/>
                <w:lang w:val="en-GB" w:eastAsia="en-US"/>
              </w:rPr>
            </w:pPr>
            <w:r w:rsidRPr="00C81B1E">
              <w:rPr>
                <w:rFonts w:eastAsia="Calibri"/>
                <w:lang w:val="en-GB" w:eastAsia="en-US"/>
              </w:rPr>
              <w:t>R, AF, AD, C, TT</w:t>
            </w:r>
          </w:p>
        </w:tc>
        <w:tc>
          <w:tcPr>
            <w:tcW w:w="5113" w:type="dxa"/>
            <w:tcBorders>
              <w:top w:val="single" w:sz="4" w:space="0" w:color="7F7F7F"/>
              <w:bottom w:val="single" w:sz="4" w:space="0" w:color="7F7F7F"/>
            </w:tcBorders>
            <w:shd w:val="clear" w:color="auto" w:fill="auto"/>
            <w:noWrap/>
            <w:vAlign w:val="center"/>
            <w:hideMark/>
          </w:tcPr>
          <w:p w14:paraId="5F8F0078"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R: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uksti","given":"Michael","non-dropping-particle":"","parse-names":false,"suffix":""},{"dropping-particle":"","family":"Fremming","given":"Thomas","non-dropping-particle":"","parse-names":false,"suffix":""},{"dropping-particle":"","family":"Juul","given":"Selina","non-dropping-particle":"","parse-names":false,"suffix":""},{"dropping-particle":"","family":"Grandjean","given":"Frans","non-dropping-particle":"","parse-names":false,"suffix":""},{"dropping-particle":"","family":"Christensen","given":"Sidsel","non-dropping-particle":"","parse-names":false,"suffix":""}],"id":"ITEM-1","issue":"September","issued":{"date-parts":[["2015"]]},"publisher-place":"Wageningen (The Netherlands)","title":"Surplus Food Redistribution System. Feasibility Final Report","type":"report"},"uris":["http://www.mendeley.com/documents/?uuid=6de6977d-c718-40fd-8a88-07e0ef57fd70"]}],"mendeley":{"formattedCitation":"(Buksti et al., 2015)","manualFormatting":"Buksti et al. (2015)","plainTextFormattedCitation":"(Buksti et al., 2015)","previouslyFormattedCitation":"(Buksti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Buksti et al. (2015)</w:t>
            </w:r>
            <w:r w:rsidRPr="00C81B1E">
              <w:rPr>
                <w:rFonts w:eastAsia="Calibri"/>
                <w:lang w:val="en-GB" w:eastAsia="en-US"/>
              </w:rPr>
              <w:fldChar w:fldCharType="end"/>
            </w:r>
            <w:r w:rsidRPr="00C81B1E">
              <w:rPr>
                <w:rFonts w:eastAsia="Calibri"/>
                <w:lang w:val="en-GB" w:eastAsia="en-US"/>
              </w:rPr>
              <w:t xml:space="preserve">, AF: </w:t>
            </w:r>
            <w:r w:rsidRPr="00C81B1E">
              <w:rPr>
                <w:rFonts w:eastAsia="Calibri"/>
                <w:lang w:val="en-GB" w:eastAsia="en-US"/>
              </w:rPr>
              <w:fldChar w:fldCharType="begin" w:fldLock="1"/>
            </w:r>
            <w:r w:rsidRPr="00C81B1E">
              <w:rPr>
                <w:rFonts w:eastAsia="Calibri"/>
                <w:lang w:val="en-GB" w:eastAsia="en-US"/>
              </w:rPr>
              <w:instrText>ADDIN CSL_CITATION {"citationItems":[{"id":"ITEM-1","itemData":{"ISBN":"1828-1427 (Electronic)\\r0505-401X (Linking)","ISSN":"1828-1427","PMID":"20391403","abstract":"Due to the price hike of imported grains for feed, the production of Ecofeed, feed produced from recycled food waste, has increased in recent years. Food dregs from the food and beverage processing industry and out-of-date food from supermarkets and convenience stores are most often used as raw materials for Ecofeed. As food waste usually contains a lot of moisture and is easily spoiled, guidelines prescribing measures to be taken when collecting, transporting and storing raw materials, and for the production, shipment, stor</w:instrText>
            </w:r>
            <w:r w:rsidRPr="00AF527D">
              <w:rPr>
                <w:rFonts w:eastAsia="Calibri"/>
                <w:lang w:val="es-ES" w:eastAsia="en-US"/>
              </w:rPr>
              <w:instrText>age and use of Ecofeed products, have been developed to ensure the safety of Ecofeed. The guidelines also include measures that should be taken to prevent the spread of bovine spongiform encephalopathy when producing and using Ecofeed. A certification system was introduced in March 2009 to ensure the quality and safety of Ecofeed and thus promote its use.","author":[{"dropping-particle":"","family":"Sugiura","given":"Katsuaki","non-dropping-particle":"","parse-names":false,"suffix":""},{"dropping-particle":"","family":"Yamatani","given":"Shoich","non-dropping-particle":"","parse-names":false,"suffix":""},{"dropping-particle":"","family":"Watahara","given":"Masashi","non-dropping-particle":"","parse-names":false,"suffix":""},{"dropping-particle":"","family":"Onodera","given":"Takashi","non-dropping-particle":"","parse-names":false,"suffix":""}],"container-title":"Veterinaria italiana","id":"ITEM-1","issue":"3","issued":{"date-parts":[["2009"]]},"page":"397-4</w:instrText>
            </w:r>
            <w:r w:rsidRPr="00C81B1E">
              <w:rPr>
                <w:rFonts w:eastAsia="Calibri"/>
                <w:lang w:val="es-ES" w:eastAsia="en-US"/>
              </w:rPr>
              <w:instrText>04","title":"Ecofeed, animal feed produced from recycled food waste","type":"article-journal","volume":"45"},"uris":["http://www.mendeley.com/documents/?uuid=2f2aa4ab-2ba2-4210-bdc0-90593e3907db"]}],"mendeley":{"formattedCitation":"(Sugiura et al., 2009)","manualFormatting":"Sugiura et al. (2009)","plainTextFormattedCitation":"(Sugiura et al., 2009)","previouslyFormattedCitation":"(Sugiura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Sugiura et al. (2009)</w:t>
            </w:r>
            <w:r w:rsidRPr="00C81B1E">
              <w:rPr>
                <w:rFonts w:eastAsia="Calibri"/>
                <w:lang w:val="en-GB" w:eastAsia="en-US"/>
              </w:rPr>
              <w:fldChar w:fldCharType="end"/>
            </w:r>
            <w:r w:rsidRPr="00C81B1E">
              <w:rPr>
                <w:rFonts w:eastAsia="Calibri"/>
                <w:lang w:val="es-ES" w:eastAsia="en-US"/>
              </w:rPr>
              <w:t xml:space="preserve">, AD: </w:t>
            </w:r>
            <w:r w:rsidRPr="00C81B1E">
              <w:rPr>
                <w:rFonts w:eastAsia="Calibri"/>
                <w:lang w:val="en-GB" w:eastAsia="en-US"/>
              </w:rPr>
              <w:fldChar w:fldCharType="begin" w:fldLock="1"/>
            </w:r>
            <w:r w:rsidRPr="00C81B1E">
              <w:rPr>
                <w:rFonts w:eastAsia="Calibri"/>
                <w:lang w:val="es-ES" w:eastAsia="en-US"/>
              </w:rPr>
              <w:instrText>ADDIN CSL_CITATION {"citationItems":[{"id":"ITEM-1","itemData":{"DOI":"10.1016/j.rser.2015.11.036","ISSN":"18790690","abstract":"Studies of waste-to-energy systems have applied a varying range of indicators to assess their sustainability. The sets of indicators prescribed were often based on the respective context and are therefore of varying emphasis. Through a literature review, this research aims to develop a framework of sustainability indicators that can serve as a reference for future research in waste-to-energy systems. Sustainability indicators and their underlying factors from the three pillars of sustainability were consolidated and structured under a proposed framework. As factors interlinking between the three pillars such as carbon schemes are critical for sustainability, they were identified and described within the framework. The proposed framework is extended with a lifecycle dimension to facilitate lifecycle sustainability assessments. This article presents a novel metric of sustainability (MOS). The proposed indicator framework and the MOS are applied in a case study to demonstrate their functions in sustainability assessments. The case highlighted the advantages of the MOS and the importance of considering systems from a more holistic perspective, especially in practice where sustainability issues tend to fall within and across boundaries of the economic, environmental and social lifecycles.","author":[{"dropping-particle":"","family":"Chong","given":"Yih Tng","non-dropping-particle":"","parse-names":false,"suffix":""},{"dropping-particle":"","family":"Teo","given":"Kwong Meng","non-dropping-particle":"","parse-names":false,"suffix":""},{"dropping-particle":"","family":"Tang","given":"Loon Ching","non-dropping-particle":"","parse-names":false,"suffix":""}],"container-title":"Renewable and Sustainable Energy Reviews","id":"ITEM-1","issued":{"date-parts":[["2016"]]},"page":"797-809","publisher":"Elsevier","title":"A lifecycle-based sustainability indicator framework for waste-to-energy systems and a proposed metric of sustainability","type":"article-journal","volume":"56"},"uris":["http://www.mendeley.com/documents/?uuid=ad936d33-3d49-46e6-9445-eced6da832c8"]}],"mendeley":{"formattedCitation":"(Chong et al., 2016)","manualFormatting":"Chong et al. (2016)","plainTextFormattedCitation":"(Chong et al., 2016)","previouslyFormattedCitation":"(Chong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Chong et al. (2016)</w:t>
            </w:r>
            <w:r w:rsidRPr="00C81B1E">
              <w:rPr>
                <w:rFonts w:eastAsia="Calibri"/>
                <w:lang w:val="en-GB" w:eastAsia="en-US"/>
              </w:rPr>
              <w:fldChar w:fldCharType="end"/>
            </w:r>
            <w:r w:rsidRPr="00C81B1E">
              <w:rPr>
                <w:rFonts w:eastAsia="Calibri"/>
                <w:lang w:val="es-ES" w:eastAsia="en-US"/>
              </w:rPr>
              <w:t xml:space="preserve">, C: </w:t>
            </w:r>
            <w:r w:rsidRPr="00C81B1E">
              <w:rPr>
                <w:rFonts w:eastAsia="Calibri"/>
                <w:lang w:val="en-GB" w:eastAsia="en-US"/>
              </w:rPr>
              <w:fldChar w:fldCharType="begin" w:fldLock="1"/>
            </w:r>
            <w:r w:rsidRPr="00C81B1E">
              <w:rPr>
                <w:rFonts w:eastAsia="Calibri"/>
                <w:lang w:val="es-ES" w:eastAsia="en-US"/>
              </w:rPr>
              <w:instrText>ADDIN CSL_CITATION {"citationItems":[{"id":"ITEM-1","itemData":{"DOI":"10.1016/j.rser.2015.11.036","ISSN":"18790690","abstract":"Studies of waste-to-energy systems have applied a varying range of indicators to assess their sustainability. The sets of indicators prescribed were often based on the respective context and are therefore of varying emphasis. Through a literature review, this research aims to develop a framework of sustainability indicators that can serve as a reference for future research in waste-to-energy systems. Sustainability indicators and their underlying factors from the three pillars of sustainability were consolidated and structured under a proposed framework. As factors interlinking between the three pillars such as carbon schemes are critical for sustainability, they were identified and described within the framework. The proposed framework is extended with a lifecycle dimension to facilitate lifecycle sustainability assessments. This article presents a novel metric of sustainability (MOS). The proposed indicator framework and the MOS are applied in a case study to demonstrate their functions in sustainability assessments. The case highlighted the advantages of the MOS and the importance of considering systems from a more holistic perspective, especially in practice where sustainability issues tend to fall within and across boundaries of the economic, environmental and social lifecycles.","author":[{"dropping-particle":"","family":"Chong","given":"Yih Tng","non-dropping-particle":"","parse-names":false,"suffix":""},{"dropping-particle":"","family":"Teo","given":"Kwong Meng","non-dropping-particle":"","parse-names":false,"suffix":""},{"dropping-particle":"","family":"Tang","given":"Loon Ching","non-dropping-particle":"","parse-names":false,"suffix":""}],"container-title":"Renewable and Sustainable Energy Reviews","id":"ITEM-1","issued":{"date-parts":[["2016"]]},"page":"797-809","publisher":"Elsevier","title":"A lifecycle-based sustainability indicator framework for waste-to-energy systems and a proposed metric of sustainability","type":"article-journal","volume":"56"},"uris":["http://www.mendeley.com/documents/?uuid=ad936d33-3d49-46e6-9445-eced6da832c8"]}],"mendeley":{"formattedCitation":"(Chong et al., 2016)","manualFormatting":"Chong et al. (2016)","plainTextFormattedCitation":"(Chong et al., 2016)","previouslyFormattedCitation":"(Chong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 xml:space="preserve">Chong et al. </w:t>
            </w:r>
            <w:r w:rsidRPr="00C81B1E">
              <w:rPr>
                <w:rFonts w:eastAsia="Calibri"/>
                <w:noProof/>
                <w:lang w:val="en-GB" w:eastAsia="en-US"/>
              </w:rPr>
              <w:t>(2016)</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{"citationItems":[{"id":"ITEM-1","itemData":{"DOI":"10.1016/j.rser.2015.11.036","ISSN":"18790690","abstract":"Studies of waste-to-energy systems have applied a varying range of indicators to assess their sustainability. The sets of indicators prescribed were often based on the respective context and are therefore of varying emphasis. Through a literature review, this research aims to develop a framework of sustainability indicators that can serve as a reference for future research in waste-to-energy systems. Sustainability indicators and their underlying factors from the three pillars of sustainability were consolidated and structured under a proposed framework. As factors interlinking between the three pillars such as carbon schemes are critical for sustainability, they were identified and described within the framework. The proposed framework is extended with a lifecycle dimension to facilitate lifecycle sustainability assessments. This article presents a novel metric of sustainability (MOS). The proposed indicator framework and the MOS are applied in a case study to demonstrate their functions in sustainability assessments. The case highlighted the advantages of the MOS and the importance of considering systems from a more holistic perspective, especially in practice where sustainability issues tend to fall within and across boundaries of the economic, environmental and social lifecycles.","author":[{"dropping-particle":"","family":"Chong","given":"Yih Tng","non-dropping-particle":"","parse-names":false,"suffix":""},{"dropping-particle":"","family":"Teo","given":"Kwong Meng","non-dropping-particle":"","parse-names":false,"suffix":""},{"dropping-particle":"","family":"Tang","given":"Loon Ching","non-dropping-particle":"","parse-names":false,"suffix":""}],"container-title":"Renewable and Sustainable Energy Reviews","id":"ITEM-1","issued":{"date-parts":[["2016"]]},"page":"797-809","publisher":"Elsevier","title":"A lifecycle-based sustainability indicator framework for waste-to-energy systems and a proposed metric of sustainability","type":"article-journal","volume":"56"},"uris":["http://www.mendeley.com/documents/?uuid=ad936d33-3d49-46e6-9445-eced6da832c8"]}],"mendeley":{"formattedCitation":"(Chong et al., 2016)","manualFormatting":"Chong et al. (2016)","plainTextFormattedCitation":"(Chong et al., 2016)","previouslyFormattedCitation":"(Chong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Chong et al. (2016)</w:t>
            </w:r>
            <w:r w:rsidRPr="00C81B1E">
              <w:rPr>
                <w:rFonts w:eastAsia="Calibri"/>
                <w:lang w:val="en-GB" w:eastAsia="en-US"/>
              </w:rPr>
              <w:fldChar w:fldCharType="end"/>
            </w:r>
          </w:p>
        </w:tc>
      </w:tr>
      <w:tr w:rsidR="00C81B1E" w:rsidRPr="00C81B1E" w14:paraId="2C03D852" w14:textId="77777777" w:rsidTr="00C81B1E">
        <w:trPr>
          <w:trHeight w:val="255"/>
        </w:trPr>
        <w:tc>
          <w:tcPr>
            <w:tcW w:w="1266" w:type="dxa"/>
            <w:shd w:val="clear" w:color="auto" w:fill="auto"/>
            <w:noWrap/>
            <w:vAlign w:val="center"/>
            <w:hideMark/>
          </w:tcPr>
          <w:p w14:paraId="282F3BB5"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Job creation</w:t>
            </w:r>
          </w:p>
        </w:tc>
        <w:tc>
          <w:tcPr>
            <w:tcW w:w="1812" w:type="dxa"/>
            <w:shd w:val="clear" w:color="auto" w:fill="auto"/>
            <w:noWrap/>
            <w:vAlign w:val="center"/>
            <w:hideMark/>
          </w:tcPr>
          <w:p w14:paraId="37125197" w14:textId="77777777" w:rsidR="00C7764C" w:rsidRPr="00C81B1E" w:rsidRDefault="00C7764C" w:rsidP="00C81B1E">
            <w:pPr>
              <w:pStyle w:val="MDPI42tablebody"/>
              <w:rPr>
                <w:rFonts w:eastAsia="Calibri"/>
                <w:lang w:val="en-GB" w:eastAsia="en-US"/>
              </w:rPr>
            </w:pPr>
            <w:r w:rsidRPr="00C81B1E">
              <w:rPr>
                <w:rFonts w:eastAsia="Calibri"/>
                <w:lang w:val="en-GB" w:eastAsia="en-US"/>
              </w:rPr>
              <w:t>Yes (number of people benefitted / tonne) / No</w:t>
            </w:r>
          </w:p>
        </w:tc>
        <w:tc>
          <w:tcPr>
            <w:tcW w:w="881" w:type="dxa"/>
            <w:shd w:val="clear" w:color="auto" w:fill="auto"/>
            <w:noWrap/>
            <w:vAlign w:val="center"/>
            <w:hideMark/>
          </w:tcPr>
          <w:p w14:paraId="54D0E898" w14:textId="77777777" w:rsidR="00C7764C" w:rsidRPr="00C81B1E" w:rsidRDefault="00C7764C" w:rsidP="00C81B1E">
            <w:pPr>
              <w:pStyle w:val="MDPI42tablebody"/>
              <w:rPr>
                <w:rFonts w:eastAsia="Calibri"/>
                <w:lang w:val="en-GB" w:eastAsia="en-US"/>
              </w:rPr>
            </w:pPr>
            <w:r w:rsidRPr="00C81B1E">
              <w:rPr>
                <w:rFonts w:eastAsia="Calibri"/>
                <w:lang w:val="en-GB" w:eastAsia="en-US"/>
              </w:rPr>
              <w:t>R, AF, AD, C, TT</w:t>
            </w:r>
          </w:p>
        </w:tc>
        <w:tc>
          <w:tcPr>
            <w:tcW w:w="5113" w:type="dxa"/>
            <w:shd w:val="clear" w:color="auto" w:fill="auto"/>
            <w:noWrap/>
            <w:vAlign w:val="center"/>
            <w:hideMark/>
          </w:tcPr>
          <w:p w14:paraId="6D77E7C8" w14:textId="77777777" w:rsidR="00C7764C" w:rsidRPr="00C81B1E" w:rsidRDefault="00C7764C" w:rsidP="00C81B1E">
            <w:pPr>
              <w:pStyle w:val="MDPI42tablebody"/>
              <w:rPr>
                <w:rFonts w:eastAsia="Calibri"/>
                <w:lang w:val="en-GB" w:eastAsia="en-US"/>
              </w:rPr>
            </w:pPr>
            <w:r w:rsidRPr="00C81B1E">
              <w:rPr>
                <w:rFonts w:eastAsia="Calibri"/>
                <w:lang w:val="es-ES" w:eastAsia="en-US"/>
              </w:rPr>
              <w:t xml:space="preserve">R: </w:t>
            </w:r>
            <w:r w:rsidRPr="00C81B1E">
              <w:rPr>
                <w:rFonts w:eastAsia="Calibri"/>
                <w:lang w:val="en-GB" w:eastAsia="en-US"/>
              </w:rPr>
              <w:fldChar w:fldCharType="begin" w:fldLock="1"/>
            </w:r>
            <w:r w:rsidRPr="00C81B1E">
              <w:rPr>
                <w:rFonts w:eastAsia="Calibri"/>
                <w:lang w:val="es-ES" w:eastAsia="en-US"/>
              </w:rPr>
              <w:instrText>ADDIN CSL_CITATION {"citationItems":[{"id":"ITEM-1","itemData":{"author":[{"dropping-particle":"","family":"Buksti","given":"Michael","non-dropping-particle":"","parse-names":false,"suffix":""},{"dropping-particle":"","family":"Fremming","given":"Thomas","non-dropping-particle":"","parse-names":false,"suffix":""},{"dropping-particle":"","family":"Juul","given":"Selina","non-dropping-particle":"","parse-names":false,"suffix":""},{"dropping-particle":"","family":"Grandjean","given":"Frans","non-dropping-particle":"","parse-names":false,"suffix":""},{"dropping-particle":"","family":"Christensen","given":"Sidsel","non-dropping-particle":"","parse-names":false,"suffix":""}],"id":"ITEM-1","issue":"September","issued":{"date-parts":[["2015"]]},"publisher-place":"Wageningen (The Netherlands)","title":"Surplus Food Redistribution System. Feasibility Final Report","type":"report"},"uris":["http://www.mendeley.com/documents/?uuid=6de6977d-c718-40fd-8a88-07e0ef57fd70"]}],"mendeley":{"formattedCitation":"(Buksti et al., 2015)","manualFormatting":"Buksti et al. (2015)","plainTextFormattedCitation":"(Buksti et al., 2015)","previouslyFormattedCitation":"(Buksti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Buksti et al. (2015)</w:t>
            </w:r>
            <w:r w:rsidRPr="00C81B1E">
              <w:rPr>
                <w:rFonts w:eastAsia="Calibri"/>
                <w:lang w:val="en-GB" w:eastAsia="en-US"/>
              </w:rPr>
              <w:fldChar w:fldCharType="end"/>
            </w:r>
            <w:r w:rsidRPr="00C81B1E">
              <w:rPr>
                <w:rFonts w:eastAsia="Calibri"/>
                <w:lang w:val="es-ES" w:eastAsia="en-US"/>
              </w:rPr>
              <w:t xml:space="preserve">, AF: </w:t>
            </w:r>
            <w:r w:rsidRPr="00C81B1E">
              <w:rPr>
                <w:rFonts w:eastAsia="Calibri"/>
                <w:lang w:val="en-GB" w:eastAsia="en-US"/>
              </w:rPr>
              <w:fldChar w:fldCharType="begin" w:fldLock="1"/>
            </w:r>
            <w:r w:rsidRPr="00C81B1E">
              <w:rPr>
                <w:rFonts w:eastAsia="Calibri"/>
                <w:lang w:val="es-ES" w:eastAsia="en-US"/>
              </w:rPr>
              <w:instrText>ADDIN CSL_CITATION {"citationItems":[{"id":"ITEM-1","itemData":{"abstract":"This annual publication provides an overview of agriculture in the UK. It contains an extensive range of data including farm incomes, land use, livestock numbers, prices, production of key commodities (eg wheat, milk, vegetables), overseas trade, organic farming and the environment. The information is used widely by government, industry, researchers and other stakeholders to support policy monitoring and development.","author":[{"dropping-particle":"","family":"Defra","given":"","non-dropping-particle":"","parse-names":false,"suffix":""},{"dropping-particle":"","family":"Department of Agriculture Environment and Rural Affairs (Northern Ireland)","given":"","non-dropping-particle":"","parse-names":false,"suffix":""},{"dropping-particle":"","family":"Welsh Assembly Government","given":"","non-dropping-particle":"","parse-names":false,"suffix":""},{"dropping-particle":"","family":"The Scottish Government","given":"","non-dropping-particle":"","parse-names":false,"suffix":""}],"id":"ITEM-1","issued":{"date-parts":[["2016"]]},"title":"Agriculture in the United Kingdom 2015","type":"article-journal"},"uris":["http://www.mendeley.com/documents/?uuid=a475f5a0-fa4a-4eac-8ab4-368c31fa1bba"]}],"mendeley":{"formattedCitation":"(Defra et al., 2016)","manualFormatting":"Defra et al. (2016)","plainTextFormattedCitation":"(Defra et al., 2016)","previouslyFormattedCitation":"(Defra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s-ES" w:eastAsia="en-US"/>
              </w:rPr>
              <w:t xml:space="preserve">Defra et al. </w:t>
            </w:r>
            <w:r w:rsidRPr="00C81B1E">
              <w:rPr>
                <w:rFonts w:eastAsia="Calibri"/>
                <w:noProof/>
                <w:lang w:val="en-GB" w:eastAsia="en-US"/>
              </w:rPr>
              <w:t>(2016)</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{"citationItems":[{"id":"ITEM-1","itemData":{"ISBN":"9783906484587","abstract":"SW&amp;C-04\\nThe publication presents anaerobic digestion with biogas production as a solution to organic waste treatment. basic information about suitable feedstock, anaerobic digestion technologies, processes and plant operation as well as the utilization of biogas and effluent are described. On top of that, the publication analyses costs-and benefits, environmental as well as socio-cultural aspects of this approach and presents a number of Case Studies from Asia, Africa, and Latin America.","author":[{"dropping-particle":"","family":"Vögeli","given":"Yvonne","non-dropping-particle":"","parse-names":false,"suffix":""},{"dropping-particle":"","family":"Riu","given":"Christian","non-dropping-particle":"","parse-names":false,"suffix":""},{"dropping-particle":"","family":"Gallardo","given":"Amalia","non-dropping-particle":"","parse-names":false,"suffix":""},{"dropping-particle":"","family":"Diener","given":"Stefan","non-dropping-particle":"","parse-names":false,"suffix":""},{"dropping-particle":"","family":"Zurbrügg","given":"Christian","non-dropping-particle":"","parse-names":false,"suffix":""}],"id":"ITEM-1","issued":{"date-parts":[["2014"]]},"publisher":"Swiss Federal Institute of Aquatic Science and Technology (Eawag)","publisher-place":"Dübendorf (Switzerland)","title":"Anaerobic digestion of biowaste in developing countries. Practical information and case studies","type":"book"},"uris":["http://www.mendeley.com/documents/?uuid=34e3c271-c743-45ba-b136-467fc88d9b90"]}],"mendeley":{"formattedCitation":"(Vögeli et al., 2014)","manualFormatting":"Vögeli et al. (2014)","plainTextFormattedCitation":"(Vögeli et al., 2014)","previouslyFormattedCitation":"(Vögeli et al.,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Vögeli et al.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{"citationItems":[{"id":"ITEM-1","itemData":{"ISBN":"9783906484365","abstract":"Urban solid waste management is considered to be one of the most immediate and serious environmental problems confronting urban governments in developing countries. The severity of this challenge will increase in the future given the trends of rapid urbanisation and growth in urban population. Inadequate collection and disposal of waste poses a serious health risk to the population and is an obvious cause of environmental degradation in most cities of the developing world. With growing public pressure and environmental legislation, the waste experts are being called upon to develop more sustainable methods of dealing with municipal waste. One step in improving the current solid waste situation is enhancing resource recovering activities. Recycling inorganic materials from municipal solid waste is often well developed by the activities of the informal sector. Reuse of organic waste material however, often contributing to more than 50% of the total waste amount, is still fairly limited but has interesting recovery potential. Coupled with approaches to reduce reliance on landfill as a disposal route, biological treatment is increasingly becoming adopted as a standard requirement for the vast majority of biodegradable wastes. This book deals with such urban organic municipal wastes from households, commercial activities, institutions, as well as gardens and parks. It describes approaches and methods of composting on neighbourhood level in small -and middle- scale plants. It considers issues of primary waste collection, composting methods, management systems, occupational health, product quality, marketing and end - user demands.","author":[{"dropping-particle":"","family":"Rothenberger","given":"Silke","non-dropping-particle":"","parse-names":false,"suffix":""},{"dropping-particle":"","family":"Zurbrügg","given":"Christian","non-dropping-particle":"","parse-names":false,"suffix":""},{"dropping-particle":"","family":"Enayetullah","given":"Iftekhar","non-dropping-particle":"","parse-names":false,"suffix":""},{"dropping-particle":"","family":"Sinha","given":"a H Md Maqsood","non-dropping-particle":"","parse-names":false,"suffix":""}],"id":"ITEM-1","issued":{"date-parts":[["2006"]]},"publisher":"Waste Concern","title":"Decentralised Composting for Cities of Low- and Middle- Income Countries","type":"report"},"uris":["http://www.mendeley.com/documents/?uuid=b68f49db-b881-457a-828c-c06442c121a9"]}],"mendeley":{"formattedCitation":"(Rothenberger et al., 2006)","manualFormatting":"Rothenberger et al. (2006)","plainTextFormattedCitation":"(Rothenberger et al., 2006)","previouslyFormattedCitation":"(Rothenberger et al., 2006)"},"properties":{"noteIndex":0},"schema":"https://github.com/citation-style-language/schema/raw/master/csl-citation.json"}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Rothenberger et al. (2006)</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{"citationItems":[{"id":"ITEM-1","itemData":{"abstract":"As the UK and the rest of Europe attempt to recover from the global financial crisis and the consequent recession, we are entering a period in which Governments are urgently seeking solutions to curtail the size of the public sector, whilst encouraging innovation and enterprise by a hesitant private sector. At the same time, despite the failure of Copenhagen, the imperative of climate change and the need to advance to a low carbon economy remains undimmed and urgent. Our view is that these challenges can be met together. We have an opportunity to create valuable and sustainable ‘green jobs’ and this is even more important in the present economic situation. At a time when overall government spending on the environment is set to fall, the recycling and reuse sector can make a major contribution to the green economy. In this report, we have identified the contribution of the recycling sector and its supply chain over the last decade and tracked the growth of employment in this sector as recycling rates and tonnages have increased. We have examined previous studies from the UK, EU and United States to establish trends and identify inconsistencies. There are limitations both on the quality and quantity of data on employment and waste generation both in the UK and EU. However, we have used the best available data and a transparent and defensible methodology to estimate the potential employment creation contribution the resource management industry could deliver if much higher targets for recycling and reuse were implemented. This has taken account of potential incremental direct employment, indirect, and induced employment but has not quantified displaced jobs in sectors less in demand in the new low carbon economy, such as landfill. On a European level, if a target of 70% for recycling of key materials was met, conservative estimates suggest that across the EU27 up to 322,000 direct jobs could be created in recycling an additional 115 million tonnes of glass, paper, plastic, ferrous and non ferrous metals, wood, textiles and biowaste. These jobs would have knock on effects in down and upstream sectors and the wider economy and could create 160,900 new indirect jobs and 80,400 induced jobs. The total potential is therefore for more than 563,000 net new jobs. For the United Kingdom, if an ambitious but achievable recycling target of 70% for municipal waste was set and achieved by 2025, then conservative estimates suggest that across the UK this could create 29…","author":[{"dropping-particle":"","family":"Friends of the Earth","given":"","non-dropping-particle":"","parse-names":false,"suffix":""}],"id":"ITEM-1","issue":"September","issued":{"date-parts":[["2010"]]},"title":"More jobs, less waste: Potential for job creation through higher rates of recycling in the UK and EU","type":"article-journal"},"uris":["http://www.mendeley.com/documents/?uuid=d2fb6c37-7644-4ffa-941b-4a809ff88ff0"]}],"mendeley":{"formattedCitation":"(Friends of the Earth, 2010)","manualFormatting":"Friends of the Earth (2010)","plainTextFormattedCitation":"(Friends of the Earth, 2010)","previouslyFormattedCitation":"(Friends of the Earth, 2010)"},"properties":{"noteIndex":0},"schema":"https://github.com/citation-style-language/schema/raw/master/csl-citation.json"}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Friends of the Earth (2010)</w:t>
            </w:r>
            <w:r w:rsidRPr="00C81B1E">
              <w:rPr>
                <w:rFonts w:eastAsia="Calibri"/>
                <w:lang w:val="en-GB" w:eastAsia="en-US"/>
              </w:rPr>
              <w:fldChar w:fldCharType="end"/>
            </w:r>
          </w:p>
        </w:tc>
      </w:tr>
      <w:tr w:rsidR="00C81B1E" w:rsidRPr="00C81B1E" w14:paraId="2CF00F75" w14:textId="77777777" w:rsidTr="00C81B1E">
        <w:trPr>
          <w:trHeight w:val="255"/>
        </w:trPr>
        <w:tc>
          <w:tcPr>
            <w:tcW w:w="1266" w:type="dxa"/>
            <w:tcBorders>
              <w:top w:val="single" w:sz="4" w:space="0" w:color="7F7F7F"/>
              <w:bottom w:val="single" w:sz="4" w:space="0" w:color="7F7F7F"/>
            </w:tcBorders>
            <w:shd w:val="clear" w:color="auto" w:fill="auto"/>
            <w:noWrap/>
            <w:vAlign w:val="center"/>
            <w:hideMark/>
          </w:tcPr>
          <w:p w14:paraId="2A8E9496"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Noise</w:t>
            </w:r>
          </w:p>
        </w:tc>
        <w:tc>
          <w:tcPr>
            <w:tcW w:w="1812" w:type="dxa"/>
            <w:tcBorders>
              <w:top w:val="single" w:sz="4" w:space="0" w:color="7F7F7F"/>
              <w:bottom w:val="single" w:sz="4" w:space="0" w:color="7F7F7F"/>
            </w:tcBorders>
            <w:shd w:val="clear" w:color="auto" w:fill="auto"/>
            <w:noWrap/>
            <w:vAlign w:val="center"/>
            <w:hideMark/>
          </w:tcPr>
          <w:p w14:paraId="3AE70D51" w14:textId="77777777" w:rsidR="00C7764C" w:rsidRPr="00C81B1E" w:rsidRDefault="00C7764C" w:rsidP="00C81B1E">
            <w:pPr>
              <w:pStyle w:val="MDPI42tablebody"/>
              <w:rPr>
                <w:rFonts w:eastAsia="Calibri"/>
                <w:lang w:val="en-GB" w:eastAsia="en-US"/>
              </w:rPr>
            </w:pPr>
            <w:r w:rsidRPr="00C81B1E">
              <w:rPr>
                <w:rFonts w:eastAsia="Calibri"/>
                <w:lang w:val="en-GB" w:eastAsia="en-US"/>
              </w:rPr>
              <w:t>dB</w:t>
            </w:r>
          </w:p>
        </w:tc>
        <w:tc>
          <w:tcPr>
            <w:tcW w:w="881" w:type="dxa"/>
            <w:tcBorders>
              <w:top w:val="single" w:sz="4" w:space="0" w:color="7F7F7F"/>
              <w:bottom w:val="single" w:sz="4" w:space="0" w:color="7F7F7F"/>
            </w:tcBorders>
            <w:shd w:val="clear" w:color="auto" w:fill="auto"/>
            <w:noWrap/>
            <w:vAlign w:val="center"/>
            <w:hideMark/>
          </w:tcPr>
          <w:p w14:paraId="4CF6B990" w14:textId="77777777" w:rsidR="00C7764C" w:rsidRPr="00C81B1E" w:rsidRDefault="00C7764C" w:rsidP="00C81B1E">
            <w:pPr>
              <w:pStyle w:val="MDPI42tablebody"/>
              <w:rPr>
                <w:rFonts w:eastAsia="Calibri"/>
                <w:lang w:val="en-GB" w:eastAsia="en-US"/>
              </w:rPr>
            </w:pPr>
            <w:r w:rsidRPr="00C81B1E">
              <w:rPr>
                <w:rFonts w:eastAsia="Calibri"/>
                <w:lang w:val="en-GB" w:eastAsia="en-US"/>
              </w:rPr>
              <w:t>T, AD, C, TT</w:t>
            </w:r>
          </w:p>
        </w:tc>
        <w:tc>
          <w:tcPr>
            <w:tcW w:w="5113" w:type="dxa"/>
            <w:tcBorders>
              <w:top w:val="single" w:sz="4" w:space="0" w:color="7F7F7F"/>
              <w:bottom w:val="single" w:sz="4" w:space="0" w:color="7F7F7F"/>
            </w:tcBorders>
            <w:shd w:val="clear" w:color="auto" w:fill="auto"/>
            <w:noWrap/>
            <w:vAlign w:val="center"/>
            <w:hideMark/>
          </w:tcPr>
          <w:p w14:paraId="30399AB0"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T: </w:t>
            </w: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oer","given":"Eelco","non-dropping-particle":"den","parse-names":false,"suffix":""},{"dropping-particle":"","family":"Brouwer","given":"Femke","non-dropping-particle":"","parse-names":false,"suffix":""},{"dropping-particle":"","family":"Schroten","given":"Arno","non-dropping-particle":"","parse-names":false,"suffix":""},{"dropping-particle":"","family":"Essen","given":"Huib","non-dropping-particle":"van","parse-names":false,"suffix":""}],"container-title":"CE Delft","id":"ITEM-1","issue":"January","issued":{"date-parts":[["2009"]]},"publisher-place":"Delft (The Netherlands)","title":"Are trucks taking their toll? The environmental, safety and congestion impacts of lorries in the EU","type":"report"},"uris":["http://www.mendeley.com/documents/?uuid=0a2a7979-9117-494f-a663-f531463bad76"]}],"mendeley":{"formattedCitation":"(den Boer et al., 2009)","manualFormatting":"den Boer et al. (2009)","plainTextFormattedCitation":"(den Boer et al., 2009)","previouslyFormattedCitation":"(den Boer et al., 2009)"},"properties":{"noteIndex":0},"schema":"https://github.com/citation-style-language/schema/raw/master/csl-citation.json"}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den Boer et al. (2009)</w:t>
            </w:r>
            <w:r w:rsidRPr="00C81B1E">
              <w:rPr>
                <w:rFonts w:eastAsia="Calibri"/>
                <w:lang w:val="en-GB" w:eastAsia="en-US"/>
              </w:rPr>
              <w:fldChar w:fldCharType="end"/>
            </w:r>
            <w:r w:rsidRPr="00C81B1E">
              <w:rPr>
                <w:rFonts w:eastAsia="Calibri"/>
                <w:lang w:val="en-GB" w:eastAsia="en-US"/>
              </w:rPr>
              <w:t xml:space="preserve">, 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{"citationItems":[{"id":"ITEM-1","itemData":{"DOI":"10.1016/j.renene.2014.05.055","ISBN":"0960-1481","ISSN":"09601481","abstract":"To fully model the anaerobic digestion process, biological and physico-chemical background, the kinetics of bacterial growth, substrate degradation and product formation have to be taken into account. The presented approaches differ depending on the requirements and the developer of the model. Important parameters affecting the process such as temperature, which can cause great inaccuracy, are rarely included in the models. Simple calculators are also available that estimate the applicability of the process to a specific farm and provide information to a farmer or a decision maker. Six simple calculators are presented in this study: AD decision support software, Anaerobic Digestion Economic Assessment Tool, BEAT2, BioGC, FarmWare and GasTheo. The simpler calculators mainly use the relation that exists between volatile solids and biogas production. A tested case of 100 dairy cows and 50 sows was applied to the simple calculators to compare the results. © 2014 Elsevier Ltd.","author":[{"dropping-particle":"","family":"Kythreotou","given":"Nicoletta","non-dropping-particle":"","parse-names":false,"suffix":""},{"dropping-particle":"","family":"Florides","given":"Georgios","non-dropping-particle":"","parse-names":false,"suffix":""},{"dropping-particle":"","family":"Tassou","given":"Savvas a.","non-dropping-particle":"","parse-names":false,"suffix":""}],"container-title":"Renewable Energy","id":"ITEM-1","issued":{"date-parts":[["2014"]]},"page":"701-714","publisher":"Elsevier Ltd","title":"A review of simple to scientific models for anaerobic digestion","type":"article-journal","volume":"71"},"uris":["http://www.mendeley.com/documents/?uuid=548325b4-f36c-4060-a8a4-b5fbbfa26b72"]}],"mendeley":{"formattedCitation":"(Kythreotou et al., 2014)","manualFormatting":"Kythreotou et al. (2014)","plainTextFormattedCitation":"(Kythreotou et al., 2014)","previouslyFormattedCitation":"(Kythreotou et al., 2014)"},"properties":{"noteIndex":0},"schema":"https://github.com/citation-style-language/schema/raw/master/csl-citation.json"}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Kythreotou et al. (2014)</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{"citationItems":[{"id":"ITEM-1","itemData":{"abstract":"Composting is controlled decomposition, the natural breakdown process of organic residues. Composting transforms raw organic waste materials into biologically stable, humic substances that make excellent soil amendments. Compost is easier to handle than manure and other raw organic materials, stores well and is odor-free.","author":[{"dropping-particle":"","family":"Cooperband","given":"Leslie","non-dropping-particle":"","parse-names":false,"suffix":""}],"id":"ITEM-1","issued":{"date-parts":[["2002"]]},"title":"The art and science of composting. A resource for farmers and compost producers","type":"report"},"uris":["http://www.mendeley.com/documents/?uuid=36644cb7-2d3a-4846-831f-18a99a16be63"]}],"mendeley":{"formattedCitation":"(Cooperband, 2002)","manualFormatting":"Cooperband (2002)","plainTextFormattedCitation":"(Cooperband, 2002)","previouslyFormattedCitation":"(Cooperband, 2002)"},"properties":{"noteIndex":0},"schema":"https://github.com/citation-style-language/schema/raw/master/csl-citation.json"}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Cooperband (2002)</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{"citationItems":[{"id":"ITEM-1","itemData":{"abstract":"This project deals with combustion installations with a rated thermal\\ninput exceeding 50 MW. Plants with a thermal input lower than 50\\nMW are, however, discussed where technically relevant because smaller\\nunits can potentially be added to a plant to build one larger installation\\nexceeding 50 MW. All kinds of conventional power plants (e.g. utility\\nboiler plants, combined heat and power plants, district heating plants)\\nused for mechanical power and heat generation are covered in this\\nwork. Industrial combustion installations are covered if they use\\nconventional fuel. The commercial availability of the fuel on the\\nmarket has been used as an indicator to identify conventional fuels.\\nThe criterion for classifying a fuel as a 'conventional fuel' is\\na known composition which remains relatively constant, and indeed\\nis usually standardised. Coal, lignite, biomass, peat, liquid and\\ngaseous fuels (including hydrogen and biogas) are regarded as conventional\\nfuels. The use of waste as a secondary fuel is also covered in this\\nwork.","author":[{"dropping-particle":"","family":"European Commission","given":"","non-dropping-particle":"","parse-names":false,"suffix":""}],"container-title":"Integrated Pollution Prevention Control","id":"ITEM-1","issue":"August","issued":{"date-parts":[["2006"]]},"title":"Reference Document on the Best Available Techniques for Waste Incineration","type":"article-journal"},"uris":["http://www.mendeley.com/documents/?uuid=cafb8d98-221f-4574-9995-e04c7a48fca0"]}],"mendeley":{"formattedCitation":"(European Commission, 2006a)","manualFormatting":"European Commission (2006c)","plainTextFormattedCitation":"(European Commission, 2006a)","previouslyFormattedCitation":"(European Commission, 2006a)"},"properties":{"noteIndex":0},"schema":"https://github.com/citation-style-language/schema/raw/master/csl-citation.json"}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European Commission (2006c)</w:t>
            </w:r>
            <w:r w:rsidRPr="00C81B1E">
              <w:rPr>
                <w:rFonts w:eastAsia="Calibri"/>
                <w:lang w:val="en-GB" w:eastAsia="en-US"/>
              </w:rPr>
              <w:fldChar w:fldCharType="end"/>
            </w:r>
          </w:p>
        </w:tc>
      </w:tr>
      <w:tr w:rsidR="00C81B1E" w:rsidRPr="00C81B1E" w14:paraId="391DD59A" w14:textId="77777777" w:rsidTr="00C81B1E">
        <w:trPr>
          <w:trHeight w:val="255"/>
        </w:trPr>
        <w:tc>
          <w:tcPr>
            <w:tcW w:w="1266" w:type="dxa"/>
            <w:shd w:val="clear" w:color="auto" w:fill="auto"/>
            <w:noWrap/>
            <w:vAlign w:val="center"/>
            <w:hideMark/>
          </w:tcPr>
          <w:p w14:paraId="108DB3DA"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NIMBY syndrome</w:t>
            </w:r>
          </w:p>
        </w:tc>
        <w:tc>
          <w:tcPr>
            <w:tcW w:w="1812" w:type="dxa"/>
            <w:shd w:val="clear" w:color="auto" w:fill="auto"/>
            <w:noWrap/>
            <w:vAlign w:val="center"/>
            <w:hideMark/>
          </w:tcPr>
          <w:p w14:paraId="27397C73" w14:textId="77777777" w:rsidR="00C7764C" w:rsidRPr="00C81B1E" w:rsidRDefault="00C7764C" w:rsidP="00C81B1E">
            <w:pPr>
              <w:pStyle w:val="MDPI42tablebody"/>
              <w:rPr>
                <w:rFonts w:eastAsia="Calibri"/>
                <w:lang w:val="en-GB" w:eastAsia="en-US"/>
              </w:rPr>
            </w:pPr>
            <w:r w:rsidRPr="00C81B1E">
              <w:rPr>
                <w:rFonts w:eastAsia="Calibri"/>
                <w:lang w:val="en-GB" w:eastAsia="en-US"/>
              </w:rPr>
              <w:t>Yes (number of people affected/tonne) / No</w:t>
            </w:r>
          </w:p>
        </w:tc>
        <w:tc>
          <w:tcPr>
            <w:tcW w:w="881" w:type="dxa"/>
            <w:shd w:val="clear" w:color="auto" w:fill="auto"/>
            <w:noWrap/>
            <w:vAlign w:val="center"/>
            <w:hideMark/>
          </w:tcPr>
          <w:p w14:paraId="636821D7" w14:textId="77777777" w:rsidR="00C7764C" w:rsidRPr="00C81B1E" w:rsidRDefault="00C7764C" w:rsidP="00C81B1E">
            <w:pPr>
              <w:pStyle w:val="MDPI42tablebody"/>
              <w:rPr>
                <w:rFonts w:eastAsia="Calibri"/>
                <w:lang w:val="en-GB" w:eastAsia="en-US"/>
              </w:rPr>
            </w:pPr>
            <w:r w:rsidRPr="00C81B1E">
              <w:rPr>
                <w:rFonts w:eastAsia="Calibri"/>
                <w:lang w:val="en-GB" w:eastAsia="en-US"/>
              </w:rPr>
              <w:t>AD, C, TT</w:t>
            </w:r>
          </w:p>
        </w:tc>
        <w:tc>
          <w:tcPr>
            <w:tcW w:w="5113" w:type="dxa"/>
            <w:shd w:val="clear" w:color="auto" w:fill="auto"/>
            <w:noWrap/>
            <w:vAlign w:val="center"/>
            <w:hideMark/>
          </w:tcPr>
          <w:p w14:paraId="2CE71BAF"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AD: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{"citationItems":[{"id":"ITEM-1","itemData":{"DOI":"10.1016/j.rser.2015.11.036","ISSN":"18790690","abstract":"Studies of waste-to-energy systems have applied a varying range of indicators to assess their sustainability. The sets of indicators prescribed were often based on the respective context and are therefore of varying emphasis. Through a literature review, this research aims to develop a framework of sustainability indicators that can serve as a reference for future research in waste-to-energy systems. Sustainability indicators and their underlying factors from the three pillars of sustainability were consolidated and structured under a proposed framework. As factors interlinking between the three pillars such as carbon schemes are critical for sustainability, they were identified and described within the framework. The proposed framework is extended with a lifecycle dimension to facilitate lifecycle sustainability assessments. This article presents a novel metric of sustainability (MOS). The proposed indicator framework and the MOS are applied in a case study to demonstrate their functions in sustainability assessments. The case highlighted the advantages of the MOS and the importance of considering systems from a more holistic perspective, especially in practice where sustainability issues tend to fall within and across boundaries of the economic, environmental and social lifecycles.","author":[{"dropping-particle":"","family":"Chong","given":"Yih Tng","non-dropping-particle":"","parse-names":false,"suffix":""},{"dropping-particle":"","family":"Teo","given":"Kwong Meng","non-dropping-particle":"","parse-names":false,"suffix":""},{"dropping-particle":"","family":"Tang","given":"Loon Ching","non-dropping-particle":"","parse-names":false,"suffix":""}],"container-title":"Renewable and Sustainable Energy Reviews","id":"ITEM-1","issued":{"date-parts":[["2016"]]},"page":"797-809","publisher":"Elsevier","title":"A lifecycle-based sustainability indicator framework for waste-to-energy systems and a proposed metric of sustainability","type":"article-journal","volume":"56"},"uris":["http://www.mendeley.com/documents/?uuid=ad936d33-3d49-46e6-9445-eced6da832c8"]}],"mendeley":{"formattedCitation":"(Chong et al., 2016)","manualFormatting":"Chong et al. (2016)","plainTextFormattedCitation":"(Chong et al., 2016)","previouslyFormattedCitation":"(Chong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Chong et al. (2016)</w:t>
            </w:r>
            <w:r w:rsidRPr="00C81B1E">
              <w:rPr>
                <w:rFonts w:eastAsia="Calibri"/>
                <w:lang w:val="en-GB" w:eastAsia="en-US"/>
              </w:rPr>
              <w:fldChar w:fldCharType="end"/>
            </w:r>
            <w:r w:rsidRPr="00C81B1E">
              <w:rPr>
                <w:rFonts w:eastAsia="Calibri"/>
                <w:lang w:val="en-GB" w:eastAsia="en-US"/>
              </w:rPr>
              <w:t xml:space="preserve">, C: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{"citationItems":[{"id":"ITEM-1","itemData":{"DOI":"10.1016/j.rser.2015.11.036","ISSN":"18790690","abstract":"Studies of waste-to-energy systems have applied a varying range of indicators to assess their sustainability. The sets of indicators prescribed were often based on the respective context and are therefore of varying emphasis. Through a literature review, this research aims to develop a framework of sustainability indicators that can serve as a reference for future research in waste-to-energy systems. Sustainability indicators and their underlying factors from the three pillars of sustainability were consolidated and structured under a proposed framework. As factors interlinking between the three pillars such as carbon schemes are critical for sustainability, they were identified and described within the framework. The proposed framework is extended with a lifecycle dimension to facilitate lifecycle sustainability assessments. This article presents a novel metric of sustainability (MOS). The proposed indicator framework and the MOS are applied in a case study to demonstrate their functions in sustainability assessments. The case highlighted the advantages of the MOS and the importance of considering systems from a more holistic perspective, especially in practice where sustainability issues tend to fall within and across boundaries of the economic, environmental and social lifecycles.","author":[{"dropping-particle":"","family":"Chong","given":"Yih Tng","non-dropping-particle":"","parse-names":false,"suffix":""},{"dropping-particle":"","family":"Teo","given":"Kwong Meng","non-dropping-particle":"","parse-names":false,"suffix":""},{"dropping-particle":"","family":"Tang","given":"Loon Ching","non-dropping-particle":"","parse-names":false,"suffix":""}],"container-title":"Renewable and Sustainable Energy Reviews","id":"ITEM-1","issued":{"date-parts":[["2016"]]},"page":"797-809","publisher":"Elsevier","title":"A lifecycle-based sustainability indicator framework for waste-to-energy systems and a proposed metric of sustainability","type":"article-journal","volume":"56"},"uris":["http://www.mendeley.com/documents/?uuid=ad936d33-3d49-46e6-9445-eced6da832c8"]}],"mendeley":{"formattedCitation":"(Chong et al., 2016)","manualFormatting":"Chong et al. (2016)","plainTextFormattedCitation":"(Chong et al., 2016)","previouslyFormattedCitation":"(Chong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Chong et al. (2016)</w:t>
            </w:r>
            <w:r w:rsidRPr="00C81B1E">
              <w:rPr>
                <w:rFonts w:eastAsia="Calibri"/>
                <w:lang w:val="en-GB" w:eastAsia="en-US"/>
              </w:rPr>
              <w:fldChar w:fldCharType="end"/>
            </w:r>
            <w:r w:rsidRPr="00C81B1E">
              <w:rPr>
                <w:rFonts w:eastAsia="Calibri"/>
                <w:lang w:val="en-GB" w:eastAsia="en-US"/>
              </w:rPr>
              <w:t xml:space="preserve">, TT: </w:t>
            </w:r>
            <w:r w:rsidRPr="00C81B1E">
              <w:rPr>
                <w:rFonts w:eastAsia="Calibri"/>
                <w:lang w:val="en-GB" w:eastAsia="en-US"/>
              </w:rPr>
              <w:fldChar w:fldCharType="begin" w:fldLock="1"/>
            </w:r>
            <w:r w:rsidRPr="00C81B1E">
              <w:rPr>
                <w:rFonts w:eastAsia="Calibri"/>
                <w:lang w:val="en-GB" w:eastAsia="en-US"/>
              </w:rPr>
              <w:instrText>ADDIN CSL_CITATION {"citationItems":[{"id":"ITEM-1","itemData":{"DOI":"10.1016/j.rser.2015.11.036","ISSN":"18790690","abstract":"Studies of waste-to-energy systems have applied a varying range of indicators to assess their sustainability. The sets of indicators prescribed were often based on the respective context and are therefore of varying emphasis. Through a literature review, this research aims to develop a framework of sustainability indicators that can serve as a reference for future research in waste-to-energy systems. Sustainability indicators and their underlying factors from the three pillars of sustainability were consolidated and structured under a proposed framework. As factors interlinking between the three pillars such as carbon schemes are critical for sustainability, they were identified and described within the framework. The proposed framework is extended with a lifecycle dimension to facilitate lifecycle sustainability assessments. This article presents a novel metric of sustainability (MOS). The proposed indicator framework and the MOS are applied in a case study to demonstrate their functions in sustainability assessments. The case highlighted the advantages of the MOS and the importance of considering systems from a more holistic perspective, especially in practice where sustainability issues tend to fall within and across boundaries of the economic, environmental and social lifecycles.","author":[{"dropping-particle":"","family":"Chong","given":"Yih Tng","non-dropping-particle":"","parse-names":false,"suffix":""},{"dropping-particle":"","family":"Teo","given":"Kwong Meng","non-dropping-particle":"","parse-names":false,"suffix":""},{"dropping-particle":"","family":"Tang","given":"Loon Ching","non-dropping-particle":"","parse-names":false,"suffix":""}],"container-title":"Renewable and Sustainable Energy Reviews","id":"ITEM-1","issued":{"date-parts":[["2016"]]},"page":"797-809","publisher":"Elsevier","title":"A lifecycle-based sustainability indicator framework for waste-to-energy systems and a proposed metric of sustainability","type":"article-journal","volume":"56"},"uris":["http://www.mendeley.com/documents/?uuid=ad936d33-3d49-46e6-9445-eced6da832c8"]}],"mendeley":{"formattedCitation":"(Chong et al., 2016)","manualFormatting":"Chong et al. (2016)","plainTextFormattedCitation":"(Chong et al., 2016)","previouslyFormattedCitation":"(Chong et al., 2016)"},"properties":{"noteIndex":0},"schema":"https://github.com/citation-style-language/schema/raw/master/csl-citation.json"}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Chong et al. (2016)</w:t>
            </w:r>
            <w:r w:rsidRPr="00C81B1E">
              <w:rPr>
                <w:rFonts w:eastAsia="Calibri"/>
                <w:lang w:val="en-GB" w:eastAsia="en-US"/>
              </w:rPr>
              <w:fldChar w:fldCharType="end"/>
            </w:r>
          </w:p>
        </w:tc>
      </w:tr>
      <w:tr w:rsidR="00C81B1E" w:rsidRPr="00C81B1E" w14:paraId="2209B823" w14:textId="77777777" w:rsidTr="00C81B1E">
        <w:trPr>
          <w:trHeight w:val="255"/>
        </w:trPr>
        <w:tc>
          <w:tcPr>
            <w:tcW w:w="1266" w:type="dxa"/>
            <w:tcBorders>
              <w:top w:val="single" w:sz="4" w:space="0" w:color="7F7F7F"/>
              <w:bottom w:val="single" w:sz="4" w:space="0" w:color="7F7F7F"/>
            </w:tcBorders>
            <w:shd w:val="clear" w:color="auto" w:fill="auto"/>
            <w:noWrap/>
            <w:vAlign w:val="center"/>
            <w:hideMark/>
          </w:tcPr>
          <w:p w14:paraId="4898444B"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Feeding people</w:t>
            </w:r>
          </w:p>
        </w:tc>
        <w:tc>
          <w:tcPr>
            <w:tcW w:w="1812" w:type="dxa"/>
            <w:tcBorders>
              <w:top w:val="single" w:sz="4" w:space="0" w:color="7F7F7F"/>
              <w:bottom w:val="single" w:sz="4" w:space="0" w:color="7F7F7F"/>
            </w:tcBorders>
            <w:shd w:val="clear" w:color="auto" w:fill="auto"/>
            <w:noWrap/>
            <w:vAlign w:val="center"/>
            <w:hideMark/>
          </w:tcPr>
          <w:p w14:paraId="1480D8CD" w14:textId="77777777" w:rsidR="00C7764C" w:rsidRPr="00C81B1E" w:rsidRDefault="00C7764C" w:rsidP="00C81B1E">
            <w:pPr>
              <w:pStyle w:val="MDPI42tablebody"/>
              <w:rPr>
                <w:rFonts w:eastAsia="Calibri"/>
                <w:lang w:val="en-GB" w:eastAsia="en-US"/>
              </w:rPr>
            </w:pPr>
            <w:r w:rsidRPr="00C81B1E">
              <w:rPr>
                <w:rFonts w:eastAsia="Calibri"/>
                <w:lang w:val="en-GB" w:eastAsia="en-US"/>
              </w:rPr>
              <w:t>Yes (number of people benefitted/tonne) / No</w:t>
            </w:r>
          </w:p>
        </w:tc>
        <w:tc>
          <w:tcPr>
            <w:tcW w:w="881" w:type="dxa"/>
            <w:tcBorders>
              <w:top w:val="single" w:sz="4" w:space="0" w:color="7F7F7F"/>
              <w:bottom w:val="single" w:sz="4" w:space="0" w:color="7F7F7F"/>
            </w:tcBorders>
            <w:shd w:val="clear" w:color="auto" w:fill="auto"/>
            <w:noWrap/>
            <w:vAlign w:val="center"/>
            <w:hideMark/>
          </w:tcPr>
          <w:p w14:paraId="2E09E500" w14:textId="77777777" w:rsidR="00C7764C" w:rsidRPr="00C81B1E" w:rsidRDefault="00C7764C" w:rsidP="00C81B1E">
            <w:pPr>
              <w:pStyle w:val="MDPI42tablebody"/>
              <w:rPr>
                <w:rFonts w:eastAsia="Calibri"/>
                <w:lang w:val="en-GB" w:eastAsia="en-US"/>
              </w:rPr>
            </w:pPr>
            <w:r w:rsidRPr="00C81B1E">
              <w:rPr>
                <w:rFonts w:eastAsia="Calibri"/>
                <w:lang w:val="en-GB" w:eastAsia="en-US"/>
              </w:rPr>
              <w:t>R</w:t>
            </w:r>
          </w:p>
        </w:tc>
        <w:tc>
          <w:tcPr>
            <w:tcW w:w="5113" w:type="dxa"/>
            <w:tcBorders>
              <w:top w:val="single" w:sz="4" w:space="0" w:color="7F7F7F"/>
              <w:bottom w:val="single" w:sz="4" w:space="0" w:color="7F7F7F"/>
            </w:tcBorders>
            <w:shd w:val="clear" w:color="auto" w:fill="auto"/>
            <w:noWrap/>
            <w:vAlign w:val="center"/>
            <w:hideMark/>
          </w:tcPr>
          <w:p w14:paraId="4CA2F123"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author":[{"dropping-particle":"","family":"Buksti","given":"Michael","non-dropping-particle":"","parse-names":false,"suffix":""},{"dropping-particle":"","family":"Fremming","given":"Thomas","non-dropping-particle":"","parse-names":false,"suffix":""},{"dropping-particle":"","family":"Juul","given":"Selina","non-dropping-particle":"","parse-names":false,"suffix":""},{"dropping-particle":"","family":"Grandjean","given":"Frans","non-dropping-particle":"","parse-names":false,"suffix":""},{"dropping-particle":"","family":"Christensen","given":"Sidsel","non-dropping-particle":"","parse-names":false,"suffix":""}],"id":"ITEM-1","issue":"September","issued":{"date-parts":[["2015"]]},"publisher-place":"Wageningen (The Netherlands)","title":"Surplus Food Redistribution System. Feasibility Final Report","type":"report"},"uris":["http://www.mendeley.com/documents/?uuid=6de6977d-c718-40fd-8a88-07e0ef57fd70"]}],"mendeley":{"formattedCitation":"(Buksti et al., 2015)","manualFormatting":"Buksti et al. (2015)","plainTextFormattedCitation":"(Buksti et al., 2015)","previouslyFormattedCitation":"(Buksti et al., 2015)"},"properties":{"noteIndex":0},"schema":"https://github.com/citation-style-language/schema/raw/master/csl-citation.json"}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Buksti et al. (2015)</w:t>
            </w:r>
            <w:r w:rsidRPr="00C81B1E">
              <w:rPr>
                <w:rFonts w:eastAsia="Calibri"/>
                <w:lang w:val="en-GB" w:eastAsia="en-US"/>
              </w:rPr>
              <w:fldChar w:fldCharType="end"/>
            </w:r>
          </w:p>
        </w:tc>
      </w:tr>
      <w:tr w:rsidR="00C81B1E" w:rsidRPr="00C81B1E" w14:paraId="2D735244" w14:textId="77777777" w:rsidTr="00C81B1E">
        <w:trPr>
          <w:trHeight w:val="270"/>
        </w:trPr>
        <w:tc>
          <w:tcPr>
            <w:tcW w:w="1266" w:type="dxa"/>
            <w:shd w:val="clear" w:color="auto" w:fill="auto"/>
            <w:noWrap/>
            <w:vAlign w:val="center"/>
            <w:hideMark/>
          </w:tcPr>
          <w:p w14:paraId="69E9EA2F" w14:textId="77777777" w:rsidR="00C7764C" w:rsidRPr="00C81B1E" w:rsidRDefault="00C7764C" w:rsidP="00C81B1E">
            <w:pPr>
              <w:pStyle w:val="MDPI42tablebody"/>
              <w:rPr>
                <w:rFonts w:eastAsia="Calibri"/>
                <w:b/>
                <w:bCs/>
                <w:lang w:val="en-GB" w:eastAsia="en-US"/>
              </w:rPr>
            </w:pPr>
            <w:r w:rsidRPr="00C81B1E">
              <w:rPr>
                <w:rFonts w:eastAsia="Calibri"/>
                <w:b/>
                <w:bCs/>
                <w:lang w:val="en-GB" w:eastAsia="en-US"/>
              </w:rPr>
              <w:t>Traffic</w:t>
            </w:r>
          </w:p>
        </w:tc>
        <w:tc>
          <w:tcPr>
            <w:tcW w:w="1812" w:type="dxa"/>
            <w:shd w:val="clear" w:color="auto" w:fill="auto"/>
            <w:noWrap/>
            <w:vAlign w:val="center"/>
            <w:hideMark/>
          </w:tcPr>
          <w:p w14:paraId="4DC9F440" w14:textId="77777777" w:rsidR="00C7764C" w:rsidRPr="00C81B1E" w:rsidRDefault="00C7764C" w:rsidP="00C81B1E">
            <w:pPr>
              <w:pStyle w:val="MDPI42tablebody"/>
              <w:rPr>
                <w:rFonts w:eastAsia="Calibri"/>
                <w:lang w:val="en-GB" w:eastAsia="en-US"/>
              </w:rPr>
            </w:pPr>
            <w:r w:rsidRPr="00C81B1E">
              <w:rPr>
                <w:rFonts w:eastAsia="Calibri"/>
                <w:lang w:val="en-GB" w:eastAsia="en-US"/>
              </w:rPr>
              <w:t xml:space="preserve">Number of </w:t>
            </w:r>
            <w:proofErr w:type="gramStart"/>
            <w:r w:rsidRPr="00C81B1E">
              <w:rPr>
                <w:rFonts w:eastAsia="Calibri"/>
                <w:lang w:val="en-GB" w:eastAsia="en-US"/>
              </w:rPr>
              <w:t>vehicles / tonne</w:t>
            </w:r>
            <w:proofErr w:type="gramEnd"/>
            <w:r w:rsidRPr="00C81B1E">
              <w:rPr>
                <w:rFonts w:eastAsia="Calibri"/>
                <w:lang w:val="en-GB" w:eastAsia="en-US"/>
              </w:rPr>
              <w:t xml:space="preserve"> of FW</w:t>
            </w:r>
          </w:p>
        </w:tc>
        <w:tc>
          <w:tcPr>
            <w:tcW w:w="881" w:type="dxa"/>
            <w:shd w:val="clear" w:color="auto" w:fill="auto"/>
            <w:noWrap/>
            <w:vAlign w:val="center"/>
            <w:hideMark/>
          </w:tcPr>
          <w:p w14:paraId="57AC19A9" w14:textId="77777777" w:rsidR="00C7764C" w:rsidRPr="00C81B1E" w:rsidRDefault="00C7764C" w:rsidP="00C81B1E">
            <w:pPr>
              <w:pStyle w:val="MDPI42tablebody"/>
              <w:rPr>
                <w:rFonts w:eastAsia="Calibri"/>
                <w:lang w:val="en-GB" w:eastAsia="en-US"/>
              </w:rPr>
            </w:pPr>
            <w:r w:rsidRPr="00C81B1E">
              <w:rPr>
                <w:rFonts w:eastAsia="Calibri"/>
                <w:lang w:val="en-GB" w:eastAsia="en-US"/>
              </w:rPr>
              <w:t>T</w:t>
            </w:r>
          </w:p>
        </w:tc>
        <w:tc>
          <w:tcPr>
            <w:tcW w:w="5113" w:type="dxa"/>
            <w:shd w:val="clear" w:color="auto" w:fill="auto"/>
            <w:noWrap/>
            <w:vAlign w:val="center"/>
            <w:hideMark/>
          </w:tcPr>
          <w:p w14:paraId="00613D25" w14:textId="77777777" w:rsidR="00C7764C" w:rsidRPr="00C81B1E" w:rsidRDefault="00C7764C" w:rsidP="00C81B1E">
            <w:pPr>
              <w:pStyle w:val="MDPI42tablebody"/>
              <w:rPr>
                <w:rFonts w:eastAsia="Calibri"/>
                <w:lang w:val="en-GB" w:eastAsia="en-US"/>
              </w:rPr>
            </w:pPr>
            <w:r w:rsidRPr="00C81B1E">
              <w:rPr>
                <w:rFonts w:eastAsia="Calibri"/>
                <w:lang w:val="en-GB" w:eastAsia="en-US"/>
              </w:rPr>
              <w:fldChar w:fldCharType="begin" w:fldLock="1"/>
            </w:r>
            <w:r w:rsidRPr="00C81B1E">
              <w:rPr>
                <w:rFonts w:eastAsia="Calibri"/>
                <w:lang w:val="en-GB" w:eastAsia="en-US"/>
              </w:rPr>
              <w:instrText>ADDIN CSL_CITATION {"citationItems":[{"id":"ITEM-1","itemData":{"DOI":"10.1162/1088198042442306","ISBN":"10881980","ISSN":"1088-1980","abstract":"This article describes a decision support framework for the evaluation of scenarios for the integrated management of municipal solid waste within a local government area (LGA). The work is initially focused on local government (i.e., municipal councils) in the state of Queensland, Australia; however, it is broadly applicable to LGAs anywhere. The goal is to achieve sustainable waste management practices by balancing global and regional environmental impacts, social impacts at the local community level, and economic impacts. The framework integrates life-cycle assessment (LCA) with other environmental, social, and economic tools. For this study, social and economic impacts are assumed to be similar across developed countries of the world. LCA was streamlined at both the life-cycle inventory and life-cycle impact assessment stages. For this process, spatial resolution is introduced into the LCA process to account for impacts occurring at the local and regional levels. This has been done by considering social impacts on the local community and by use of a regional scaling procedure for LCA data for emissions to the environment that may have impacts at the regional level. The integration follows the structured approach of the pressure-state-response (PSR) model suggested by the Organisation for Economic Cooperation and Development (OECD). This PSR model has been extended to encompass nonenvironmental issues and to guide the process of applying multiple tools. The framework primarily focuses on decision analysis and interpretation processes. Multiattribute utility theory (MAUT) is used to assist with the integration of qualitative and quantitative information. MAUT provides a well-structured approach to information assessment and facilitates objective, transparent decisions. A commercially available decision analysis software package based on MAUT has been used as the platform for the framework developed in this study.","author":[{"dropping-particle":"","family":"Kijak","given":"Robert","non-dropping-particle":"","parse-names":false,"suffix":""},{"dropping-particle":"","family":"Moy","given":"David","non-dropping-particle":"","parse-names":false,"suffix":""}],"container-title":"Journal of Industrial Ecology","id":"ITEM-1","issue":"3","issued":{"date-parts":[["2004"]]},"page":"33-50","title":"A decision support framework for sustainable waste management","type":"article-journal","volume":"8"},"uris":["http://www.mendeley.com/documents/?uuid=bbe7be0e-f727-4ef0-b762-8f83968bb753"]}],"mendeley":{"formattedCitation":"(Kijak and Moy, 2004)","manualFormatting":"Kijak &amp; Moy (2004)","plainTextFormattedCitation":"(Kijak and Moy, 2004)","previouslyFormattedCitation":"(Kijak and Moy, 2004)"},"properties":{"noteIndex":0},"schema":"https://github.com/citation-style-language/schema/raw/master/csl-citation.json"}</w:instrText>
            </w:r>
            <w:r w:rsidRPr="00C81B1E">
              <w:rPr>
                <w:rFonts w:eastAsia="Calibri"/>
                <w:lang w:val="en-GB" w:eastAsia="en-US"/>
              </w:rPr>
              <w:fldChar w:fldCharType="separate"/>
            </w:r>
            <w:r w:rsidRPr="00C81B1E">
              <w:rPr>
                <w:rFonts w:eastAsia="Calibri"/>
                <w:noProof/>
                <w:lang w:val="en-GB" w:eastAsia="en-US"/>
              </w:rPr>
              <w:t>Kijak &amp; Moy (2004)</w:t>
            </w:r>
            <w:r w:rsidRPr="00C81B1E">
              <w:rPr>
                <w:rFonts w:eastAsia="Calibri"/>
                <w:lang w:val="en-GB" w:eastAsia="en-US"/>
              </w:rPr>
              <w:fldChar w:fldCharType="end"/>
            </w:r>
          </w:p>
        </w:tc>
      </w:tr>
    </w:tbl>
    <w:p w14:paraId="3C27B96C" w14:textId="77777777" w:rsidR="00C7764C" w:rsidRPr="00C7764C" w:rsidRDefault="00C7764C" w:rsidP="00C7764C">
      <w:pPr>
        <w:spacing w:after="160" w:line="259" w:lineRule="auto"/>
        <w:rPr>
          <w:rFonts w:eastAsia="Calibri"/>
          <w:color w:val="auto"/>
          <w:sz w:val="16"/>
          <w:szCs w:val="16"/>
          <w:lang w:val="en-GB" w:eastAsia="en-US"/>
        </w:rPr>
      </w:pPr>
    </w:p>
    <w:p w14:paraId="565037C2" w14:textId="77777777" w:rsidR="00C7764C" w:rsidRPr="00C7764C" w:rsidRDefault="00C7764C" w:rsidP="00BA2E09">
      <w:pPr>
        <w:pStyle w:val="MDPI21heading1"/>
        <w:rPr>
          <w:rFonts w:eastAsia="Calibri"/>
          <w:lang w:val="en-GB" w:eastAsia="en-US"/>
        </w:rPr>
      </w:pPr>
      <w:r w:rsidRPr="00C7764C">
        <w:rPr>
          <w:rFonts w:eastAsia="Calibri"/>
          <w:lang w:val="en-GB" w:eastAsia="en-US"/>
        </w:rPr>
        <w:t>References</w:t>
      </w:r>
    </w:p>
    <w:p w14:paraId="5E77FBEB"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color w:val="auto"/>
          <w:sz w:val="20"/>
          <w:szCs w:val="16"/>
          <w:lang w:val="en-GB" w:eastAsia="en-US"/>
        </w:rPr>
        <w:fldChar w:fldCharType="begin" w:fldLock="1"/>
      </w:r>
      <w:r w:rsidRPr="00C7764C">
        <w:rPr>
          <w:rFonts w:eastAsia="Calibri"/>
          <w:color w:val="auto"/>
          <w:sz w:val="20"/>
          <w:szCs w:val="16"/>
          <w:lang w:val="en-GB" w:eastAsia="en-US"/>
        </w:rPr>
        <w:instrText xml:space="preserve">ADDIN Mendeley Bibliography CSL_BIBLIOGRAPHY </w:instrText>
      </w:r>
      <w:r w:rsidRPr="00C7764C">
        <w:rPr>
          <w:rFonts w:eastAsia="Calibri"/>
          <w:color w:val="auto"/>
          <w:sz w:val="20"/>
          <w:szCs w:val="16"/>
          <w:lang w:val="en-GB" w:eastAsia="en-US"/>
        </w:rPr>
        <w:fldChar w:fldCharType="separate"/>
      </w:r>
      <w:r w:rsidRPr="00C7764C">
        <w:rPr>
          <w:rFonts w:eastAsia="Calibri"/>
          <w:noProof/>
          <w:color w:val="auto"/>
          <w:sz w:val="20"/>
          <w:szCs w:val="24"/>
          <w:lang w:val="en-GB" w:eastAsia="en-US"/>
        </w:rPr>
        <w:t>Abbasi, T., Abbasi, S.A., 2010. Biomass energy and the environmental impacts associated with its production and utilization. Renew. Sustain. Energy Rev. 14, 919–937. https://doi.org/10.1016/j.rser.2009.11.006.</w:t>
      </w:r>
    </w:p>
    <w:p w14:paraId="3C085C89"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Adhikari, B.K., Barrington, S., Martinez, J., King, S., 2008. Characterization of food waste and bulking agents for composting. Waste Manag. 28, 795–804. https://doi.org/10.1016/j.wasman.2007.08.018.</w:t>
      </w:r>
    </w:p>
    <w:p w14:paraId="27D2B868"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lastRenderedPageBreak/>
        <w:t>Ahmed, I.I., Gupta, A.K., 2010. Pyrolysis and gasification of food waste: Syngas characteristics and char gasification kinetics. Appl. Energy 87, 101–108. https://doi.org/10.1016/j.apenergy.2009.08.032.</w:t>
      </w:r>
    </w:p>
    <w:p w14:paraId="59F92FF1"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Amlinger, F., Peyr, S., Cuhls, C., 2008. Green house gas emissions from composting and mechanical biological treatment. Waste Manag. Res. 26, 47–60. https://doi.org/10.1177/0734242X07088432.</w:t>
      </w:r>
    </w:p>
    <w:p w14:paraId="47B1194D"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Batstone, D.J., Keller, J., Angelidaki, I., Kalyuzhnyi, S. V., Pavlostathis, S.G., Rozzi, A., Sanders, W.T., Siegrist, H., Vavilin, V. a., 2002. The IWA Anaerobic Digestion Model No 1 (ADM1). Water Sci. Technol. 45, 65–73. https://doi.org/10.2166/wst.2008.678.</w:t>
      </w:r>
    </w:p>
    <w:p w14:paraId="70247643"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Beylot, A., Vaxelaire, S., Zdanevitch, I., Auvinet, N., Villeneuve, J., 2015. Life Cycle Assessment of mechanical biological pre-treatment of Municipal Solid Waste: A case study. Waste Manag. 39, 287–294. https://doi.org/10.1016/j.wasman.2015.01.033.</w:t>
      </w:r>
    </w:p>
    <w:p w14:paraId="41D9D9A2"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Bilska, B., Wrzosek, M., Kołożyn-Krajewska, D., Krajewski, K., 2016. Risk of food losses and potential of food recovery for social purposes. Waste Manag. 52, 269–277. https://doi.org/10.1016/j.wasman.2016.03.035.</w:t>
      </w:r>
    </w:p>
    <w:p w14:paraId="5D7EE7E7"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Börjesson, P., Berglund, M., 2007. Environmental systems analysis of biogas systems-Part II: The environmental impact of replacing various reference systems. Biomass and Bioenergy 31, 326–344. https://doi.org/10.1016/j.biombioe.2007.01.004.</w:t>
      </w:r>
    </w:p>
    <w:p w14:paraId="689370C4"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Brändli, R.C., Bucheli, T.D., Kupper, T., Furrer, R., Stahel, W.A., Stadelmann, F.X., Tarradellas, J., 2007. Organic pollutants in compost and digestate. Part 1. Polychlorinated biphenyls, polycyclic aromatic hydrocarbons and molecular markers. J. Environ. Monit. 9, 456–464. https://doi.org/10.1039/b617101j.</w:t>
      </w:r>
    </w:p>
    <w:p w14:paraId="7B5A05F6"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British Standards Institution, 2014. PAS 110:2014. Specification for whole digestate, separated liquor and separated fibre derived from the anaerobic digestion of source-segregated biodegradable materials.</w:t>
      </w:r>
      <w:r w:rsidRPr="00C7764C">
        <w:rPr>
          <w:rFonts w:ascii="Calibri" w:eastAsia="Calibri" w:hAnsi="Calibri"/>
          <w:color w:val="auto"/>
          <w:sz w:val="22"/>
          <w:szCs w:val="22"/>
          <w:lang w:val="en-GB" w:eastAsia="en-US"/>
        </w:rPr>
        <w:t xml:space="preserve"> </w:t>
      </w:r>
      <w:r w:rsidRPr="00C7764C">
        <w:rPr>
          <w:rFonts w:eastAsia="Calibri"/>
          <w:noProof/>
          <w:color w:val="auto"/>
          <w:sz w:val="20"/>
          <w:szCs w:val="24"/>
          <w:lang w:val="en-GB" w:eastAsia="en-US"/>
        </w:rPr>
        <w:t>ISBN: 978 0 580 82661 0.</w:t>
      </w:r>
    </w:p>
    <w:p w14:paraId="47A3AABF"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British Standards Institution, 2011. PAS 100:2011 Specification for Composted Materials. https://doi.org/10.1128/AEM.71.9.4951.</w:t>
      </w:r>
      <w:r w:rsidRPr="00C7764C">
        <w:rPr>
          <w:rFonts w:ascii="Calibri" w:eastAsia="Calibri" w:hAnsi="Calibri"/>
          <w:color w:val="auto"/>
          <w:sz w:val="22"/>
          <w:szCs w:val="22"/>
          <w:lang w:val="en-GB" w:eastAsia="en-US"/>
        </w:rPr>
        <w:t xml:space="preserve"> </w:t>
      </w:r>
      <w:r w:rsidRPr="00C7764C">
        <w:rPr>
          <w:rFonts w:eastAsia="Calibri"/>
          <w:noProof/>
          <w:color w:val="auto"/>
          <w:sz w:val="20"/>
          <w:szCs w:val="24"/>
          <w:lang w:val="en-GB" w:eastAsia="en-US"/>
        </w:rPr>
        <w:t>ISBN: 978 0 580 65307 0.</w:t>
      </w:r>
    </w:p>
    <w:p w14:paraId="6CDA4F4E"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Brunner, P.H., Rechberger, H., 2015. Waste to energy - key element for sustainable waste management. Waste Manag. 37, 3–12. https://doi.org/10.1016/j.wasman.2014.02.003.</w:t>
      </w:r>
    </w:p>
    <w:p w14:paraId="0E214F16"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Bujak, J., Sitarz, P., 2016. Incineration of animal by-products - The impact of selected parameters on the flux of flue gas enthalpy. Waste Manag. 50, 309–323. https://doi.org/10.1016/j.wasman.2016.02.024.</w:t>
      </w:r>
    </w:p>
    <w:p w14:paraId="2EE3BA43"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Bujak, J.W., 2015. New insights into waste management – Meat industry. Renew. Energy 83, 1174–1186. https://doi.org/10.1016/j.renene.2015.06.007.</w:t>
      </w:r>
    </w:p>
    <w:p w14:paraId="716D69D0"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Buksti, M., Fremming, T., Juul, S., Grandjean, F., Christensen, S., 2015. Surplus Food Redistribution System. Feasibility Final Report. Wageningen (The Netherlands).</w:t>
      </w:r>
      <w:r w:rsidRPr="00C7764C">
        <w:rPr>
          <w:rFonts w:ascii="Calibri" w:eastAsia="Calibri" w:hAnsi="Calibri"/>
          <w:color w:val="auto"/>
          <w:sz w:val="22"/>
          <w:szCs w:val="22"/>
          <w:lang w:val="en-GB" w:eastAsia="en-US"/>
        </w:rPr>
        <w:t xml:space="preserve"> </w:t>
      </w:r>
      <w:r w:rsidRPr="00C7764C">
        <w:rPr>
          <w:rFonts w:eastAsia="Calibri"/>
          <w:noProof/>
          <w:color w:val="auto"/>
          <w:sz w:val="20"/>
          <w:szCs w:val="24"/>
          <w:lang w:val="en-GB" w:eastAsia="en-US"/>
        </w:rPr>
        <w:t>ISBN: 123-45-6789-101-1.</w:t>
      </w:r>
    </w:p>
    <w:p w14:paraId="0D8149BA"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Buragohain, B., Mahanta, P., Moholkar, V.S., 2012. Thermodynamic Approach to Design and Optimization of Biomass Gasifier Utilizing Agro-Residues, in: Karagiannidis, A. (Ed.), Waste to Energy. Opportunities and Challenges for Developing and Transition Economies. Springer, pp. 182–183.</w:t>
      </w:r>
    </w:p>
    <w:p w14:paraId="33F60D1C"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 xml:space="preserve">Caton, P. a., Carr, M. a., Kim, S.S., Beautyman, M.J., 2010. Energy recovery from waste food by combustion or </w:t>
      </w:r>
      <w:r w:rsidRPr="00C7764C">
        <w:rPr>
          <w:rFonts w:eastAsia="Calibri"/>
          <w:noProof/>
          <w:color w:val="auto"/>
          <w:sz w:val="20"/>
          <w:szCs w:val="24"/>
          <w:lang w:val="en-GB" w:eastAsia="en-US"/>
        </w:rPr>
        <w:lastRenderedPageBreak/>
        <w:t>gasification with the potential for regenerative dehydration: A case study. Energy Convers. Manag. 51, 1157–1169. https://doi.org/10.1016/j.enconman.2009.12.025.</w:t>
      </w:r>
    </w:p>
    <w:p w14:paraId="0161A8EB"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Chang, J.I., Chen, Y.J., 2010. Effects of bulking agents on food waste composting. Bioresour. Technol. 101, 5917–5924. https://doi.org/10.1016/j.biortech.2010.02.042.</w:t>
      </w:r>
    </w:p>
    <w:p w14:paraId="1A99E643"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Chang, J.I., Hsu, T.E., 2008. Effects of compositions on food waste composting. Bioresour. Technol. 99, 8068–8074. https://doi.org/10.1016/j.biortech.2008.03.043.</w:t>
      </w:r>
    </w:p>
    <w:p w14:paraId="1D23563C"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Chang, J.I., Tsai, J.J., Wu, K.H., 2006. Thermophilic composting of food waste. Bioresour. Technol. 97, 116–122. https://doi.org/10.1016/j.biortech.2005.02.013.</w:t>
      </w:r>
    </w:p>
    <w:p w14:paraId="6FAFFC1F"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Chen, X., Romano, R.T., Zhang, R., 2010. Anaerobic digestion of food wastes for biogas production. Int. J. Agric. Biol. Eng. 3, 61–72. https://doi.org/10.3965/j.issn.1934-6344.2010.04.061-072.</w:t>
      </w:r>
    </w:p>
    <w:p w14:paraId="4D681BEC"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Cherubini, F., Bargigli, S., Ulgiati, S., 2009. Life cycle assessment (LCA) of waste management strategies: Landfilling, sorting plant and incineration. Energy 34, 2116–2123. https://doi.org/10.1016/j.energy.2008.08.023.</w:t>
      </w:r>
    </w:p>
    <w:p w14:paraId="2E04091F"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Chong, Y.T., Teo, K.M., Tang, L.C., 2016. A lifecycle-based sustainability indicator framework for waste-to-energy systems and a proposed metric of sustainability. Renew. Sustain. Energy Rev. 56, 797–809. https://doi.org/10.1016/j.rser.2015.11.036.</w:t>
      </w:r>
    </w:p>
    <w:p w14:paraId="6BDEC2AD"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Climenhaga, M.A., 2008. Anaerobic digestion of catering wastes. Faculty of Engineering, Science &amp; Mathematics, University of Southampton. PhD thesis.</w:t>
      </w:r>
    </w:p>
    <w:p w14:paraId="5BDF4D93"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Cooperband, L., 2002. The art and science of composting. A resource for farmers and compost producers.</w:t>
      </w:r>
    </w:p>
    <w:p w14:paraId="20AFDB71"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s-ES" w:eastAsia="en-US"/>
        </w:rPr>
        <w:t xml:space="preserve">Deepanraj, B., Sivasubramanian, V., Jayaraj, S., 2015. </w:t>
      </w:r>
      <w:r w:rsidRPr="00C7764C">
        <w:rPr>
          <w:rFonts w:eastAsia="Calibri"/>
          <w:noProof/>
          <w:color w:val="auto"/>
          <w:sz w:val="20"/>
          <w:szCs w:val="24"/>
          <w:lang w:val="en-GB" w:eastAsia="en-US"/>
        </w:rPr>
        <w:t>Experimental and kinetic study on anaerobic digestion of food waste: The effect of total solids and pH. J. Renew. Sustain. Energy 7, 063104. https://doi.org/10.1063/1.4935559.</w:t>
      </w:r>
    </w:p>
    <w:p w14:paraId="15824C21"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Defra, 2013. Incineration of Municipal Solid Waste.</w:t>
      </w:r>
      <w:r w:rsidRPr="00C7764C">
        <w:rPr>
          <w:rFonts w:ascii="Calibri" w:eastAsia="Calibri" w:hAnsi="Calibri"/>
          <w:color w:val="auto"/>
          <w:sz w:val="22"/>
          <w:szCs w:val="22"/>
          <w:lang w:val="en-GB" w:eastAsia="en-US"/>
        </w:rPr>
        <w:t xml:space="preserve"> </w:t>
      </w:r>
      <w:r w:rsidRPr="00C7764C">
        <w:rPr>
          <w:rFonts w:eastAsia="Calibri"/>
          <w:noProof/>
          <w:color w:val="auto"/>
          <w:sz w:val="20"/>
          <w:szCs w:val="24"/>
          <w:lang w:val="en-GB" w:eastAsia="en-US"/>
        </w:rPr>
        <w:t>[WWW Document]. URL https://www.gov.uk/government/uploads/system/uploads/attachment_data/file/221036/pb13889-incineration-municipal-waste.pdf (accessed 26.2.19)</w:t>
      </w:r>
    </w:p>
    <w:p w14:paraId="42AF4BCE"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Defra, Department of Agriculture Environment and Rural Affairs (Northern Ireland), Welsh Assembly Government, The Scottish Government, 2016. Agriculture in the United Kingdom 2015.</w:t>
      </w:r>
    </w:p>
    <w:p w14:paraId="59FBF20E"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den Boer, E., Brouwer, F., Schroten, A., van Essen, H., 2009. Are trucks taking their toll? The environmental, safety and congestion impacts of lorries in the EU, CE Delft. Delft (The Netherlands).</w:t>
      </w:r>
    </w:p>
    <w:p w14:paraId="3181E338"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 xml:space="preserve">Environmental Protection UK, n.d. Air pollution sources </w:t>
      </w:r>
      <w:bookmarkStart w:id="1" w:name="_Hlk2091106"/>
      <w:r w:rsidRPr="00C7764C">
        <w:rPr>
          <w:rFonts w:eastAsia="Calibri"/>
          <w:noProof/>
          <w:color w:val="auto"/>
          <w:sz w:val="20"/>
          <w:szCs w:val="24"/>
          <w:lang w:val="en-GB" w:eastAsia="en-US"/>
        </w:rPr>
        <w:t xml:space="preserve">[WWW Document]. URL </w:t>
      </w:r>
      <w:bookmarkEnd w:id="1"/>
      <w:r w:rsidRPr="00C7764C">
        <w:rPr>
          <w:rFonts w:eastAsia="Calibri"/>
          <w:noProof/>
          <w:color w:val="auto"/>
          <w:sz w:val="20"/>
          <w:szCs w:val="24"/>
          <w:lang w:val="en-GB" w:eastAsia="en-US"/>
        </w:rPr>
        <w:t>http://www.environmental-protection.org.uk/policy-areas/air-quality/about-air-pollution/air-pollution-sources/ (accessed 26.2.19).</w:t>
      </w:r>
    </w:p>
    <w:p w14:paraId="5EF6B6E8"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European Commission, 2006a. Reference Document on the Best Available Techniques for Waste Incineration. Integr. Pollut. Prev. Control.</w:t>
      </w:r>
    </w:p>
    <w:p w14:paraId="39D3BAC6"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European Commission, 2006b. Reference Document on Best Available Techniques for the Waste Treatments. Industries</w:t>
      </w:r>
      <w:r w:rsidRPr="00C7764C">
        <w:rPr>
          <w:rFonts w:ascii="Calibri" w:eastAsia="Calibri" w:hAnsi="Calibri"/>
          <w:color w:val="auto"/>
          <w:sz w:val="22"/>
          <w:szCs w:val="22"/>
          <w:lang w:val="en-GB" w:eastAsia="en-US"/>
        </w:rPr>
        <w:t xml:space="preserve"> </w:t>
      </w:r>
      <w:r w:rsidRPr="00C7764C">
        <w:rPr>
          <w:rFonts w:eastAsia="Calibri"/>
          <w:noProof/>
          <w:color w:val="auto"/>
          <w:sz w:val="20"/>
          <w:szCs w:val="24"/>
          <w:lang w:val="en-GB" w:eastAsia="en-US"/>
        </w:rPr>
        <w:t>Integr. Pollut. Prev. Control.</w:t>
      </w:r>
    </w:p>
    <w:p w14:paraId="0AB10544"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lastRenderedPageBreak/>
        <w:t>European Commission, 2005. Regulation (EC) No 183/2005 of the European Parliament and of the Council of 12 January 2005 laying down requirements for feed hygiene. (Text with EEA relevance). Off. J. Eur. Union L 35/1-22.</w:t>
      </w:r>
    </w:p>
    <w:p w14:paraId="4423B22F"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European Commission (EC), 2002. Directive 2002/32/EC of the European Parliament and of the Council of 7 May 2002 on undesirable substances in animal feed. Off. J. Eur. Union L140, 10–21.</w:t>
      </w:r>
    </w:p>
    <w:p w14:paraId="28777C8F"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Fisgativa, H., Tremier, A., Dabert, P., 2016. Characterizing the variability of food waste quality: A need for efficient valorisation through anaerobic digestion. Waste Manag. 50, 264–274. https://doi.org/10.1016/j.wasman.2016.01.041.</w:t>
      </w:r>
    </w:p>
    <w:p w14:paraId="0AF2385E"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Friends of the Earth, 2010. More jobs, less waste: Potential for job creation through higher rates of recycling in the UK and EU.</w:t>
      </w:r>
    </w:p>
    <w:p w14:paraId="09692D64"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Garcia-Garcia, G., Woolley, E., Rahimifard, S., Colwill, J., White, R., Needham, L., 2017. A methodology for sustainable management of food waste. Waste and Biomass Valorization 8, 2209–2227. https://doi.org/10.1007/s12649-016-9720-0.</w:t>
      </w:r>
    </w:p>
    <w:p w14:paraId="22FF147F"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Gebrezgabher, S.A., Meuwissen, M.P.M., Prins, B.A.M., Lansink, A.G.J.M.O., 2010. Economic analysis of anaerobic digestion-A case of Green power biogas plant in the Netherlands. NJAS - Wageningen J. Life Sci. 57, 109–115. https://doi.org/10.1016/j.njas.2009.07.006.</w:t>
      </w:r>
    </w:p>
    <w:p w14:paraId="2EC20456"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Gerardi, M.H., 2003. The Microbiology of Anaerobic Digesters, Vasa. John Wiley &amp; Sons, Inc., Hoboken, New Jersey, USA.</w:t>
      </w:r>
    </w:p>
    <w:p w14:paraId="642D138F"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Giuseppe, A., Mario, E., Cinzia, M., 2014. Economic benefits from food recovery at the retail stage: An application to Italian food chains. Waste Manag. 34, 1306–1316. https://doi.org/10.1016/j.wasman.2014.02.018.</w:t>
      </w:r>
    </w:p>
    <w:p w14:paraId="30543742"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Haight, M., 2005. Assessing the environmental burdens of anaerobic digestion in comparison to alternative options for managing the biodegradable fraction of municipal solid wastes. Water Sci. Technol. 52, 553–559.</w:t>
      </w:r>
    </w:p>
    <w:p w14:paraId="29D89E71"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s-ES" w:eastAsia="en-US"/>
        </w:rPr>
      </w:pPr>
      <w:r w:rsidRPr="00C7764C">
        <w:rPr>
          <w:rFonts w:eastAsia="Calibri"/>
          <w:noProof/>
          <w:color w:val="auto"/>
          <w:sz w:val="20"/>
          <w:szCs w:val="24"/>
          <w:lang w:val="en-GB" w:eastAsia="en-US"/>
        </w:rPr>
        <w:t xml:space="preserve">Herva, M., Roca, E., 2013. Ranking municipal solid waste treatment alternatives based on ecological footprint and multi-criteria analysis. </w:t>
      </w:r>
      <w:r w:rsidRPr="00C7764C">
        <w:rPr>
          <w:rFonts w:eastAsia="Calibri"/>
          <w:noProof/>
          <w:color w:val="auto"/>
          <w:sz w:val="20"/>
          <w:szCs w:val="24"/>
          <w:lang w:val="es-ES" w:eastAsia="en-US"/>
        </w:rPr>
        <w:t>Ecol. Indic. 25, 77–84. https://doi.org/10.1016/j.ecolind.2012.09.005.</w:t>
      </w:r>
    </w:p>
    <w:p w14:paraId="7643291E"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s-ES" w:eastAsia="en-US"/>
        </w:rPr>
        <w:t xml:space="preserve">Hidalgo, D., Martín-Marroquín, J.M., Nieto, P., 2016. </w:t>
      </w:r>
      <w:r w:rsidRPr="00C7764C">
        <w:rPr>
          <w:rFonts w:eastAsia="Calibri"/>
          <w:noProof/>
          <w:color w:val="auto"/>
          <w:sz w:val="20"/>
          <w:szCs w:val="24"/>
          <w:lang w:val="en-GB" w:eastAsia="en-US"/>
        </w:rPr>
        <w:t>Anaerobic co-digestion of agro-food waste mixtures in a fed-batch basis. Environ. Technol. 1–9. https://doi.org/10.1080/09593330.2016.1155654.</w:t>
      </w:r>
    </w:p>
    <w:p w14:paraId="098D5C76"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Himanen, M., Hänninen, K., 2009. Effect of commercial mineral-based additives on composting and compost quality. Waste Manag. 29, 2265–2273. https://doi.org/10.1016/j.wasman.2009.03.016.</w:t>
      </w:r>
    </w:p>
    <w:p w14:paraId="0F20D863"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s-ES" w:eastAsia="en-US"/>
        </w:rPr>
      </w:pPr>
      <w:r w:rsidRPr="00C7764C">
        <w:rPr>
          <w:rFonts w:eastAsia="Calibri"/>
          <w:noProof/>
          <w:color w:val="auto"/>
          <w:sz w:val="20"/>
          <w:szCs w:val="24"/>
          <w:lang w:val="en-GB" w:eastAsia="en-US"/>
        </w:rPr>
        <w:t xml:space="preserve">Ipek, U., Arslan, E.I., Öbek, E., Karataş, F., Erulaş, F.A., 2005. Determination of vitamin losses and degradation kinetics during composting. Process Biochem. </w:t>
      </w:r>
      <w:r w:rsidRPr="00C7764C">
        <w:rPr>
          <w:rFonts w:eastAsia="Calibri"/>
          <w:noProof/>
          <w:color w:val="auto"/>
          <w:sz w:val="20"/>
          <w:szCs w:val="24"/>
          <w:lang w:val="es-ES" w:eastAsia="en-US"/>
        </w:rPr>
        <w:t>40, 621–624. https://doi.org/10.1016/j.procbio.2004.01.050.</w:t>
      </w:r>
    </w:p>
    <w:p w14:paraId="7A1A064F"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s-ES" w:eastAsia="en-US"/>
        </w:rPr>
      </w:pPr>
      <w:r w:rsidRPr="00C7764C">
        <w:rPr>
          <w:rFonts w:eastAsia="Calibri"/>
          <w:noProof/>
          <w:color w:val="auto"/>
          <w:sz w:val="20"/>
          <w:szCs w:val="24"/>
          <w:lang w:val="es-ES" w:eastAsia="en-US"/>
        </w:rPr>
        <w:t xml:space="preserve">Khoo, H.H., Lim, T.Z., Tan, R.B.H., 2010. </w:t>
      </w:r>
      <w:r w:rsidRPr="00C7764C">
        <w:rPr>
          <w:rFonts w:eastAsia="Calibri"/>
          <w:noProof/>
          <w:color w:val="auto"/>
          <w:sz w:val="20"/>
          <w:szCs w:val="24"/>
          <w:lang w:val="en-GB" w:eastAsia="en-US"/>
        </w:rPr>
        <w:t xml:space="preserve">Food waste conversion options in Singapore: Environmental impacts based on an LCA perspective. </w:t>
      </w:r>
      <w:r w:rsidRPr="00C7764C">
        <w:rPr>
          <w:rFonts w:eastAsia="Calibri"/>
          <w:noProof/>
          <w:color w:val="auto"/>
          <w:sz w:val="20"/>
          <w:szCs w:val="24"/>
          <w:lang w:val="es-ES" w:eastAsia="en-US"/>
        </w:rPr>
        <w:t>Sci. Total Environ. 408, 1367–1373. https://doi.org/10.1016/j.scitotenv.2009.10.072.</w:t>
      </w:r>
    </w:p>
    <w:p w14:paraId="5370F551"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s-ES" w:eastAsia="en-US"/>
        </w:rPr>
        <w:lastRenderedPageBreak/>
        <w:t xml:space="preserve">Kijak, R., Moy, D., 2004. </w:t>
      </w:r>
      <w:r w:rsidRPr="00C7764C">
        <w:rPr>
          <w:rFonts w:eastAsia="Calibri"/>
          <w:noProof/>
          <w:color w:val="auto"/>
          <w:sz w:val="20"/>
          <w:szCs w:val="24"/>
          <w:lang w:val="en-GB" w:eastAsia="en-US"/>
        </w:rPr>
        <w:t>A decision support framework for sustainable waste management. J. Ind. Ecol. 8, 33–50. https://doi.org/10.1162/1088198042442306.</w:t>
      </w:r>
    </w:p>
    <w:p w14:paraId="2F7FFE91"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Kim, J., Goldsmith, P., Thomas, M.H., 2010. Economic impact and public costs of confined animal feeding operations at the parcel level of Craven County, North Carolina. Agric. Human Values 27, 29–42. https://doi.org/10.1007/s10460-009-9193-x.</w:t>
      </w:r>
    </w:p>
    <w:p w14:paraId="5C55C7DB"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Kondusamy, D., Kalamdhad, A.S., 2014. Pre-treatment and anaerobic digestion of food waste for high rate methane production – A review. J. Environ. Chem. Eng. 2, 1821–1830. https://doi.org/10.1016/j.jece.2014.07.024.</w:t>
      </w:r>
    </w:p>
    <w:p w14:paraId="61E10BD3"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Kumar, P., Hussain, A., Dubey, S.K., 2015. Methane formation from food waste by anaerobic digestion. Biomass Convers. Biorefinery 1–10. https://doi.org/10.1007/s13399-015-0186-2.</w:t>
      </w:r>
    </w:p>
    <w:p w14:paraId="118F93BE"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Kwon, S.H., Lee, D.H., 2004. Evaluation of Korean food waste composting with fed-batch operations I: Using water extractable total organic carbon contents (TOCw). Process Biochem. 39, 1183–1194. https://doi.org/10.1016/S0032-9592(03)00233-4.</w:t>
      </w:r>
    </w:p>
    <w:p w14:paraId="4C239DB0"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Kythreotou, N., Florides, G., Tassou, S. a., 2014. A review of simple to scientific models for anaerobic digestion. Renew. Energy 71, 701–714. https://doi.org/10.1016/j.renene.2014.05.055.</w:t>
      </w:r>
    </w:p>
    <w:p w14:paraId="0D655596"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Lasaridi, K.E., Stentiford, E.I., 1998. A simple respirometric technique for assessing compost stability. Water Res. 32, 3717–3723. https://doi.org/10.1016/S0043-1354(98)00143-2.</w:t>
      </w:r>
    </w:p>
    <w:p w14:paraId="03911D82"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Lee, S.-H., Choi, K.-I., Osako, M., Dong, J.-I., 2007. Evaluation of environmental burdens caused by changes of food waste management systems in Seoul, Korea. Sci. Total Environ. 387, 42–53. https://doi.org/10.1016/j.scitotenv.2007.06.037.</w:t>
      </w:r>
    </w:p>
    <w:p w14:paraId="7125B8AC"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Leung, D.Y.C., Wang, J., 2016. An overview on biogas generation from anaerobic digestion of food waste. Int. J. Green Energy 13, 119–131. https://doi.org/10.1080/15435075.2014.909355.</w:t>
      </w:r>
    </w:p>
    <w:p w14:paraId="4F2AA461"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Levén, L., Nyberg, K., Schnürer, A., 2012. Conversion of phenols during anaerobic digestion of organic solid waste - A review of important microorganisms and impact of temperature. J. Environ. Manage. 95, S99–S103. https://doi.org/10.1016/j.jenvman.2010.10.021.</w:t>
      </w:r>
    </w:p>
    <w:p w14:paraId="31F10DDB"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Lohri, C.R., Sweeney, D., Rajabu, H.M., 2015. Carbonizing urban biowaste for low-cost char production in developing countries - A review of knowledge, practices and technologies.</w:t>
      </w:r>
    </w:p>
    <w:p w14:paraId="07AD64A0"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Manfredi, S., Cristobal, J., 2016. Towards more sustainable management of European food waste: Methodological approach and numerical application. Waste Manag. Res. 34, 1–12. https://doi.org/10.1177/0734242X16652965.</w:t>
      </w:r>
    </w:p>
    <w:p w14:paraId="21FA0E57"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Mao, C., Feng, Y., Wang, X., Ren, G., 2015. Review on research achievements of biogas from anaerobic digestion. Renew. Sustain. Energy Rev. 45, 540–555. https://doi.org/10.1016/j.rser.2015.02.032.</w:t>
      </w:r>
    </w:p>
    <w:p w14:paraId="1104ECA3"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Møller, J., Boldrin, A., Christensen, T.H., 2009. Anaerobic digestion and digestate use: accounting of greenhouse gases and global warming contribution. Waste Manag. Res. 27, 813–824. https://doi.org/10.1177/0734242X09344876.</w:t>
      </w:r>
    </w:p>
    <w:p w14:paraId="04F6D234"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 xml:space="preserve">Nakasaki, K., Mimoto, H., Tran, Q.N.M., Oinuma, A., 2015. Composting of food waste subjected to </w:t>
      </w:r>
      <w:r w:rsidRPr="00C7764C">
        <w:rPr>
          <w:rFonts w:eastAsia="Calibri"/>
          <w:noProof/>
          <w:color w:val="auto"/>
          <w:sz w:val="20"/>
          <w:szCs w:val="24"/>
          <w:lang w:val="en-GB" w:eastAsia="en-US"/>
        </w:rPr>
        <w:lastRenderedPageBreak/>
        <w:t>hydrothermal pretreatment and inoculated with Paecilomyces sp. FA13. Bioresour. Technol. 180, 40–46. https://doi.org/10.1016/j.biortech.2014.12.094.</w:t>
      </w:r>
    </w:p>
    <w:p w14:paraId="0BEAD615"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s-ES" w:eastAsia="en-US"/>
        </w:rPr>
      </w:pPr>
      <w:r w:rsidRPr="00C7764C">
        <w:rPr>
          <w:rFonts w:eastAsia="Calibri"/>
          <w:noProof/>
          <w:color w:val="auto"/>
          <w:sz w:val="20"/>
          <w:szCs w:val="24"/>
          <w:lang w:val="en-GB" w:eastAsia="en-US"/>
        </w:rPr>
        <w:t xml:space="preserve">Opatokun, S.A., Strezov, V., Kan, T., 2015. Product based evaluation of pyrolysis of food waste and its digestate. </w:t>
      </w:r>
      <w:r w:rsidRPr="00C7764C">
        <w:rPr>
          <w:rFonts w:eastAsia="Calibri"/>
          <w:noProof/>
          <w:color w:val="auto"/>
          <w:sz w:val="20"/>
          <w:szCs w:val="24"/>
          <w:lang w:val="es-ES" w:eastAsia="en-US"/>
        </w:rPr>
        <w:t>Energy 92, 2–7. https://doi.org/10.1016/j.energy.2015.02.098.</w:t>
      </w:r>
    </w:p>
    <w:p w14:paraId="4B239827"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s-ES" w:eastAsia="en-US"/>
        </w:rPr>
        <w:t xml:space="preserve">Ortner, M., Drosg, B., Stoyanova, E., Bochman, G., 2013. </w:t>
      </w:r>
      <w:r w:rsidRPr="00C7764C">
        <w:rPr>
          <w:rFonts w:eastAsia="Calibri"/>
          <w:noProof/>
          <w:color w:val="auto"/>
          <w:sz w:val="20"/>
          <w:szCs w:val="24"/>
          <w:lang w:val="en-GB" w:eastAsia="en-US"/>
        </w:rPr>
        <w:t>Industrial residues for biomethane production, in: Korres, N.E., O’Kiley, P., Benzie, J.A.H., West, J.S. (Eds.), Bioenergy Production by Anaerobic Digestion. Using Agricultural Biomass and Organic Wastes. Earthscan, pp. 111–135.</w:t>
      </w:r>
    </w:p>
    <w:p w14:paraId="2F90F6AC"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Parfitt, J., Stanley, C., Thompson, L., 2016. Guidance for food and drink manufacturers and retailers on the use of food surplus as animal feed. Version 1.0.</w:t>
      </w:r>
      <w:r w:rsidRPr="00C7764C">
        <w:rPr>
          <w:rFonts w:ascii="Calibri" w:eastAsia="Calibri" w:hAnsi="Calibri"/>
          <w:color w:val="auto"/>
          <w:sz w:val="22"/>
          <w:szCs w:val="22"/>
          <w:lang w:val="en-GB" w:eastAsia="en-US"/>
        </w:rPr>
        <w:t xml:space="preserve"> </w:t>
      </w:r>
      <w:r w:rsidRPr="00C7764C">
        <w:rPr>
          <w:rFonts w:eastAsia="Calibri"/>
          <w:noProof/>
          <w:color w:val="auto"/>
          <w:sz w:val="20"/>
          <w:szCs w:val="24"/>
          <w:lang w:val="en-GB" w:eastAsia="en-US"/>
        </w:rPr>
        <w:t>Project code: CSC101-003.</w:t>
      </w:r>
    </w:p>
    <w:p w14:paraId="6753EA8A"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Peigne, J., Girardin, P., 2004. Environmental impacts of farm-scale composting practices. Water. Air. Soil Pollut. 153, 45–68. https://doi.org/10.1023/B:WATE.0000019932.04020.b6.</w:t>
      </w:r>
    </w:p>
    <w:p w14:paraId="1959A9F8"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Ramzan, N., Ashraf, A., Naveed, S., Malik, A., 2011. Simulation of hybrid biomass gasification using Aspen plus: A comparative performance analysis for food, municipal solid and poultry waste. Biomass and Bioenergy 35, 3962–3969. https://doi.org/10.1016/j.biombioe.2011.06.005.</w:t>
      </w:r>
    </w:p>
    <w:p w14:paraId="1FDA4FE9"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s-ES" w:eastAsia="en-US"/>
        </w:rPr>
      </w:pPr>
      <w:r w:rsidRPr="00C7764C">
        <w:rPr>
          <w:rFonts w:eastAsia="Calibri"/>
          <w:noProof/>
          <w:color w:val="auto"/>
          <w:sz w:val="20"/>
          <w:szCs w:val="24"/>
          <w:lang w:val="en-GB" w:eastAsia="en-US"/>
        </w:rPr>
        <w:t xml:space="preserve">Rothenberger, S., Zurbrügg, C., Enayetullah, I., Sinha,  a H.M.M., 2006. Decentralised Composting for Cities of Low- and Middle- Income Countries. </w:t>
      </w:r>
      <w:r w:rsidRPr="00C7764C">
        <w:rPr>
          <w:rFonts w:eastAsia="Calibri"/>
          <w:noProof/>
          <w:color w:val="auto"/>
          <w:sz w:val="20"/>
          <w:szCs w:val="24"/>
          <w:lang w:val="es-ES" w:eastAsia="en-US"/>
        </w:rPr>
        <w:t>Waste Concern.</w:t>
      </w:r>
      <w:r w:rsidRPr="00C7764C">
        <w:rPr>
          <w:rFonts w:ascii="Calibri" w:eastAsia="Calibri" w:hAnsi="Calibri"/>
          <w:color w:val="auto"/>
          <w:sz w:val="22"/>
          <w:szCs w:val="22"/>
          <w:lang w:val="es-ES" w:eastAsia="en-US"/>
        </w:rPr>
        <w:t xml:space="preserve"> </w:t>
      </w:r>
      <w:r w:rsidRPr="00C7764C">
        <w:rPr>
          <w:rFonts w:eastAsia="Calibri"/>
          <w:noProof/>
          <w:color w:val="auto"/>
          <w:sz w:val="20"/>
          <w:szCs w:val="24"/>
          <w:lang w:val="es-ES" w:eastAsia="en-US"/>
        </w:rPr>
        <w:t>ISBN: 978 3 906484 36 5.</w:t>
      </w:r>
    </w:p>
    <w:p w14:paraId="153855B2"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s-ES" w:eastAsia="en-US"/>
        </w:rPr>
        <w:t xml:space="preserve">Ruggieri, L., Cadena, E., Martínez-Blanco, J., Gasol, C.M., Rieradevall, J., Gabarrell, X., Gea, T., Sort, X., Sánchez, A., 2009. </w:t>
      </w:r>
      <w:r w:rsidRPr="00C7764C">
        <w:rPr>
          <w:rFonts w:eastAsia="Calibri"/>
          <w:noProof/>
          <w:color w:val="auto"/>
          <w:sz w:val="20"/>
          <w:szCs w:val="24"/>
          <w:lang w:val="en-GB" w:eastAsia="en-US"/>
        </w:rPr>
        <w:t>Recovery of organic wastes in the Spanish wine industry. Technical, economic and environmental analyses of the composting process. J. Clean. Prod. 17, 830–838. https://doi.org/10.1016/j.jclepro.2008.12.005.</w:t>
      </w:r>
    </w:p>
    <w:p w14:paraId="2D3C3C0C"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San Martin, D., Ramos, S., Zufía, J., 2015. Valorisation of food waste to produce new raw materials for animal feed. Food Chem. 198, 68–74. https://doi.org/10.1016/j.foodchem.2015.11.035.</w:t>
      </w:r>
    </w:p>
    <w:p w14:paraId="7AD85C8A"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s-ES" w:eastAsia="en-US"/>
        </w:rPr>
      </w:pPr>
      <w:r w:rsidRPr="00C7764C">
        <w:rPr>
          <w:rFonts w:eastAsia="Calibri"/>
          <w:noProof/>
          <w:color w:val="auto"/>
          <w:sz w:val="20"/>
          <w:szCs w:val="24"/>
          <w:lang w:val="en-GB" w:eastAsia="en-US"/>
        </w:rPr>
        <w:t xml:space="preserve">Styles, D., Dominguez, E.M., Chadwick, D., 2016. Environmental balance of the of the UK biogas sector: An evaluation by consequential life cycle assessment. </w:t>
      </w:r>
      <w:r w:rsidRPr="00C7764C">
        <w:rPr>
          <w:rFonts w:eastAsia="Calibri"/>
          <w:noProof/>
          <w:color w:val="auto"/>
          <w:sz w:val="20"/>
          <w:szCs w:val="24"/>
          <w:lang w:val="es-ES" w:eastAsia="en-US"/>
        </w:rPr>
        <w:t>Sci. Total Environ. 560–561, 241–253. https://doi.org/10.1016/j.scitotenv.2016.03.236.</w:t>
      </w:r>
    </w:p>
    <w:p w14:paraId="59632593"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s-ES" w:eastAsia="en-US"/>
        </w:rPr>
        <w:t xml:space="preserve">Sugiura, K., Yamatani, S., Watahara, M., Onodera, T., 2009. </w:t>
      </w:r>
      <w:r w:rsidRPr="00C7764C">
        <w:rPr>
          <w:rFonts w:eastAsia="Calibri"/>
          <w:noProof/>
          <w:color w:val="auto"/>
          <w:sz w:val="20"/>
          <w:szCs w:val="24"/>
          <w:lang w:val="en-GB" w:eastAsia="en-US"/>
        </w:rPr>
        <w:t>Ecofeed, animal feed produced from recycled food waste. Vet. Ital. 45, 397–404.</w:t>
      </w:r>
    </w:p>
    <w:p w14:paraId="4BA55397"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Suler, D.J., Finstein, M.S., 1977. Effect of temperature, aeration, and moisture on CO2 formation in bench scale, continuously thermophilic composting of solid waste. Appl. Environ. Microbiol. 33, 345–350.</w:t>
      </w:r>
    </w:p>
    <w:p w14:paraId="2084A3DF"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Suwannarat, J., Ritchie, R.J., 2015. Anaerobic digestion of food waste using yeast. Waste Manag. 42, 61–66. https://doi.org/10.1016/j.wasman.2015.04.028.</w:t>
      </w:r>
    </w:p>
    <w:p w14:paraId="1B8F5797"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The Commission of the European Communities, 2006. Commission Regulation (EC) No 1881/2006 of 19 December 2006 setting maximum levels for certain contaminants in foodstuffs. Off. J. Eur. Communities L 364, 5–24.</w:t>
      </w:r>
    </w:p>
    <w:p w14:paraId="651FEA75"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The Commission of the European Communities, 2005. Commission Regulation (EC) No. 2073/2005 of 15 November 2005 on microbiological criteria for foodstuffs. Off. J. Eur. Communities L 338, 1–26.</w:t>
      </w:r>
    </w:p>
    <w:p w14:paraId="147289F6"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lastRenderedPageBreak/>
        <w:t>Vögeli, Y., Riu, C., Gallardo, A., Diener, S., Zurbrügg, C., 2014. Anaerobic digestion of biowaste in developing countries. Practical information and case studies. Swiss Federal Institute of Aquatic Science and Technology (Eawag), Dübendorf (Switzerland).</w:t>
      </w:r>
      <w:r w:rsidRPr="00C7764C">
        <w:rPr>
          <w:rFonts w:ascii="Calibri" w:eastAsia="Calibri" w:hAnsi="Calibri"/>
          <w:color w:val="auto"/>
          <w:sz w:val="22"/>
          <w:szCs w:val="22"/>
          <w:lang w:val="en-GB" w:eastAsia="en-US"/>
        </w:rPr>
        <w:t xml:space="preserve"> </w:t>
      </w:r>
      <w:r w:rsidRPr="00C7764C">
        <w:rPr>
          <w:rFonts w:eastAsia="Calibri"/>
          <w:noProof/>
          <w:color w:val="auto"/>
          <w:sz w:val="20"/>
          <w:szCs w:val="24"/>
          <w:lang w:val="en-GB" w:eastAsia="en-US"/>
        </w:rPr>
        <w:t>ISBN: 978 3 906484 58 7.</w:t>
      </w:r>
    </w:p>
    <w:p w14:paraId="092354B9"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Wada, K., Takei, N., Sato, T., Tsuno, H., 2015. Sources of organic matter in first flush runoff from urban roadways. Water Sci. Technol. 72, 1234–1242. https://doi.org/10.2166/wst.2015.307.</w:t>
      </w:r>
    </w:p>
    <w:p w14:paraId="2B75F315"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Wang, Y., Ai, P., 2016. Integrating particle physical geometry into composting degradation kinetics. Bioresour. Technol. 200, 514–520. https://doi.org/10.1016/j.biortech.2015.10.073.</w:t>
      </w:r>
    </w:p>
    <w:p w14:paraId="66FB371B"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Westendorf, M.L., 2000. Food waste to animal feed, First edition. ed. Iowa State University Press, Ames, Iowa.</w:t>
      </w:r>
    </w:p>
    <w:p w14:paraId="4E7DF5C7"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Whiting, A., Azapagic, A., 2014. Life cycle environmental impacts of generating electricity and heat from biogas produced by anaerobic digestion. Energy 70, 181–193. https://doi.org/10.1016/j.energy.2014.03.103.</w:t>
      </w:r>
    </w:p>
    <w:p w14:paraId="514AAD82"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WHO, FAO, 1995. Codex general standard for contaminants and toxins in food and feed, Codex Standard. https://doi.org/10.1007/s13398-014-0173-7.2.</w:t>
      </w:r>
    </w:p>
    <w:p w14:paraId="38EF2261"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WRAP, 2016. Digestate and compost use in agriculture. Good practice guidance for agricultural contractors. Banbury (UK).</w:t>
      </w:r>
    </w:p>
    <w:p w14:paraId="4906A806"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WRAP, n.d. Quality Protocol. Compost. End of waste criteria for the production and use of quality compost from source-segregated biodegradable waste.</w:t>
      </w:r>
    </w:p>
    <w:p w14:paraId="1F68BE48"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Wu, Y., Wang, C., Liu, X., Ma, H., Wu, J., Zuo, J., Wang, K., 2016. A new method of two-phase anaerobic digestion for fruit and vegetable waste treatment. Bioresour. Technol. 211, 16–23. https://doi.org/http://dx.doi.org/10.1016/j.biortech.2016.03.050.</w:t>
      </w:r>
    </w:p>
    <w:p w14:paraId="10588A4E"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s-ES" w:eastAsia="en-US"/>
        </w:rPr>
      </w:pPr>
      <w:r w:rsidRPr="00C7764C">
        <w:rPr>
          <w:rFonts w:eastAsia="Calibri"/>
          <w:noProof/>
          <w:color w:val="auto"/>
          <w:sz w:val="20"/>
          <w:szCs w:val="24"/>
          <w:lang w:val="en-GB" w:eastAsia="en-US"/>
        </w:rPr>
        <w:t xml:space="preserve">Xu, C., Shi, W., Hong, J., Zhang, F., Chen, W., 2015. Life cycle assessment of food waste-based biogas generation. </w:t>
      </w:r>
      <w:r w:rsidRPr="00C7764C">
        <w:rPr>
          <w:rFonts w:eastAsia="Calibri"/>
          <w:noProof/>
          <w:color w:val="auto"/>
          <w:sz w:val="20"/>
          <w:szCs w:val="24"/>
          <w:lang w:val="es-ES" w:eastAsia="en-US"/>
        </w:rPr>
        <w:t>Renew. Sustain. Energy Rev. 49, 169–177. https://doi.org/10.1016/j.rser.2015.04.164.</w:t>
      </w:r>
    </w:p>
    <w:p w14:paraId="2FBE8404"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s-ES" w:eastAsia="en-US"/>
        </w:rPr>
        <w:t xml:space="preserve">Zhang, C., Su, H., Baeyens, J., Tan, T., 2014. </w:t>
      </w:r>
      <w:r w:rsidRPr="00C7764C">
        <w:rPr>
          <w:rFonts w:eastAsia="Calibri"/>
          <w:noProof/>
          <w:color w:val="auto"/>
          <w:sz w:val="20"/>
          <w:szCs w:val="24"/>
          <w:lang w:val="en-GB" w:eastAsia="en-US"/>
        </w:rPr>
        <w:t>Reviewing the anaerobic digestion of food waste for biogas production. Renew. Sustain. Energy Rev. 38, 383–392. https://doi.org/10.1016/j.rser.2014.05.038.</w:t>
      </w:r>
    </w:p>
    <w:p w14:paraId="3ADB5157"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Zhang, C., Su, H., Wang, Z., Tan, T., Qin, P., 2015. Biogas by Semi-Continuous Anaerobic Digestion of Food Waste. Appl. Biochem. Biotechnol. 175, 3901–3914. https://doi.org/10.1007/s12010-015-1559-5.</w:t>
      </w:r>
    </w:p>
    <w:p w14:paraId="0ACC3FD0"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4"/>
          <w:lang w:val="en-GB" w:eastAsia="en-US"/>
        </w:rPr>
      </w:pPr>
      <w:r w:rsidRPr="00C7764C">
        <w:rPr>
          <w:rFonts w:eastAsia="Calibri"/>
          <w:noProof/>
          <w:color w:val="auto"/>
          <w:sz w:val="20"/>
          <w:szCs w:val="24"/>
          <w:lang w:val="en-GB" w:eastAsia="en-US"/>
        </w:rPr>
        <w:t>Zhang, R., El-Mashad, H.M., Hartman, K., Wang, F., Liu, G., Choate, C., Gamble, P., 2007. Characterization of food waste as feedstock for anaerobic digestion. Bioresour. Technol. 98, 929–935. https://doi.org/10.1016/j.biortech.2006.02.039.</w:t>
      </w:r>
    </w:p>
    <w:p w14:paraId="58B8D3CC" w14:textId="77777777" w:rsidR="00C7764C" w:rsidRPr="00C7764C" w:rsidRDefault="00C7764C" w:rsidP="00C7764C">
      <w:pPr>
        <w:widowControl w:val="0"/>
        <w:autoSpaceDE w:val="0"/>
        <w:autoSpaceDN w:val="0"/>
        <w:adjustRightInd w:val="0"/>
        <w:spacing w:after="160" w:line="240" w:lineRule="auto"/>
        <w:ind w:left="480" w:hanging="480"/>
        <w:rPr>
          <w:rFonts w:eastAsia="Calibri"/>
          <w:noProof/>
          <w:color w:val="auto"/>
          <w:sz w:val="20"/>
          <w:szCs w:val="22"/>
          <w:lang w:val="en-GB" w:eastAsia="en-US"/>
        </w:rPr>
      </w:pPr>
      <w:r w:rsidRPr="00C7764C">
        <w:rPr>
          <w:rFonts w:eastAsia="Calibri"/>
          <w:noProof/>
          <w:color w:val="auto"/>
          <w:sz w:val="20"/>
          <w:szCs w:val="24"/>
          <w:lang w:val="en-GB" w:eastAsia="en-US"/>
        </w:rPr>
        <w:t>Zhao, Y., Deng, W., 2014. Environmental impacts of different food waste resource technologies and the effects of energy mix. Resour. Conserv. Recycl. 92, 214–221. https://doi.org/10.1016/j.resconrec.2014.07.005.</w:t>
      </w:r>
    </w:p>
    <w:p w14:paraId="7250F986" w14:textId="28650596" w:rsidR="00C7764C" w:rsidRDefault="00C7764C" w:rsidP="00F4061C">
      <w:pPr>
        <w:pStyle w:val="MDPI71References"/>
        <w:numPr>
          <w:ilvl w:val="0"/>
          <w:numId w:val="0"/>
        </w:numPr>
        <w:spacing w:after="240"/>
        <w:ind w:left="425"/>
      </w:pPr>
      <w:r w:rsidRPr="00C7764C">
        <w:rPr>
          <w:rFonts w:ascii="Times New Roman" w:eastAsia="Calibri" w:hAnsi="Times New Roman"/>
          <w:snapToGrid/>
          <w:color w:val="auto"/>
          <w:sz w:val="20"/>
          <w:szCs w:val="16"/>
          <w:lang w:val="en-GB" w:eastAsia="en-US" w:bidi="ar-SA"/>
        </w:rPr>
        <w:fldChar w:fldCharType="end"/>
      </w:r>
    </w:p>
    <w:tbl>
      <w:tblPr>
        <w:tblW w:w="0" w:type="auto"/>
        <w:jc w:val="center"/>
        <w:tblLook w:val="04A0" w:firstRow="1" w:lastRow="0" w:firstColumn="1" w:lastColumn="0" w:noHBand="0" w:noVBand="1"/>
      </w:tblPr>
      <w:tblGrid>
        <w:gridCol w:w="1707"/>
        <w:gridCol w:w="7149"/>
      </w:tblGrid>
      <w:tr w:rsidR="00632077" w:rsidRPr="003E7640" w14:paraId="46E722EA" w14:textId="77777777" w:rsidTr="00C90F92">
        <w:trPr>
          <w:jc w:val="center"/>
        </w:trPr>
        <w:tc>
          <w:tcPr>
            <w:tcW w:w="0" w:type="auto"/>
            <w:shd w:val="clear" w:color="auto" w:fill="auto"/>
            <w:vAlign w:val="center"/>
          </w:tcPr>
          <w:p w14:paraId="0064A042" w14:textId="77777777" w:rsidR="00632077" w:rsidRPr="003E7640" w:rsidRDefault="000C1128" w:rsidP="00DC5535">
            <w:pPr>
              <w:pStyle w:val="MDPI71References"/>
              <w:numPr>
                <w:ilvl w:val="0"/>
                <w:numId w:val="0"/>
              </w:numPr>
              <w:ind w:left="-85"/>
              <w:rPr>
                <w:rFonts w:eastAsia="SimSun"/>
                <w:bCs/>
              </w:rPr>
            </w:pPr>
            <w:r>
              <w:rPr>
                <w:rFonts w:eastAsia="SimSun"/>
                <w:bCs/>
              </w:rPr>
              <w:pict w14:anchorId="48A82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8.5pt">
                  <v:imagedata r:id="rId8" o:title="copyRight"/>
                </v:shape>
              </w:pict>
            </w:r>
          </w:p>
        </w:tc>
        <w:tc>
          <w:tcPr>
            <w:tcW w:w="7149" w:type="dxa"/>
            <w:shd w:val="clear" w:color="auto" w:fill="auto"/>
            <w:vAlign w:val="center"/>
          </w:tcPr>
          <w:p w14:paraId="2F64BE59" w14:textId="77777777" w:rsidR="00632077" w:rsidRPr="003E7640" w:rsidRDefault="00BD5735" w:rsidP="00DC5535">
            <w:pPr>
              <w:pStyle w:val="MDPI71References"/>
              <w:numPr>
                <w:ilvl w:val="0"/>
                <w:numId w:val="0"/>
              </w:numPr>
              <w:ind w:left="-85"/>
              <w:rPr>
                <w:rFonts w:eastAsia="SimSun"/>
                <w:bCs/>
              </w:rPr>
            </w:pPr>
            <w:r>
              <w:rPr>
                <w:rFonts w:eastAsia="SimSun"/>
                <w:bCs/>
              </w:rPr>
              <w:t>© 2019</w:t>
            </w:r>
            <w:r w:rsidR="00632077" w:rsidRPr="003E7640">
              <w:rPr>
                <w:rFonts w:eastAsia="SimSun"/>
                <w:bCs/>
              </w:rPr>
              <w:t xml:space="preserve"> by the authors. Submitted for possible open access publication under the terms and conditions of the Creative Commons Attribution (CC BY) license (http://creativecommons.org/licenses/by/4.0/).</w:t>
            </w:r>
          </w:p>
        </w:tc>
      </w:tr>
    </w:tbl>
    <w:p w14:paraId="2C335748" w14:textId="77777777" w:rsidR="00CD3203" w:rsidRPr="004C634A" w:rsidRDefault="00CD3203" w:rsidP="00632077">
      <w:pPr>
        <w:pStyle w:val="MDPI71References"/>
        <w:numPr>
          <w:ilvl w:val="0"/>
          <w:numId w:val="0"/>
        </w:numPr>
        <w:spacing w:after="240"/>
        <w:rPr>
          <w:rFonts w:eastAsia="SimSun"/>
        </w:rPr>
      </w:pPr>
    </w:p>
    <w:sectPr w:rsidR="00CD3203" w:rsidRPr="004C634A" w:rsidSect="00CD3203">
      <w:headerReference w:type="even" r:id="rId9"/>
      <w:headerReference w:type="default" r:id="rId10"/>
      <w:footerReference w:type="even"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07011" w14:textId="77777777" w:rsidR="00F22FDF" w:rsidRDefault="00F22FDF">
      <w:pPr>
        <w:spacing w:line="240" w:lineRule="auto"/>
      </w:pPr>
      <w:r>
        <w:separator/>
      </w:r>
    </w:p>
  </w:endnote>
  <w:endnote w:type="continuationSeparator" w:id="0">
    <w:p w14:paraId="5E95F431" w14:textId="77777777" w:rsidR="00F22FDF" w:rsidRDefault="00F22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9C14" w14:textId="77777777" w:rsidR="008301D9" w:rsidRDefault="00830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ABE4" w14:textId="77777777" w:rsidR="008301D9" w:rsidRDefault="00830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DD89" w14:textId="77777777" w:rsidR="008301D9" w:rsidRPr="008B308E" w:rsidRDefault="008301D9" w:rsidP="00C45F1E">
    <w:pPr>
      <w:pStyle w:val="MDPIfooterfirstpage"/>
      <w:spacing w:line="240" w:lineRule="auto"/>
      <w:jc w:val="both"/>
      <w:rPr>
        <w:lang w:val="fr-CH"/>
      </w:rPr>
    </w:pPr>
    <w:r w:rsidRPr="00C30F79">
      <w:rPr>
        <w:i/>
        <w:iCs/>
        <w:szCs w:val="16"/>
      </w:rPr>
      <w:t>Sustainability</w:t>
    </w:r>
    <w:r w:rsidRPr="00C30F79">
      <w:rPr>
        <w:szCs w:val="16"/>
      </w:rPr>
      <w:t xml:space="preserve"> </w:t>
    </w:r>
    <w:r w:rsidRPr="00632077">
      <w:rPr>
        <w:b/>
        <w:bCs/>
        <w:iCs/>
        <w:szCs w:val="16"/>
      </w:rPr>
      <w:t>2019</w:t>
    </w:r>
    <w:r w:rsidRPr="00632077">
      <w:rPr>
        <w:bCs/>
        <w:iCs/>
        <w:szCs w:val="16"/>
      </w:rPr>
      <w:t xml:space="preserve">, </w:t>
    </w:r>
    <w:r w:rsidRPr="00632077">
      <w:rPr>
        <w:bCs/>
        <w:i/>
        <w:iCs/>
        <w:szCs w:val="16"/>
      </w:rPr>
      <w:t>11</w:t>
    </w:r>
    <w:r w:rsidRPr="00632077">
      <w:rPr>
        <w:bCs/>
        <w:iCs/>
        <w:szCs w:val="16"/>
      </w:rPr>
      <w:t xml:space="preserve">, </w:t>
    </w:r>
    <w:r>
      <w:rPr>
        <w:bCs/>
        <w:iCs/>
        <w:szCs w:val="16"/>
      </w:rPr>
      <w:t xml:space="preserve">x; </w:t>
    </w:r>
    <w:proofErr w:type="spellStart"/>
    <w:r>
      <w:rPr>
        <w:bCs/>
        <w:iCs/>
        <w:szCs w:val="16"/>
      </w:rPr>
      <w:t>doi</w:t>
    </w:r>
    <w:proofErr w:type="spellEnd"/>
    <w:r>
      <w:rPr>
        <w:bCs/>
        <w:iCs/>
        <w:szCs w:val="16"/>
      </w:rPr>
      <w:t>: FOR PEER REVIEW</w:t>
    </w:r>
    <w:r w:rsidRPr="008B308E">
      <w:rPr>
        <w:lang w:val="fr-CH"/>
      </w:rPr>
      <w:tab/>
      <w:t>www.mdpi.com/journal/</w:t>
    </w:r>
    <w:r w:rsidRPr="003915ED">
      <w: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622D" w14:textId="77777777" w:rsidR="00F22FDF" w:rsidRDefault="00F22FDF">
      <w:pPr>
        <w:spacing w:line="240" w:lineRule="auto"/>
      </w:pPr>
      <w:r>
        <w:separator/>
      </w:r>
    </w:p>
  </w:footnote>
  <w:footnote w:type="continuationSeparator" w:id="0">
    <w:p w14:paraId="37C34708" w14:textId="77777777" w:rsidR="00F22FDF" w:rsidRDefault="00F22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C8EA" w14:textId="77777777" w:rsidR="008301D9" w:rsidRDefault="008301D9"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D368" w14:textId="77777777" w:rsidR="008301D9" w:rsidRPr="0050778E" w:rsidRDefault="008301D9" w:rsidP="00C90F92">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Sustainability </w:t>
    </w:r>
    <w:r w:rsidRPr="00632077">
      <w:rPr>
        <w:rFonts w:ascii="Palatino Linotype" w:hAnsi="Palatino Linotype"/>
        <w:b/>
        <w:sz w:val="16"/>
      </w:rPr>
      <w:t>2019</w:t>
    </w:r>
    <w:r w:rsidRPr="00632077">
      <w:rPr>
        <w:rFonts w:ascii="Palatino Linotype" w:hAnsi="Palatino Linotype"/>
        <w:sz w:val="16"/>
      </w:rPr>
      <w:t xml:space="preserve">, </w:t>
    </w:r>
    <w:r w:rsidRPr="00632077">
      <w:rPr>
        <w:rFonts w:ascii="Palatino Linotype" w:hAnsi="Palatino Linotype"/>
        <w:i/>
        <w:sz w:val="16"/>
      </w:rPr>
      <w:t>11</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3</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F0EC" w14:textId="77777777" w:rsidR="008301D9" w:rsidRDefault="00F22FDF" w:rsidP="00C45F1E">
    <w:pPr>
      <w:pStyle w:val="MDPIheaderjournallogo"/>
    </w:pPr>
    <w:r>
      <w:rPr>
        <w:i w:val="0"/>
        <w:noProof/>
        <w:szCs w:val="16"/>
        <w:lang w:eastAsia="zh-CN"/>
      </w:rPr>
      <w:pict w14:anchorId="4CF8B6AB">
        <v:shapetype id="_x0000_t202" coordsize="21600,21600" o:spt="202" path="m,l,21600r21600,l21600,xe">
          <v:stroke joinstyle="miter"/>
          <v:path gradientshapeok="t" o:connecttype="rect"/>
        </v:shapetype>
        <v:shape id="Text Box 2" o:spid="_x0000_s2049" type="#_x0000_t202" style="position:absolute;margin-left:474.8pt;margin-top:51pt;width:45.05pt;height:55.85pt;z-index:-1;visibility:visible;mso-wrap-style:non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inset="0,0,0,0">
            <w:txbxContent>
              <w:p w14:paraId="091F2381" w14:textId="77777777" w:rsidR="008301D9" w:rsidRDefault="00F22FDF" w:rsidP="00C45F1E">
                <w:pPr>
                  <w:pStyle w:val="MDPIheaderjournallogo"/>
                  <w:jc w:val="center"/>
                  <w:textboxTightWrap w:val="allLines"/>
                  <w:rPr>
                    <w:i w:val="0"/>
                    <w:szCs w:val="16"/>
                  </w:rPr>
                </w:pPr>
                <w:r>
                  <w:rPr>
                    <w:i w:val="0"/>
                    <w:noProof/>
                    <w:szCs w:val="16"/>
                    <w:lang w:eastAsia="zh-CN"/>
                  </w:rPr>
                  <w:pict w14:anchorId="62B30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42.75pt;height:27.75pt;visibility:visible">
                      <v:imagedata r:id="rId1" o:title="logo-mdpi"/>
                    </v:shape>
                  </w:pict>
                </w:r>
              </w:p>
            </w:txbxContent>
          </v:textbox>
          <w10:wrap anchorx="margin" anchory="page"/>
        </v:shape>
      </w:pict>
    </w:r>
    <w:r>
      <w:rPr>
        <w:noProof/>
        <w:lang w:eastAsia="zh-CN"/>
      </w:rPr>
      <w:pict w14:anchorId="7C84AE49">
        <v:shape id="Picture 5" o:spid="_x0000_i1028" type="#_x0000_t75" style="width:132.75pt;height:33.75pt;visibility:visible">
          <v:imagedata r:id="rId2" o:title="sustainability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61C"/>
    <w:rsid w:val="000142CA"/>
    <w:rsid w:val="00051876"/>
    <w:rsid w:val="00064772"/>
    <w:rsid w:val="00071218"/>
    <w:rsid w:val="000925CA"/>
    <w:rsid w:val="00093E7F"/>
    <w:rsid w:val="000C1128"/>
    <w:rsid w:val="001A1BB3"/>
    <w:rsid w:val="001B38D4"/>
    <w:rsid w:val="001E2AEB"/>
    <w:rsid w:val="0022638C"/>
    <w:rsid w:val="002266AA"/>
    <w:rsid w:val="002E57DB"/>
    <w:rsid w:val="002E5B86"/>
    <w:rsid w:val="002F1BFE"/>
    <w:rsid w:val="00316C89"/>
    <w:rsid w:val="00326141"/>
    <w:rsid w:val="00354A5A"/>
    <w:rsid w:val="003B4242"/>
    <w:rsid w:val="003C4887"/>
    <w:rsid w:val="003E6EBD"/>
    <w:rsid w:val="003E7640"/>
    <w:rsid w:val="003F7572"/>
    <w:rsid w:val="00401D30"/>
    <w:rsid w:val="004C46B1"/>
    <w:rsid w:val="004E0F98"/>
    <w:rsid w:val="004E21A1"/>
    <w:rsid w:val="005327C9"/>
    <w:rsid w:val="00562CFC"/>
    <w:rsid w:val="00565509"/>
    <w:rsid w:val="005E14E8"/>
    <w:rsid w:val="00604EDE"/>
    <w:rsid w:val="00607F24"/>
    <w:rsid w:val="00632077"/>
    <w:rsid w:val="006429BB"/>
    <w:rsid w:val="00692393"/>
    <w:rsid w:val="007516DB"/>
    <w:rsid w:val="0075794E"/>
    <w:rsid w:val="007628E6"/>
    <w:rsid w:val="0076686D"/>
    <w:rsid w:val="00770948"/>
    <w:rsid w:val="0077402B"/>
    <w:rsid w:val="007A283C"/>
    <w:rsid w:val="007C6F27"/>
    <w:rsid w:val="007D2775"/>
    <w:rsid w:val="00822B3D"/>
    <w:rsid w:val="008301D9"/>
    <w:rsid w:val="00832857"/>
    <w:rsid w:val="00841933"/>
    <w:rsid w:val="00870C30"/>
    <w:rsid w:val="008838CF"/>
    <w:rsid w:val="008F446B"/>
    <w:rsid w:val="00933E2C"/>
    <w:rsid w:val="00956613"/>
    <w:rsid w:val="009D5560"/>
    <w:rsid w:val="009F70E6"/>
    <w:rsid w:val="00A0174A"/>
    <w:rsid w:val="00A04FD6"/>
    <w:rsid w:val="00A0751C"/>
    <w:rsid w:val="00A36565"/>
    <w:rsid w:val="00AB5AA1"/>
    <w:rsid w:val="00AF527D"/>
    <w:rsid w:val="00AF5A91"/>
    <w:rsid w:val="00B00AFB"/>
    <w:rsid w:val="00B71913"/>
    <w:rsid w:val="00B84F5A"/>
    <w:rsid w:val="00BA2E09"/>
    <w:rsid w:val="00BD2405"/>
    <w:rsid w:val="00BD5735"/>
    <w:rsid w:val="00BD6A39"/>
    <w:rsid w:val="00C02A07"/>
    <w:rsid w:val="00C036E8"/>
    <w:rsid w:val="00C45F1E"/>
    <w:rsid w:val="00C7764C"/>
    <w:rsid w:val="00C81B1E"/>
    <w:rsid w:val="00C90EAB"/>
    <w:rsid w:val="00C90F92"/>
    <w:rsid w:val="00CD3203"/>
    <w:rsid w:val="00D06318"/>
    <w:rsid w:val="00D07230"/>
    <w:rsid w:val="00D223A8"/>
    <w:rsid w:val="00D26A81"/>
    <w:rsid w:val="00D32E9B"/>
    <w:rsid w:val="00DB04E8"/>
    <w:rsid w:val="00DC5535"/>
    <w:rsid w:val="00E30E54"/>
    <w:rsid w:val="00E55AD6"/>
    <w:rsid w:val="00E70428"/>
    <w:rsid w:val="00EA77BB"/>
    <w:rsid w:val="00EF7C2A"/>
    <w:rsid w:val="00F22FDF"/>
    <w:rsid w:val="00F4061C"/>
    <w:rsid w:val="00F57906"/>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364D2B"/>
  <w15:chartTrackingRefBased/>
  <w15:docId w15:val="{9F86A007-113D-4AEE-AEB0-F0E63B26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03"/>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CD3203"/>
    <w:pPr>
      <w:spacing w:before="240" w:line="240" w:lineRule="auto"/>
      <w:ind w:firstLine="0"/>
      <w:jc w:val="left"/>
    </w:pPr>
    <w:rPr>
      <w:i/>
    </w:rPr>
  </w:style>
  <w:style w:type="paragraph" w:customStyle="1" w:styleId="MDPI12title">
    <w:name w:val="MDPI_1.2_title"/>
    <w:next w:val="MDPI13authornames"/>
    <w:qFormat/>
    <w:rsid w:val="00CD3203"/>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CD3203"/>
    <w:pPr>
      <w:spacing w:after="120"/>
      <w:ind w:firstLine="0"/>
      <w:jc w:val="left"/>
    </w:pPr>
    <w:rPr>
      <w:b/>
      <w:snapToGrid/>
    </w:rPr>
  </w:style>
  <w:style w:type="paragraph" w:customStyle="1" w:styleId="MDPI14history">
    <w:name w:val="MDPI_1.4_history"/>
    <w:basedOn w:val="MDPI62Acknowledgments"/>
    <w:next w:val="Normal"/>
    <w:qFormat/>
    <w:rsid w:val="00CD3203"/>
    <w:pPr>
      <w:ind w:left="113"/>
      <w:jc w:val="left"/>
    </w:pPr>
    <w:rPr>
      <w:snapToGrid/>
    </w:rPr>
  </w:style>
  <w:style w:type="paragraph" w:customStyle="1" w:styleId="MDPI16affiliation">
    <w:name w:val="MDPI_1.6_affiliation"/>
    <w:basedOn w:val="MDPI62Acknowledgments"/>
    <w:qFormat/>
    <w:rsid w:val="00CD3203"/>
    <w:pPr>
      <w:spacing w:before="0"/>
      <w:ind w:left="311" w:hanging="198"/>
      <w:jc w:val="left"/>
    </w:pPr>
    <w:rPr>
      <w:snapToGrid/>
      <w:szCs w:val="18"/>
    </w:rPr>
  </w:style>
  <w:style w:type="paragraph" w:customStyle="1" w:styleId="MDPI17abstract">
    <w:name w:val="MDPI_1.7_abstract"/>
    <w:basedOn w:val="MDPI31text"/>
    <w:next w:val="MDPI18keywords"/>
    <w:qFormat/>
    <w:rsid w:val="00CD3203"/>
    <w:pPr>
      <w:spacing w:before="240"/>
      <w:ind w:left="113" w:firstLine="0"/>
    </w:pPr>
    <w:rPr>
      <w:snapToGrid/>
    </w:rPr>
  </w:style>
  <w:style w:type="paragraph" w:customStyle="1" w:styleId="MDPI18keywords">
    <w:name w:val="MDPI_1.8_keywords"/>
    <w:basedOn w:val="MDPI31text"/>
    <w:next w:val="Normal"/>
    <w:qFormat/>
    <w:rsid w:val="00CD3203"/>
    <w:pPr>
      <w:spacing w:before="240"/>
      <w:ind w:left="113" w:firstLine="0"/>
    </w:pPr>
  </w:style>
  <w:style w:type="paragraph" w:customStyle="1" w:styleId="MDPI19line">
    <w:name w:val="MDPI_1.9_line"/>
    <w:basedOn w:val="MDPI31text"/>
    <w:qFormat/>
    <w:rsid w:val="00CD320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CD3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2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CD320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CD3203"/>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CD3203"/>
    <w:pPr>
      <w:ind w:firstLine="0"/>
    </w:pPr>
  </w:style>
  <w:style w:type="paragraph" w:customStyle="1" w:styleId="MDPI33textspaceafter">
    <w:name w:val="MDPI_3.3_text_space_after"/>
    <w:basedOn w:val="MDPI31text"/>
    <w:qFormat/>
    <w:rsid w:val="00CD3203"/>
    <w:pPr>
      <w:spacing w:after="240"/>
    </w:pPr>
  </w:style>
  <w:style w:type="paragraph" w:customStyle="1" w:styleId="MDPI35textbeforelist">
    <w:name w:val="MDPI_3.5_text_before_list"/>
    <w:basedOn w:val="MDPI31text"/>
    <w:qFormat/>
    <w:rsid w:val="00CD3203"/>
    <w:pPr>
      <w:spacing w:after="120"/>
    </w:pPr>
  </w:style>
  <w:style w:type="paragraph" w:customStyle="1" w:styleId="MDPI36textafterlist">
    <w:name w:val="MDPI_3.6_text_after_list"/>
    <w:basedOn w:val="MDPI31text"/>
    <w:qFormat/>
    <w:rsid w:val="00CD3203"/>
    <w:pPr>
      <w:spacing w:before="120"/>
    </w:pPr>
  </w:style>
  <w:style w:type="paragraph" w:customStyle="1" w:styleId="MDPI37itemize">
    <w:name w:val="MDPI_3.7_itemize"/>
    <w:basedOn w:val="MDPI31text"/>
    <w:qFormat/>
    <w:rsid w:val="00CD3203"/>
    <w:pPr>
      <w:numPr>
        <w:numId w:val="1"/>
      </w:numPr>
      <w:ind w:left="425" w:hanging="425"/>
    </w:pPr>
  </w:style>
  <w:style w:type="paragraph" w:customStyle="1" w:styleId="MDPI38bullet">
    <w:name w:val="MDPI_3.8_bullet"/>
    <w:basedOn w:val="MDPI31text"/>
    <w:qFormat/>
    <w:rsid w:val="00CD3203"/>
    <w:pPr>
      <w:numPr>
        <w:numId w:val="2"/>
      </w:numPr>
      <w:ind w:left="425" w:hanging="425"/>
    </w:pPr>
  </w:style>
  <w:style w:type="paragraph" w:customStyle="1" w:styleId="MDPI39equation">
    <w:name w:val="MDPI_3.9_equation"/>
    <w:basedOn w:val="MDPI31text"/>
    <w:qFormat/>
    <w:rsid w:val="00CD3203"/>
    <w:pPr>
      <w:spacing w:before="120" w:after="120"/>
      <w:ind w:left="709" w:firstLine="0"/>
      <w:jc w:val="center"/>
    </w:pPr>
  </w:style>
  <w:style w:type="paragraph" w:customStyle="1" w:styleId="MDPI3aequationnumber">
    <w:name w:val="MDPI_3.a_equation_number"/>
    <w:basedOn w:val="MDPI31text"/>
    <w:qFormat/>
    <w:rsid w:val="00CD3203"/>
    <w:pPr>
      <w:spacing w:before="120" w:after="120" w:line="240" w:lineRule="auto"/>
      <w:ind w:firstLine="0"/>
      <w:jc w:val="right"/>
    </w:pPr>
  </w:style>
  <w:style w:type="paragraph" w:customStyle="1" w:styleId="MDPI62Acknowledgments">
    <w:name w:val="MDPI_6.2_Acknowledgments"/>
    <w:qFormat/>
    <w:rsid w:val="00CD320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CD3203"/>
    <w:pPr>
      <w:spacing w:before="240" w:after="120" w:line="260" w:lineRule="atLeast"/>
      <w:ind w:left="425" w:right="425"/>
    </w:pPr>
    <w:rPr>
      <w:snapToGrid/>
      <w:szCs w:val="22"/>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CD3203"/>
    <w:pPr>
      <w:spacing w:before="0"/>
      <w:ind w:left="0" w:right="0"/>
    </w:pPr>
  </w:style>
  <w:style w:type="paragraph" w:customStyle="1" w:styleId="MDPI51figurecaption">
    <w:name w:val="MDPI_5.1_figure_caption"/>
    <w:basedOn w:val="MDPI62Acknowledgments"/>
    <w:qFormat/>
    <w:rsid w:val="00CD3203"/>
    <w:pPr>
      <w:spacing w:after="240" w:line="260" w:lineRule="atLeast"/>
      <w:ind w:left="425" w:right="425"/>
    </w:pPr>
    <w:rPr>
      <w:snapToGrid/>
    </w:rPr>
  </w:style>
  <w:style w:type="paragraph" w:customStyle="1" w:styleId="MDPI52figure">
    <w:name w:val="MDPI_5.2_figure"/>
    <w:qFormat/>
    <w:rsid w:val="00CD3203"/>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CD3203"/>
    <w:pPr>
      <w:spacing w:before="240"/>
    </w:pPr>
    <w:rPr>
      <w:lang w:eastAsia="en-US"/>
    </w:rPr>
  </w:style>
  <w:style w:type="paragraph" w:customStyle="1" w:styleId="MDPI63AuthorContributions">
    <w:name w:val="MDPI_6.3_AuthorContributions"/>
    <w:basedOn w:val="MDPI62Acknowledgments"/>
    <w:qFormat/>
    <w:rsid w:val="00CD3203"/>
    <w:rPr>
      <w:rFonts w:eastAsia="SimSun"/>
      <w:color w:val="auto"/>
      <w:lang w:eastAsia="en-US"/>
    </w:rPr>
  </w:style>
  <w:style w:type="paragraph" w:customStyle="1" w:styleId="MDPI64CoI">
    <w:name w:val="MDPI_6.4_CoI"/>
    <w:basedOn w:val="MDPI62Acknowledgments"/>
    <w:qFormat/>
    <w:rsid w:val="00CD3203"/>
  </w:style>
  <w:style w:type="paragraph" w:customStyle="1" w:styleId="MDPIfooterfirstpage">
    <w:name w:val="MDPI_footer_firstpage"/>
    <w:basedOn w:val="Normal"/>
    <w:qFormat/>
    <w:rsid w:val="00CD320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CD3203"/>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CD3203"/>
    <w:pPr>
      <w:spacing w:before="240" w:after="120"/>
      <w:ind w:firstLine="0"/>
      <w:jc w:val="left"/>
      <w:outlineLvl w:val="2"/>
    </w:pPr>
  </w:style>
  <w:style w:type="paragraph" w:customStyle="1" w:styleId="MDPI21heading1">
    <w:name w:val="MDPI_2.1_heading1"/>
    <w:basedOn w:val="MDPI23heading3"/>
    <w:qFormat/>
    <w:rsid w:val="00CD3203"/>
    <w:pPr>
      <w:outlineLvl w:val="0"/>
    </w:pPr>
    <w:rPr>
      <w:b/>
    </w:rPr>
  </w:style>
  <w:style w:type="paragraph" w:customStyle="1" w:styleId="MDPI22heading2">
    <w:name w:val="MDPI_2.2_heading2"/>
    <w:basedOn w:val="Normal"/>
    <w:qFormat/>
    <w:rsid w:val="00CD320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CD3203"/>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CD3203"/>
    <w:pPr>
      <w:spacing w:line="240" w:lineRule="auto"/>
    </w:pPr>
    <w:rPr>
      <w:sz w:val="18"/>
      <w:szCs w:val="18"/>
    </w:rPr>
  </w:style>
  <w:style w:type="character" w:customStyle="1" w:styleId="BalloonTextChar">
    <w:name w:val="Balloon Text Char"/>
    <w:link w:val="BalloonText"/>
    <w:uiPriority w:val="99"/>
    <w:semiHidden/>
    <w:rsid w:val="00CD320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CD3203"/>
  </w:style>
  <w:style w:type="table" w:customStyle="1" w:styleId="MDPI41threelinetable">
    <w:name w:val="MDPI_4.1_three_line_table"/>
    <w:basedOn w:val="TableNormal"/>
    <w:uiPriority w:val="99"/>
    <w:rsid w:val="005E14E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C02A07"/>
    <w:rPr>
      <w:color w:val="0563C1"/>
      <w:u w:val="single"/>
    </w:rPr>
  </w:style>
  <w:style w:type="character" w:styleId="UnresolvedMention">
    <w:name w:val="Unresolved Mention"/>
    <w:uiPriority w:val="99"/>
    <w:semiHidden/>
    <w:unhideWhenUsed/>
    <w:rsid w:val="004C46B1"/>
    <w:rPr>
      <w:color w:val="605E5C"/>
      <w:shd w:val="clear" w:color="auto" w:fill="E1DFDD"/>
    </w:rPr>
  </w:style>
  <w:style w:type="paragraph" w:styleId="Footer">
    <w:name w:val="footer"/>
    <w:basedOn w:val="Normal"/>
    <w:link w:val="FooterChar"/>
    <w:uiPriority w:val="99"/>
    <w:unhideWhenUsed/>
    <w:rsid w:val="00632077"/>
    <w:pPr>
      <w:tabs>
        <w:tab w:val="center" w:pos="4153"/>
        <w:tab w:val="right" w:pos="8306"/>
      </w:tabs>
    </w:pPr>
  </w:style>
  <w:style w:type="character" w:customStyle="1" w:styleId="FooterChar">
    <w:name w:val="Footer Char"/>
    <w:link w:val="Footer"/>
    <w:uiPriority w:val="99"/>
    <w:rsid w:val="00632077"/>
    <w:rPr>
      <w:rFonts w:ascii="Times New Roman" w:eastAsia="Times New Roman" w:hAnsi="Times New Roman"/>
      <w:color w:val="000000"/>
      <w:sz w:val="24"/>
      <w:lang w:eastAsia="de-DE"/>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C7764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764C"/>
  </w:style>
  <w:style w:type="table" w:customStyle="1" w:styleId="LightList-Accent31">
    <w:name w:val="Light List - Accent 31"/>
    <w:basedOn w:val="TableNormal"/>
    <w:next w:val="LightList-Accent3"/>
    <w:uiPriority w:val="61"/>
    <w:rsid w:val="00C7764C"/>
    <w:rPr>
      <w:rFonts w:cs="Arial"/>
      <w:sz w:val="22"/>
      <w:szCs w:val="22"/>
      <w:lang w:eastAsia="zh-CN"/>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rPr>
      <w:cantSplit/>
    </w:tr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unhideWhenUsed/>
    <w:rsid w:val="00C7764C"/>
    <w:rPr>
      <w:rFonts w:eastAsia="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Table">
    <w:name w:val="Table"/>
    <w:basedOn w:val="Normal"/>
    <w:link w:val="TableChar"/>
    <w:qFormat/>
    <w:rsid w:val="00C7764C"/>
    <w:pPr>
      <w:spacing w:line="240" w:lineRule="auto"/>
      <w:jc w:val="center"/>
    </w:pPr>
    <w:rPr>
      <w:rFonts w:ascii="Calibri" w:eastAsia="SimSun" w:hAnsi="Calibri" w:cs="Arial"/>
      <w:color w:val="auto"/>
      <w:sz w:val="22"/>
      <w:lang w:val="en-GB" w:eastAsia="zh-CN"/>
    </w:rPr>
  </w:style>
  <w:style w:type="character" w:customStyle="1" w:styleId="TableChar">
    <w:name w:val="Table Char"/>
    <w:link w:val="Table"/>
    <w:rsid w:val="00C7764C"/>
    <w:rPr>
      <w:rFonts w:cs="Arial"/>
      <w:sz w:val="22"/>
      <w:lang w:eastAsia="zh-CN"/>
    </w:rPr>
  </w:style>
  <w:style w:type="table" w:customStyle="1" w:styleId="LightList-Accent311">
    <w:name w:val="Light List - Accent 311"/>
    <w:basedOn w:val="TableNormal"/>
    <w:next w:val="LightList-Accent3"/>
    <w:uiPriority w:val="61"/>
    <w:rsid w:val="00C7764C"/>
    <w:rPr>
      <w:rFonts w:cs="Arial"/>
      <w:sz w:val="22"/>
      <w:szCs w:val="22"/>
      <w:lang w:eastAsia="zh-CN"/>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rPr>
      <w:cantSplit/>
    </w:tr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2">
    <w:name w:val="Light List - Accent 312"/>
    <w:basedOn w:val="TableNormal"/>
    <w:next w:val="LightList-Accent3"/>
    <w:uiPriority w:val="61"/>
    <w:rsid w:val="00C7764C"/>
    <w:rPr>
      <w:rFonts w:cs="Arial"/>
      <w:sz w:val="22"/>
      <w:szCs w:val="22"/>
      <w:lang w:eastAsia="zh-CN"/>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rPr>
      <w:cantSplit/>
    </w:tr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3">
    <w:name w:val="Light List - Accent 313"/>
    <w:basedOn w:val="TableNormal"/>
    <w:next w:val="LightList-Accent3"/>
    <w:uiPriority w:val="61"/>
    <w:rsid w:val="00C7764C"/>
    <w:rPr>
      <w:rFonts w:cs="Arial"/>
      <w:sz w:val="22"/>
      <w:szCs w:val="22"/>
      <w:lang w:eastAsia="zh-CN"/>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rPr>
      <w:cantSplit/>
    </w:tr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4">
    <w:name w:val="Light List - Accent 314"/>
    <w:basedOn w:val="TableNormal"/>
    <w:next w:val="LightList-Accent3"/>
    <w:uiPriority w:val="61"/>
    <w:rsid w:val="00C7764C"/>
    <w:rPr>
      <w:rFonts w:cs="Arial"/>
      <w:sz w:val="22"/>
      <w:szCs w:val="22"/>
      <w:lang w:eastAsia="zh-CN"/>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rPr>
      <w:cantSplit/>
    </w:tr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5">
    <w:name w:val="Light List - Accent 315"/>
    <w:basedOn w:val="TableNormal"/>
    <w:next w:val="LightList-Accent3"/>
    <w:uiPriority w:val="61"/>
    <w:rsid w:val="00C7764C"/>
    <w:rPr>
      <w:rFonts w:cs="Arial"/>
      <w:sz w:val="22"/>
      <w:szCs w:val="22"/>
      <w:lang w:eastAsia="zh-CN"/>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rPr>
      <w:cantSplit/>
    </w:tr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6">
    <w:name w:val="Light List - Accent 316"/>
    <w:basedOn w:val="TableNormal"/>
    <w:next w:val="LightList-Accent3"/>
    <w:uiPriority w:val="61"/>
    <w:rsid w:val="00C7764C"/>
    <w:rPr>
      <w:rFonts w:cs="Arial"/>
      <w:sz w:val="22"/>
      <w:szCs w:val="22"/>
      <w:lang w:eastAsia="zh-CN"/>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rPr>
      <w:cantSplit/>
    </w:tr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PlainTable2">
    <w:name w:val="Plain Table 2"/>
    <w:basedOn w:val="TableNormal"/>
    <w:uiPriority w:val="42"/>
    <w:rsid w:val="00C7764C"/>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C7764C"/>
    <w:pPr>
      <w:spacing w:after="200" w:line="240" w:lineRule="auto"/>
      <w:jc w:val="center"/>
    </w:pPr>
    <w:rPr>
      <w:rFonts w:ascii="Calibri" w:eastAsia="Calibri" w:hAnsi="Calibri"/>
      <w:iCs/>
      <w:color w:val="auto"/>
      <w:sz w:val="18"/>
      <w:szCs w:val="18"/>
      <w:lang w:val="en-GB" w:eastAsia="en-US"/>
    </w:rPr>
  </w:style>
  <w:style w:type="table" w:customStyle="1" w:styleId="TableGrid2">
    <w:name w:val="Table Grid2"/>
    <w:basedOn w:val="TableNormal"/>
    <w:next w:val="TableGrid"/>
    <w:uiPriority w:val="39"/>
    <w:rsid w:val="00C7764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7764C"/>
    <w:rPr>
      <w:sz w:val="16"/>
      <w:szCs w:val="16"/>
    </w:rPr>
  </w:style>
  <w:style w:type="paragraph" w:styleId="CommentText">
    <w:name w:val="annotation text"/>
    <w:basedOn w:val="Normal"/>
    <w:link w:val="CommentTextChar"/>
    <w:uiPriority w:val="99"/>
    <w:semiHidden/>
    <w:unhideWhenUsed/>
    <w:rsid w:val="00C7764C"/>
    <w:pPr>
      <w:spacing w:after="160" w:line="240" w:lineRule="auto"/>
    </w:pPr>
    <w:rPr>
      <w:rFonts w:ascii="Calibri" w:eastAsia="Calibri" w:hAnsi="Calibri"/>
      <w:color w:val="auto"/>
      <w:sz w:val="20"/>
      <w:lang w:val="en-GB" w:eastAsia="en-US"/>
    </w:rPr>
  </w:style>
  <w:style w:type="character" w:customStyle="1" w:styleId="CommentTextChar">
    <w:name w:val="Comment Text Char"/>
    <w:link w:val="CommentText"/>
    <w:uiPriority w:val="99"/>
    <w:semiHidden/>
    <w:rsid w:val="00C7764C"/>
    <w:rPr>
      <w:rFonts w:eastAsia="Calibri"/>
      <w:lang w:eastAsia="en-US"/>
    </w:rPr>
  </w:style>
  <w:style w:type="paragraph" w:styleId="CommentSubject">
    <w:name w:val="annotation subject"/>
    <w:basedOn w:val="CommentText"/>
    <w:next w:val="CommentText"/>
    <w:link w:val="CommentSubjectChar"/>
    <w:uiPriority w:val="99"/>
    <w:semiHidden/>
    <w:unhideWhenUsed/>
    <w:rsid w:val="00C7764C"/>
    <w:rPr>
      <w:b/>
      <w:bCs/>
    </w:rPr>
  </w:style>
  <w:style w:type="character" w:customStyle="1" w:styleId="CommentSubjectChar">
    <w:name w:val="Comment Subject Char"/>
    <w:link w:val="CommentSubject"/>
    <w:uiPriority w:val="99"/>
    <w:semiHidden/>
    <w:rsid w:val="00C7764C"/>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g4\Google%20Drive\Guillermo\My%20papers\2019%20Identification%20and%20Analysis%20of%20Attributes%20for%20Industrial%20Food%20Waste%20Management%20Modelling\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6FEAF-2431-4812-99A0-5F34C13F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sustainability-template.dot</Template>
  <TotalTime>49</TotalTime>
  <Pages>1</Pages>
  <Words>78099</Words>
  <Characters>445169</Characters>
  <Application>Microsoft Office Word</Application>
  <DocSecurity>0</DocSecurity>
  <Lines>3709</Lines>
  <Paragraphs>1044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522224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Garcia-Garcia</dc:creator>
  <cp:keywords/>
  <dc:description/>
  <cp:lastModifiedBy>Gareth Cole</cp:lastModifiedBy>
  <cp:revision>18</cp:revision>
  <dcterms:created xsi:type="dcterms:W3CDTF">2019-03-15T17:45:00Z</dcterms:created>
  <dcterms:modified xsi:type="dcterms:W3CDTF">2019-05-01T15:11:00Z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http://www.zotero.org/styles/ecological-indicators</vt:lpwstr>
  </property>
  <property fmtid="{D5CDD505-2E9C-101B-9397-08002B2CF9AE}" pid="9" name="Mendeley Recent Style Name 3_1">
    <vt:lpwstr>Ecological Indicators</vt:lpwstr>
  </property>
  <property fmtid="{D5CDD505-2E9C-101B-9397-08002B2CF9AE}" pid="10" name="Mendeley Recent Style Id 4_1">
    <vt:lpwstr>http://www.zotero.org/styles/journal-of-cleaner-production</vt:lpwstr>
  </property>
  <property fmtid="{D5CDD505-2E9C-101B-9397-08002B2CF9AE}" pid="11" name="Mendeley Recent Style Name 4_1">
    <vt:lpwstr>Journal of Cleaner Production</vt:lpwstr>
  </property>
  <property fmtid="{D5CDD505-2E9C-101B-9397-08002B2CF9AE}" pid="12" name="Mendeley Recent Style Id 5_1">
    <vt:lpwstr>http://www.zotero.org/styles/journal-of-environmental-management</vt:lpwstr>
  </property>
  <property fmtid="{D5CDD505-2E9C-101B-9397-08002B2CF9AE}" pid="13" name="Mendeley Recent Style Name 5_1">
    <vt:lpwstr>Journal of Environmental Management</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http://www.zotero.org/styles/resources-conservation-and-recycling</vt:lpwstr>
  </property>
  <property fmtid="{D5CDD505-2E9C-101B-9397-08002B2CF9AE}" pid="19" name="Mendeley Recent Style Name 8_1">
    <vt:lpwstr>Resources, Conservation &amp; Recycling</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ies>
</file>