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3F526" w14:textId="090747DE" w:rsidR="005154AB" w:rsidRDefault="004671E1" w:rsidP="004671E1">
      <w:pPr>
        <w:jc w:val="center"/>
        <w:rPr>
          <w:u w:val="single"/>
        </w:rPr>
      </w:pPr>
      <w:r w:rsidRPr="004671E1">
        <w:rPr>
          <w:u w:val="single"/>
        </w:rPr>
        <w:t>Supplementary analyses</w:t>
      </w:r>
    </w:p>
    <w:p w14:paraId="775CC55E" w14:textId="05686432" w:rsidR="001116B4" w:rsidRPr="001116B4" w:rsidRDefault="001116B4" w:rsidP="001116B4">
      <w:r>
        <w:t xml:space="preserve">This document details additional analyses that were conducted to 1) assess the size and stability of the confidence interval of our analytic over time, 2) compare the difficulty of conducive and non-conducive problems when they are both solved through a left-to-right procedure, and 3) assess whether removing the false alarms altered the results of the studies. Each analysis is reported below. </w:t>
      </w:r>
    </w:p>
    <w:p w14:paraId="26865C00" w14:textId="08D87C1F" w:rsidR="004671E1" w:rsidRDefault="008338A1" w:rsidP="008338A1">
      <w:pPr>
        <w:pStyle w:val="Heading1"/>
      </w:pPr>
      <w:r>
        <w:t xml:space="preserve">1. </w:t>
      </w:r>
      <w:r w:rsidR="004671E1">
        <w:t>Confidence interval over time</w:t>
      </w:r>
    </w:p>
    <w:p w14:paraId="754AC433" w14:textId="24446916" w:rsidR="004671E1" w:rsidRDefault="004671E1" w:rsidP="004671E1">
      <w:r>
        <w:t>W</w:t>
      </w:r>
      <w:r w:rsidRPr="007C4554">
        <w:t>e reanalysed our data</w:t>
      </w:r>
      <w:r>
        <w:t xml:space="preserve"> in two ways to assess the size and the stability of the confidence interval described in our manuscript (referred to</w:t>
      </w:r>
      <w:r w:rsidR="001116B4">
        <w:t xml:space="preserve"> here</w:t>
      </w:r>
      <w:r>
        <w:t xml:space="preserve"> as the ‘original metric’). In the first analysis we implemented a new metric where the confidence interval around the non-conducive mean was derived from three trials (to match the rolling median of conducive trials). We compared the data that the new metric generated with that derived from our original metric. In the second analysis we compared the size of the confidence interval at the mid-point of the trial sequence to the size of the confidence interval at the end of the trial sequence. The full details of the analysis are reported below, and we draw four conclusions from it: </w:t>
      </w:r>
    </w:p>
    <w:p w14:paraId="5055D5BB" w14:textId="77777777" w:rsidR="004671E1" w:rsidRDefault="004671E1" w:rsidP="004671E1">
      <w:r>
        <w:t xml:space="preserve">a) Most importantly, the use of a different metric does not alter the outcome of any of our pre-registered analyses comparing the attention conditions. Therefore, this specific detail of the method has not influenced our substantive conclusions. </w:t>
      </w:r>
    </w:p>
    <w:p w14:paraId="07F554DB" w14:textId="77777777" w:rsidR="004671E1" w:rsidRDefault="004671E1" w:rsidP="004671E1">
      <w:r>
        <w:t>b) The</w:t>
      </w:r>
      <w:r w:rsidRPr="007C4554">
        <w:t xml:space="preserve"> </w:t>
      </w:r>
      <w:r>
        <w:t>first analysis reported below shows that the new metric reduces the number of false alarms and increases the number of misses. T</w:t>
      </w:r>
      <w:r w:rsidRPr="007C4554">
        <w:t xml:space="preserve">he new metric reduced the number of false alarms </w:t>
      </w:r>
      <w:r>
        <w:t xml:space="preserve">approximately </w:t>
      </w:r>
      <w:r w:rsidRPr="007C4554">
        <w:t>by a factor of 5, but it increased the number of misses by a factor of 6</w:t>
      </w:r>
      <w:r>
        <w:t xml:space="preserve">, suggesting that that it does not improve our analytic overall. </w:t>
      </w:r>
    </w:p>
    <w:p w14:paraId="69C51AF1" w14:textId="25007EDE" w:rsidR="004671E1" w:rsidRDefault="004671E1" w:rsidP="004671E1">
      <w:r>
        <w:t>c) The second analysis showed that the size of the confidence interval reduce</w:t>
      </w:r>
      <w:r w:rsidR="001116B4">
        <w:t>d</w:t>
      </w:r>
      <w:r>
        <w:t xml:space="preserve"> over time, but the value of the lower-bound of the confidence interval was similar at the two time-points. This is likely to be because people gradually improve in solving non-conducive problems over time, so any reduction in the width of the CI is offset by the lower value of the mean, making the absolute value of the lower-bound relatively stable. </w:t>
      </w:r>
    </w:p>
    <w:p w14:paraId="6D9E846A" w14:textId="004B4903" w:rsidR="004671E1" w:rsidRDefault="004671E1" w:rsidP="004671E1">
      <w:r>
        <w:t xml:space="preserve">d) </w:t>
      </w:r>
      <w:r w:rsidRPr="007C4554">
        <w:t xml:space="preserve">There are numerous ways that a confidence interval could be calculated (e.g. from a mean of 4 trials, 5 trials, 10 trials), and we judge that each will </w:t>
      </w:r>
      <w:r>
        <w:t>have</w:t>
      </w:r>
      <w:r w:rsidRPr="007C4554">
        <w:t xml:space="preserve"> a trade-off between sensitivity (the ability to detect people who do identify) and specificity (the ability to correctly reject people who do not identify). In our studies we valued sensitivity in that we did not want to miss an individual who </w:t>
      </w:r>
      <w:r>
        <w:t>identified</w:t>
      </w:r>
      <w:r w:rsidRPr="007C4554">
        <w:t xml:space="preserve"> the shortcut. We therefore believe that the original way that we defined the metric was most appropriate for our studies. </w:t>
      </w:r>
      <w:r>
        <w:t>We acknowledge however that other studies wishing to use our metric could adjust the criteria of it to their needs, for example, by having a confidence interval generated from a mean of three trials, or by applying a retrospective confidence interval to the trials after all have been completed. For our studies, the metric was generated in live-time and we judge that by including all of the non-conducive trials that had been presented at each time-point was the most accurate way for inferring identification.</w:t>
      </w:r>
    </w:p>
    <w:p w14:paraId="633CB11C" w14:textId="2A6361C8" w:rsidR="004671E1" w:rsidRDefault="004671E1" w:rsidP="004671E1"/>
    <w:p w14:paraId="571FF39B" w14:textId="619D2299" w:rsidR="004671E1" w:rsidRDefault="008338A1" w:rsidP="008338A1">
      <w:pPr>
        <w:pStyle w:val="Heading2"/>
      </w:pPr>
      <w:r>
        <w:lastRenderedPageBreak/>
        <w:t xml:space="preserve">Analysis 1.1: </w:t>
      </w:r>
      <w:r w:rsidR="004671E1">
        <w:t xml:space="preserve">A new metric based on a rolling confidence interval of 3 non-conducive problems </w:t>
      </w:r>
    </w:p>
    <w:p w14:paraId="7FD16363" w14:textId="77777777" w:rsidR="004671E1" w:rsidRPr="00EF0790" w:rsidRDefault="004671E1" w:rsidP="004671E1">
      <w:r w:rsidRPr="00EF0790">
        <w:t xml:space="preserve">The aim of our first analysis was to see if applying a confidence interval using </w:t>
      </w:r>
      <w:r>
        <w:t>a new metric</w:t>
      </w:r>
      <w:r w:rsidRPr="00EF0790">
        <w:t xml:space="preserve"> altered our results, and if so, by how much. </w:t>
      </w:r>
    </w:p>
    <w:p w14:paraId="1EDEC441" w14:textId="77777777" w:rsidR="004671E1" w:rsidRPr="00EF0790" w:rsidRDefault="004671E1" w:rsidP="004671E1">
      <w:r>
        <w:t xml:space="preserve">On each trial, the mean </w:t>
      </w:r>
      <w:r w:rsidRPr="00EF0790">
        <w:t>of the three most recent non-conducive trials</w:t>
      </w:r>
      <w:r>
        <w:t xml:space="preserve"> </w:t>
      </w:r>
      <w:r w:rsidRPr="00EF0790">
        <w:t xml:space="preserve">and the 99.9% confidence interval of the mean were calculated. Our pre-registered dependent variables were then recalculated, and our analyses repeated. The results are reported below, and are compared to the findings derived from the original metric in our manuscript. </w:t>
      </w:r>
    </w:p>
    <w:p w14:paraId="631BABAE" w14:textId="77777777" w:rsidR="004671E1" w:rsidRPr="00035271" w:rsidRDefault="004671E1" w:rsidP="008338A1">
      <w:pPr>
        <w:pStyle w:val="Heading3"/>
      </w:pPr>
      <w:r w:rsidRPr="00035271">
        <w:t>Study 1</w:t>
      </w:r>
    </w:p>
    <w:p w14:paraId="379629A6" w14:textId="77777777" w:rsidR="004671E1" w:rsidRDefault="004671E1" w:rsidP="004671E1">
      <w:pPr>
        <w:pStyle w:val="Heading4"/>
      </w:pPr>
      <w:r>
        <w:t>False alarms and misses</w:t>
      </w:r>
    </w:p>
    <w:p w14:paraId="16C88D50" w14:textId="77777777" w:rsidR="004671E1" w:rsidRPr="004C708B" w:rsidRDefault="004671E1" w:rsidP="004671E1">
      <w:r w:rsidRPr="004C708B">
        <w:t>There were 3 false alarms</w:t>
      </w:r>
      <w:r>
        <w:t xml:space="preserve"> and 5 misses</w:t>
      </w:r>
      <w:r w:rsidRPr="004C708B">
        <w:t xml:space="preserve"> </w:t>
      </w:r>
      <w:r>
        <w:t>using</w:t>
      </w:r>
      <w:r w:rsidRPr="004C708B">
        <w:t xml:space="preserve"> the new metric, compared to 15 </w:t>
      </w:r>
      <w:r>
        <w:t xml:space="preserve">false alarms and one miss using </w:t>
      </w:r>
      <w:r w:rsidRPr="004C708B">
        <w:t xml:space="preserve">the </w:t>
      </w:r>
      <w:r>
        <w:t>original</w:t>
      </w:r>
      <w:r w:rsidRPr="004C708B">
        <w:t xml:space="preserve"> metric. </w:t>
      </w:r>
    </w:p>
    <w:p w14:paraId="26E1FEE5" w14:textId="77777777" w:rsidR="004671E1" w:rsidRDefault="004671E1" w:rsidP="004671E1">
      <w:pPr>
        <w:pStyle w:val="Heading4"/>
      </w:pPr>
      <w:r>
        <w:t>Number of identifiers</w:t>
      </w:r>
    </w:p>
    <w:p w14:paraId="46FC5FF2" w14:textId="77777777" w:rsidR="004671E1" w:rsidRDefault="004671E1" w:rsidP="004671E1">
      <w:r w:rsidRPr="00035271">
        <w:t xml:space="preserve">Table </w:t>
      </w:r>
      <w:r>
        <w:t>1</w:t>
      </w:r>
      <w:r w:rsidRPr="00035271">
        <w:t xml:space="preserve"> displays the number of identifiers and non-identifiers using the new metric, compared to the old metric. </w:t>
      </w:r>
    </w:p>
    <w:p w14:paraId="5AF9AF10" w14:textId="77777777" w:rsidR="004671E1" w:rsidRDefault="004671E1" w:rsidP="004671E1">
      <w:r>
        <w:br w:type="page"/>
      </w:r>
    </w:p>
    <w:p w14:paraId="37BDE516" w14:textId="77777777" w:rsidR="004671E1" w:rsidRDefault="004671E1" w:rsidP="004671E1">
      <w:r>
        <w:lastRenderedPageBreak/>
        <w:t>Table 1: Number of identifiers and non-identifiers of a shortcut using the new metric and the original metric in each of the three conditions of Study 1.</w:t>
      </w:r>
    </w:p>
    <w:tbl>
      <w:tblPr>
        <w:tblW w:w="9310" w:type="dxa"/>
        <w:jc w:val="center"/>
        <w:tblLayout w:type="fixed"/>
        <w:tblCellMar>
          <w:top w:w="15" w:type="dxa"/>
          <w:bottom w:w="15" w:type="dxa"/>
        </w:tblCellMar>
        <w:tblLook w:val="04A0" w:firstRow="1" w:lastRow="0" w:firstColumn="1" w:lastColumn="0" w:noHBand="0" w:noVBand="1"/>
      </w:tblPr>
      <w:tblGrid>
        <w:gridCol w:w="1275"/>
        <w:gridCol w:w="7"/>
        <w:gridCol w:w="64"/>
        <w:gridCol w:w="917"/>
        <w:gridCol w:w="20"/>
        <w:gridCol w:w="974"/>
        <w:gridCol w:w="28"/>
        <w:gridCol w:w="1003"/>
        <w:gridCol w:w="954"/>
        <w:gridCol w:w="48"/>
        <w:gridCol w:w="799"/>
        <w:gridCol w:w="204"/>
        <w:gridCol w:w="933"/>
        <w:gridCol w:w="69"/>
        <w:gridCol w:w="1007"/>
        <w:gridCol w:w="1008"/>
      </w:tblGrid>
      <w:tr w:rsidR="004671E1" w:rsidRPr="00C048A4" w14:paraId="047CF9B9" w14:textId="77777777" w:rsidTr="00B4408D">
        <w:trPr>
          <w:trHeight w:val="454"/>
          <w:jc w:val="center"/>
        </w:trPr>
        <w:tc>
          <w:tcPr>
            <w:tcW w:w="1346" w:type="dxa"/>
            <w:gridSpan w:val="3"/>
            <w:tcBorders>
              <w:top w:val="nil"/>
              <w:left w:val="nil"/>
              <w:bottom w:val="single" w:sz="4" w:space="0" w:color="auto"/>
              <w:right w:val="nil"/>
            </w:tcBorders>
            <w:noWrap/>
            <w:vAlign w:val="center"/>
            <w:hideMark/>
          </w:tcPr>
          <w:p w14:paraId="0B0A4287"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917" w:type="dxa"/>
            <w:tcBorders>
              <w:top w:val="nil"/>
              <w:left w:val="nil"/>
              <w:bottom w:val="single" w:sz="4" w:space="0" w:color="auto"/>
              <w:right w:val="nil"/>
            </w:tcBorders>
            <w:vAlign w:val="center"/>
          </w:tcPr>
          <w:p w14:paraId="23A6FE1A"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2025" w:type="dxa"/>
            <w:gridSpan w:val="4"/>
            <w:tcBorders>
              <w:top w:val="nil"/>
              <w:left w:val="nil"/>
              <w:bottom w:val="single" w:sz="4" w:space="0" w:color="auto"/>
              <w:right w:val="nil"/>
            </w:tcBorders>
            <w:vAlign w:val="center"/>
          </w:tcPr>
          <w:p w14:paraId="586EE2BE"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1801" w:type="dxa"/>
            <w:gridSpan w:val="3"/>
            <w:tcBorders>
              <w:top w:val="nil"/>
              <w:left w:val="nil"/>
              <w:bottom w:val="single" w:sz="4" w:space="0" w:color="auto"/>
              <w:right w:val="nil"/>
            </w:tcBorders>
            <w:noWrap/>
            <w:vAlign w:val="center"/>
            <w:hideMark/>
          </w:tcPr>
          <w:p w14:paraId="30FD6ED0"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Condition</w:t>
            </w:r>
          </w:p>
        </w:tc>
        <w:tc>
          <w:tcPr>
            <w:tcW w:w="1137" w:type="dxa"/>
            <w:gridSpan w:val="2"/>
            <w:tcBorders>
              <w:top w:val="nil"/>
              <w:left w:val="nil"/>
              <w:bottom w:val="single" w:sz="4" w:space="0" w:color="auto"/>
              <w:right w:val="nil"/>
            </w:tcBorders>
            <w:vAlign w:val="center"/>
          </w:tcPr>
          <w:p w14:paraId="0590E899"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1076" w:type="dxa"/>
            <w:gridSpan w:val="2"/>
            <w:tcBorders>
              <w:top w:val="nil"/>
              <w:left w:val="nil"/>
              <w:bottom w:val="single" w:sz="4" w:space="0" w:color="auto"/>
              <w:right w:val="nil"/>
            </w:tcBorders>
            <w:vAlign w:val="center"/>
          </w:tcPr>
          <w:p w14:paraId="2337F08D"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1008" w:type="dxa"/>
            <w:tcBorders>
              <w:top w:val="nil"/>
              <w:left w:val="nil"/>
              <w:bottom w:val="single" w:sz="4" w:space="0" w:color="auto"/>
              <w:right w:val="nil"/>
            </w:tcBorders>
            <w:vAlign w:val="center"/>
          </w:tcPr>
          <w:p w14:paraId="34142931"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r>
      <w:tr w:rsidR="004671E1" w:rsidRPr="00C048A4" w14:paraId="1C59C2A5" w14:textId="77777777" w:rsidTr="00B4408D">
        <w:trPr>
          <w:trHeight w:val="454"/>
          <w:jc w:val="center"/>
        </w:trPr>
        <w:tc>
          <w:tcPr>
            <w:tcW w:w="1275" w:type="dxa"/>
            <w:tcBorders>
              <w:top w:val="single" w:sz="4" w:space="0" w:color="auto"/>
            </w:tcBorders>
            <w:noWrap/>
            <w:vAlign w:val="center"/>
            <w:hideMark/>
          </w:tcPr>
          <w:p w14:paraId="4984D52B"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1982" w:type="dxa"/>
            <w:gridSpan w:val="5"/>
            <w:tcBorders>
              <w:top w:val="single" w:sz="4" w:space="0" w:color="auto"/>
            </w:tcBorders>
            <w:noWrap/>
            <w:vAlign w:val="center"/>
            <w:hideMark/>
          </w:tcPr>
          <w:p w14:paraId="07F2BDD9"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Left-prime</w:t>
            </w:r>
          </w:p>
        </w:tc>
        <w:tc>
          <w:tcPr>
            <w:tcW w:w="1985" w:type="dxa"/>
            <w:gridSpan w:val="3"/>
            <w:tcBorders>
              <w:top w:val="single" w:sz="4" w:space="0" w:color="auto"/>
            </w:tcBorders>
            <w:noWrap/>
            <w:vAlign w:val="center"/>
            <w:hideMark/>
          </w:tcPr>
          <w:p w14:paraId="0669DE8A"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Control</w:t>
            </w:r>
          </w:p>
        </w:tc>
        <w:tc>
          <w:tcPr>
            <w:tcW w:w="1984" w:type="dxa"/>
            <w:gridSpan w:val="4"/>
            <w:tcBorders>
              <w:top w:val="single" w:sz="4" w:space="0" w:color="auto"/>
            </w:tcBorders>
            <w:noWrap/>
            <w:vAlign w:val="center"/>
            <w:hideMark/>
          </w:tcPr>
          <w:p w14:paraId="268B0A28"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Right-prime</w:t>
            </w:r>
          </w:p>
        </w:tc>
        <w:tc>
          <w:tcPr>
            <w:tcW w:w="2084" w:type="dxa"/>
            <w:gridSpan w:val="3"/>
            <w:tcBorders>
              <w:top w:val="single" w:sz="4" w:space="0" w:color="auto"/>
            </w:tcBorders>
            <w:vAlign w:val="center"/>
          </w:tcPr>
          <w:p w14:paraId="3F1178F2"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Total</w:t>
            </w:r>
          </w:p>
        </w:tc>
      </w:tr>
      <w:tr w:rsidR="004671E1" w:rsidRPr="00C048A4" w14:paraId="5191054D" w14:textId="77777777" w:rsidTr="00B4408D">
        <w:trPr>
          <w:trHeight w:val="454"/>
          <w:jc w:val="center"/>
        </w:trPr>
        <w:tc>
          <w:tcPr>
            <w:tcW w:w="1282" w:type="dxa"/>
            <w:gridSpan w:val="2"/>
            <w:tcBorders>
              <w:bottom w:val="single" w:sz="4" w:space="0" w:color="auto"/>
            </w:tcBorders>
            <w:noWrap/>
            <w:vAlign w:val="center"/>
          </w:tcPr>
          <w:p w14:paraId="3A8CE88B"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1001" w:type="dxa"/>
            <w:gridSpan w:val="3"/>
            <w:tcBorders>
              <w:bottom w:val="single" w:sz="4" w:space="0" w:color="auto"/>
            </w:tcBorders>
            <w:noWrap/>
            <w:vAlign w:val="center"/>
          </w:tcPr>
          <w:p w14:paraId="4AC1E39A"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Original metric</w:t>
            </w:r>
          </w:p>
        </w:tc>
        <w:tc>
          <w:tcPr>
            <w:tcW w:w="1002" w:type="dxa"/>
            <w:gridSpan w:val="2"/>
            <w:tcBorders>
              <w:bottom w:val="single" w:sz="4" w:space="0" w:color="auto"/>
            </w:tcBorders>
            <w:vAlign w:val="center"/>
          </w:tcPr>
          <w:p w14:paraId="0B457340"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New metric</w:t>
            </w:r>
          </w:p>
        </w:tc>
        <w:tc>
          <w:tcPr>
            <w:tcW w:w="1003" w:type="dxa"/>
            <w:tcBorders>
              <w:bottom w:val="single" w:sz="4" w:space="0" w:color="auto"/>
            </w:tcBorders>
            <w:noWrap/>
            <w:vAlign w:val="center"/>
          </w:tcPr>
          <w:p w14:paraId="02630BBC"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Original metric</w:t>
            </w:r>
          </w:p>
        </w:tc>
        <w:tc>
          <w:tcPr>
            <w:tcW w:w="1002" w:type="dxa"/>
            <w:gridSpan w:val="2"/>
            <w:tcBorders>
              <w:bottom w:val="single" w:sz="4" w:space="0" w:color="auto"/>
            </w:tcBorders>
            <w:vAlign w:val="center"/>
          </w:tcPr>
          <w:p w14:paraId="2CC5E897"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New metric</w:t>
            </w:r>
          </w:p>
        </w:tc>
        <w:tc>
          <w:tcPr>
            <w:tcW w:w="1003" w:type="dxa"/>
            <w:gridSpan w:val="2"/>
            <w:tcBorders>
              <w:bottom w:val="single" w:sz="4" w:space="0" w:color="auto"/>
            </w:tcBorders>
            <w:noWrap/>
            <w:vAlign w:val="center"/>
          </w:tcPr>
          <w:p w14:paraId="3F78B2AA"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Original metric</w:t>
            </w:r>
          </w:p>
        </w:tc>
        <w:tc>
          <w:tcPr>
            <w:tcW w:w="1002" w:type="dxa"/>
            <w:gridSpan w:val="2"/>
            <w:tcBorders>
              <w:bottom w:val="single" w:sz="4" w:space="0" w:color="auto"/>
            </w:tcBorders>
            <w:vAlign w:val="center"/>
          </w:tcPr>
          <w:p w14:paraId="146AEB05"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New metric</w:t>
            </w:r>
          </w:p>
        </w:tc>
        <w:tc>
          <w:tcPr>
            <w:tcW w:w="1007" w:type="dxa"/>
            <w:tcBorders>
              <w:bottom w:val="single" w:sz="4" w:space="0" w:color="auto"/>
            </w:tcBorders>
            <w:vAlign w:val="center"/>
          </w:tcPr>
          <w:p w14:paraId="64C6C853"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Original metric</w:t>
            </w:r>
          </w:p>
        </w:tc>
        <w:tc>
          <w:tcPr>
            <w:tcW w:w="1008" w:type="dxa"/>
            <w:tcBorders>
              <w:bottom w:val="single" w:sz="4" w:space="0" w:color="auto"/>
            </w:tcBorders>
            <w:vAlign w:val="center"/>
          </w:tcPr>
          <w:p w14:paraId="39000A1E"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New metric</w:t>
            </w:r>
          </w:p>
        </w:tc>
      </w:tr>
      <w:tr w:rsidR="004671E1" w:rsidRPr="00C048A4" w14:paraId="019B8F3A" w14:textId="77777777" w:rsidTr="00B4408D">
        <w:trPr>
          <w:trHeight w:val="454"/>
          <w:jc w:val="center"/>
        </w:trPr>
        <w:tc>
          <w:tcPr>
            <w:tcW w:w="1282" w:type="dxa"/>
            <w:gridSpan w:val="2"/>
            <w:tcBorders>
              <w:top w:val="single" w:sz="4" w:space="0" w:color="auto"/>
            </w:tcBorders>
            <w:noWrap/>
            <w:vAlign w:val="center"/>
            <w:hideMark/>
          </w:tcPr>
          <w:p w14:paraId="43854419"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Identifier</w:t>
            </w:r>
          </w:p>
        </w:tc>
        <w:tc>
          <w:tcPr>
            <w:tcW w:w="1001" w:type="dxa"/>
            <w:gridSpan w:val="3"/>
            <w:tcBorders>
              <w:top w:val="single" w:sz="4" w:space="0" w:color="auto"/>
            </w:tcBorders>
            <w:noWrap/>
            <w:vAlign w:val="center"/>
          </w:tcPr>
          <w:p w14:paraId="6A9246D9"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19</w:t>
            </w:r>
          </w:p>
        </w:tc>
        <w:tc>
          <w:tcPr>
            <w:tcW w:w="1002" w:type="dxa"/>
            <w:gridSpan w:val="2"/>
            <w:tcBorders>
              <w:top w:val="single" w:sz="4" w:space="0" w:color="auto"/>
            </w:tcBorders>
            <w:vAlign w:val="center"/>
          </w:tcPr>
          <w:p w14:paraId="08B4F5E3"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17</w:t>
            </w:r>
          </w:p>
        </w:tc>
        <w:tc>
          <w:tcPr>
            <w:tcW w:w="1003" w:type="dxa"/>
            <w:tcBorders>
              <w:top w:val="single" w:sz="4" w:space="0" w:color="auto"/>
            </w:tcBorders>
            <w:noWrap/>
            <w:vAlign w:val="center"/>
          </w:tcPr>
          <w:p w14:paraId="2149AD07"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17</w:t>
            </w:r>
          </w:p>
        </w:tc>
        <w:tc>
          <w:tcPr>
            <w:tcW w:w="1002" w:type="dxa"/>
            <w:gridSpan w:val="2"/>
            <w:tcBorders>
              <w:top w:val="single" w:sz="4" w:space="0" w:color="auto"/>
            </w:tcBorders>
            <w:vAlign w:val="center"/>
          </w:tcPr>
          <w:p w14:paraId="227FBBCA"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17</w:t>
            </w:r>
          </w:p>
        </w:tc>
        <w:tc>
          <w:tcPr>
            <w:tcW w:w="1003" w:type="dxa"/>
            <w:gridSpan w:val="2"/>
            <w:tcBorders>
              <w:top w:val="single" w:sz="4" w:space="0" w:color="auto"/>
            </w:tcBorders>
            <w:noWrap/>
            <w:vAlign w:val="center"/>
          </w:tcPr>
          <w:p w14:paraId="1953EA7C"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25</w:t>
            </w:r>
          </w:p>
        </w:tc>
        <w:tc>
          <w:tcPr>
            <w:tcW w:w="1002" w:type="dxa"/>
            <w:gridSpan w:val="2"/>
            <w:tcBorders>
              <w:top w:val="single" w:sz="4" w:space="0" w:color="auto"/>
            </w:tcBorders>
            <w:vAlign w:val="center"/>
          </w:tcPr>
          <w:p w14:paraId="43575011"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23</w:t>
            </w:r>
          </w:p>
        </w:tc>
        <w:tc>
          <w:tcPr>
            <w:tcW w:w="1007" w:type="dxa"/>
            <w:tcBorders>
              <w:top w:val="single" w:sz="4" w:space="0" w:color="auto"/>
            </w:tcBorders>
            <w:vAlign w:val="center"/>
          </w:tcPr>
          <w:p w14:paraId="07A77EC9"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61</w:t>
            </w:r>
          </w:p>
        </w:tc>
        <w:tc>
          <w:tcPr>
            <w:tcW w:w="1008" w:type="dxa"/>
            <w:tcBorders>
              <w:top w:val="single" w:sz="4" w:space="0" w:color="auto"/>
            </w:tcBorders>
            <w:vAlign w:val="center"/>
          </w:tcPr>
          <w:p w14:paraId="3FB799FF"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57</w:t>
            </w:r>
          </w:p>
        </w:tc>
      </w:tr>
      <w:tr w:rsidR="004671E1" w:rsidRPr="00C048A4" w14:paraId="1BC90E4A" w14:textId="77777777" w:rsidTr="00B4408D">
        <w:trPr>
          <w:trHeight w:val="454"/>
          <w:jc w:val="center"/>
        </w:trPr>
        <w:tc>
          <w:tcPr>
            <w:tcW w:w="1282" w:type="dxa"/>
            <w:gridSpan w:val="2"/>
            <w:noWrap/>
            <w:vAlign w:val="center"/>
            <w:hideMark/>
          </w:tcPr>
          <w:p w14:paraId="47D25167"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Non-identifier</w:t>
            </w:r>
          </w:p>
        </w:tc>
        <w:tc>
          <w:tcPr>
            <w:tcW w:w="1001" w:type="dxa"/>
            <w:gridSpan w:val="3"/>
            <w:noWrap/>
            <w:vAlign w:val="center"/>
          </w:tcPr>
          <w:p w14:paraId="6A89B223"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17</w:t>
            </w:r>
          </w:p>
        </w:tc>
        <w:tc>
          <w:tcPr>
            <w:tcW w:w="1002" w:type="dxa"/>
            <w:gridSpan w:val="2"/>
            <w:vAlign w:val="center"/>
          </w:tcPr>
          <w:p w14:paraId="3F83C63A"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19</w:t>
            </w:r>
          </w:p>
        </w:tc>
        <w:tc>
          <w:tcPr>
            <w:tcW w:w="1003" w:type="dxa"/>
            <w:noWrap/>
            <w:vAlign w:val="center"/>
          </w:tcPr>
          <w:p w14:paraId="3D586CEC"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19</w:t>
            </w:r>
          </w:p>
        </w:tc>
        <w:tc>
          <w:tcPr>
            <w:tcW w:w="1002" w:type="dxa"/>
            <w:gridSpan w:val="2"/>
            <w:vAlign w:val="center"/>
          </w:tcPr>
          <w:p w14:paraId="04576903"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19</w:t>
            </w:r>
          </w:p>
        </w:tc>
        <w:tc>
          <w:tcPr>
            <w:tcW w:w="1003" w:type="dxa"/>
            <w:gridSpan w:val="2"/>
            <w:noWrap/>
            <w:vAlign w:val="center"/>
          </w:tcPr>
          <w:p w14:paraId="28645250"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11</w:t>
            </w:r>
          </w:p>
        </w:tc>
        <w:tc>
          <w:tcPr>
            <w:tcW w:w="1002" w:type="dxa"/>
            <w:gridSpan w:val="2"/>
            <w:vAlign w:val="center"/>
          </w:tcPr>
          <w:p w14:paraId="2BB67FB6"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13</w:t>
            </w:r>
          </w:p>
        </w:tc>
        <w:tc>
          <w:tcPr>
            <w:tcW w:w="1007" w:type="dxa"/>
            <w:vAlign w:val="center"/>
          </w:tcPr>
          <w:p w14:paraId="134E28E2"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47</w:t>
            </w:r>
          </w:p>
        </w:tc>
        <w:tc>
          <w:tcPr>
            <w:tcW w:w="1008" w:type="dxa"/>
            <w:vAlign w:val="center"/>
          </w:tcPr>
          <w:p w14:paraId="38832FAF"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53</w:t>
            </w:r>
          </w:p>
        </w:tc>
      </w:tr>
      <w:tr w:rsidR="004671E1" w:rsidRPr="00C048A4" w14:paraId="59204661" w14:textId="77777777" w:rsidTr="00B4408D">
        <w:trPr>
          <w:trHeight w:val="454"/>
          <w:jc w:val="center"/>
        </w:trPr>
        <w:tc>
          <w:tcPr>
            <w:tcW w:w="1282" w:type="dxa"/>
            <w:gridSpan w:val="2"/>
            <w:tcBorders>
              <w:bottom w:val="single" w:sz="4" w:space="0" w:color="auto"/>
            </w:tcBorders>
            <w:noWrap/>
            <w:vAlign w:val="center"/>
          </w:tcPr>
          <w:p w14:paraId="0B35EBD3"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Total</w:t>
            </w:r>
          </w:p>
        </w:tc>
        <w:tc>
          <w:tcPr>
            <w:tcW w:w="1001" w:type="dxa"/>
            <w:gridSpan w:val="3"/>
            <w:tcBorders>
              <w:bottom w:val="single" w:sz="4" w:space="0" w:color="auto"/>
            </w:tcBorders>
            <w:noWrap/>
            <w:vAlign w:val="center"/>
          </w:tcPr>
          <w:p w14:paraId="2EA4C74F"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36</w:t>
            </w:r>
          </w:p>
        </w:tc>
        <w:tc>
          <w:tcPr>
            <w:tcW w:w="1002" w:type="dxa"/>
            <w:gridSpan w:val="2"/>
            <w:tcBorders>
              <w:bottom w:val="single" w:sz="4" w:space="0" w:color="auto"/>
            </w:tcBorders>
            <w:vAlign w:val="center"/>
          </w:tcPr>
          <w:p w14:paraId="027EEA62"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36</w:t>
            </w:r>
          </w:p>
        </w:tc>
        <w:tc>
          <w:tcPr>
            <w:tcW w:w="1003" w:type="dxa"/>
            <w:tcBorders>
              <w:bottom w:val="single" w:sz="4" w:space="0" w:color="auto"/>
            </w:tcBorders>
            <w:noWrap/>
            <w:vAlign w:val="center"/>
          </w:tcPr>
          <w:p w14:paraId="59F26C6B"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36</w:t>
            </w:r>
          </w:p>
        </w:tc>
        <w:tc>
          <w:tcPr>
            <w:tcW w:w="1002" w:type="dxa"/>
            <w:gridSpan w:val="2"/>
            <w:tcBorders>
              <w:bottom w:val="single" w:sz="4" w:space="0" w:color="auto"/>
            </w:tcBorders>
            <w:vAlign w:val="center"/>
          </w:tcPr>
          <w:p w14:paraId="44363544"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36</w:t>
            </w:r>
          </w:p>
        </w:tc>
        <w:tc>
          <w:tcPr>
            <w:tcW w:w="1003" w:type="dxa"/>
            <w:gridSpan w:val="2"/>
            <w:tcBorders>
              <w:bottom w:val="single" w:sz="4" w:space="0" w:color="auto"/>
            </w:tcBorders>
            <w:noWrap/>
            <w:vAlign w:val="center"/>
          </w:tcPr>
          <w:p w14:paraId="6EA64DDD"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36</w:t>
            </w:r>
          </w:p>
        </w:tc>
        <w:tc>
          <w:tcPr>
            <w:tcW w:w="1002" w:type="dxa"/>
            <w:gridSpan w:val="2"/>
            <w:tcBorders>
              <w:bottom w:val="single" w:sz="4" w:space="0" w:color="auto"/>
            </w:tcBorders>
            <w:vAlign w:val="center"/>
          </w:tcPr>
          <w:p w14:paraId="7D060128"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36</w:t>
            </w:r>
          </w:p>
        </w:tc>
        <w:tc>
          <w:tcPr>
            <w:tcW w:w="1007" w:type="dxa"/>
            <w:tcBorders>
              <w:bottom w:val="single" w:sz="4" w:space="0" w:color="auto"/>
            </w:tcBorders>
            <w:vAlign w:val="center"/>
          </w:tcPr>
          <w:p w14:paraId="6A674EB2"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108</w:t>
            </w:r>
          </w:p>
        </w:tc>
        <w:tc>
          <w:tcPr>
            <w:tcW w:w="1008" w:type="dxa"/>
            <w:tcBorders>
              <w:bottom w:val="single" w:sz="4" w:space="0" w:color="auto"/>
            </w:tcBorders>
            <w:vAlign w:val="center"/>
          </w:tcPr>
          <w:p w14:paraId="1842E38D"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108</w:t>
            </w:r>
          </w:p>
        </w:tc>
      </w:tr>
    </w:tbl>
    <w:p w14:paraId="4638CCE2" w14:textId="77777777" w:rsidR="004671E1" w:rsidRDefault="004671E1" w:rsidP="004671E1">
      <w:pPr>
        <w:rPr>
          <w:b/>
        </w:rPr>
      </w:pPr>
    </w:p>
    <w:p w14:paraId="0C18C52F" w14:textId="77777777" w:rsidR="004671E1" w:rsidRDefault="004671E1" w:rsidP="004671E1">
      <w:pPr>
        <w:rPr>
          <w:b/>
        </w:rPr>
      </w:pPr>
      <w:r w:rsidRPr="00035271">
        <w:t xml:space="preserve">The relative frequency of identifiers to non-identifiers was not significantly different across the three conditions, </w:t>
      </w:r>
      <w:r w:rsidRPr="007C6B94">
        <w:rPr>
          <w:i/>
        </w:rPr>
        <w:t>x</w:t>
      </w:r>
      <w:r w:rsidRPr="007C6B94">
        <w:rPr>
          <w:i/>
          <w:vertAlign w:val="superscript"/>
        </w:rPr>
        <w:t>2</w:t>
      </w:r>
      <w:r w:rsidRPr="00035271">
        <w:t xml:space="preserve">(2) = </w:t>
      </w:r>
      <w:r>
        <w:t>2.67</w:t>
      </w:r>
      <w:r w:rsidRPr="00035271">
        <w:t xml:space="preserve">, </w:t>
      </w:r>
      <w:r w:rsidRPr="007C6B94">
        <w:rPr>
          <w:i/>
        </w:rPr>
        <w:t>p</w:t>
      </w:r>
      <w:r w:rsidRPr="00035271">
        <w:t xml:space="preserve"> = 0.</w:t>
      </w:r>
      <w:r>
        <w:t>262</w:t>
      </w:r>
      <w:r w:rsidRPr="00035271">
        <w:t>, Cramer’s V = 0.1</w:t>
      </w:r>
      <w:r>
        <w:t>6</w:t>
      </w:r>
      <w:r w:rsidRPr="00035271">
        <w:t>.</w:t>
      </w:r>
    </w:p>
    <w:p w14:paraId="2D514FB4" w14:textId="77777777" w:rsidR="004671E1" w:rsidRPr="00F63862" w:rsidRDefault="004671E1" w:rsidP="004671E1">
      <w:pPr>
        <w:pStyle w:val="Heading4"/>
      </w:pPr>
      <w:r w:rsidRPr="00F63862">
        <w:t>Trial numbers of the identification point</w:t>
      </w:r>
    </w:p>
    <w:p w14:paraId="236B65A3" w14:textId="77777777" w:rsidR="004671E1" w:rsidRDefault="004671E1" w:rsidP="004671E1">
      <w:pPr>
        <w:rPr>
          <w:color w:val="000000" w:themeColor="text1"/>
          <w:lang w:val="en-US"/>
        </w:rPr>
      </w:pPr>
      <w:r>
        <w:rPr>
          <w:color w:val="000000" w:themeColor="text1"/>
          <w:lang w:val="en-US"/>
        </w:rPr>
        <w:t>The new metric changed the trial number of identification for 29 of the 57 identifiers. For 22 of these individuals, the new metric made their trial number later than that calculated by the original metric. The mean difference in the trial number of identification between the new and original metric was ±3.10 (SD = 2.43, range = 1 – 9).</w:t>
      </w:r>
    </w:p>
    <w:p w14:paraId="6A26EF5C" w14:textId="77777777" w:rsidR="004671E1" w:rsidRDefault="004671E1" w:rsidP="004671E1">
      <w:pPr>
        <w:rPr>
          <w:color w:val="000000" w:themeColor="text1"/>
          <w:lang w:val="en-US"/>
        </w:rPr>
      </w:pPr>
      <w:r>
        <w:rPr>
          <w:color w:val="000000" w:themeColor="text1"/>
          <w:lang w:val="en-US"/>
        </w:rPr>
        <w:t>Table 2 displays descriptive statistics of the trial number of identification using the original metric and the new metric.</w:t>
      </w:r>
    </w:p>
    <w:p w14:paraId="72B991C2" w14:textId="77777777" w:rsidR="004671E1" w:rsidRDefault="004671E1" w:rsidP="004671E1">
      <w:pPr>
        <w:rPr>
          <w:color w:val="000000" w:themeColor="text1"/>
          <w:lang w:val="en-US"/>
        </w:rPr>
      </w:pPr>
    </w:p>
    <w:p w14:paraId="5419AA8C" w14:textId="77777777" w:rsidR="004671E1" w:rsidRDefault="004671E1" w:rsidP="004671E1">
      <w:pPr>
        <w:rPr>
          <w:color w:val="000000" w:themeColor="text1"/>
        </w:rPr>
      </w:pPr>
      <w:r>
        <w:rPr>
          <w:color w:val="000000" w:themeColor="text1"/>
          <w:lang w:val="en-US"/>
        </w:rPr>
        <w:t>Table 2: Mean (SD) trial number of identification using the new metric and original metric in each of the three conditions of Study 1.</w:t>
      </w:r>
    </w:p>
    <w:tbl>
      <w:tblPr>
        <w:tblW w:w="9310" w:type="dxa"/>
        <w:jc w:val="center"/>
        <w:tblLayout w:type="fixed"/>
        <w:tblCellMar>
          <w:top w:w="15" w:type="dxa"/>
          <w:bottom w:w="15" w:type="dxa"/>
        </w:tblCellMar>
        <w:tblLook w:val="04A0" w:firstRow="1" w:lastRow="0" w:firstColumn="1" w:lastColumn="0" w:noHBand="0" w:noVBand="1"/>
      </w:tblPr>
      <w:tblGrid>
        <w:gridCol w:w="1573"/>
        <w:gridCol w:w="129"/>
        <w:gridCol w:w="1160"/>
        <w:gridCol w:w="1290"/>
        <w:gridCol w:w="1289"/>
        <w:gridCol w:w="1290"/>
        <w:gridCol w:w="1289"/>
        <w:gridCol w:w="1290"/>
      </w:tblGrid>
      <w:tr w:rsidR="004671E1" w:rsidRPr="00C048A4" w14:paraId="090DFAB6" w14:textId="77777777" w:rsidTr="00B4408D">
        <w:trPr>
          <w:trHeight w:val="454"/>
          <w:jc w:val="center"/>
        </w:trPr>
        <w:tc>
          <w:tcPr>
            <w:tcW w:w="1702" w:type="dxa"/>
            <w:gridSpan w:val="2"/>
            <w:tcBorders>
              <w:top w:val="nil"/>
              <w:left w:val="nil"/>
              <w:bottom w:val="single" w:sz="4" w:space="0" w:color="auto"/>
              <w:right w:val="nil"/>
            </w:tcBorders>
            <w:noWrap/>
            <w:vAlign w:val="bottom"/>
            <w:hideMark/>
          </w:tcPr>
          <w:p w14:paraId="77B0AC6D" w14:textId="77777777" w:rsidR="004671E1" w:rsidRPr="00C048A4" w:rsidRDefault="004671E1" w:rsidP="00B4408D">
            <w:pPr>
              <w:spacing w:after="0" w:line="240" w:lineRule="auto"/>
              <w:jc w:val="center"/>
              <w:rPr>
                <w:rFonts w:eastAsia="Times New Roman" w:cs="Times New Roman"/>
                <w:color w:val="000000" w:themeColor="text1"/>
                <w:lang w:eastAsia="en-GB"/>
              </w:rPr>
            </w:pPr>
          </w:p>
        </w:tc>
        <w:tc>
          <w:tcPr>
            <w:tcW w:w="7608" w:type="dxa"/>
            <w:gridSpan w:val="6"/>
            <w:tcBorders>
              <w:top w:val="nil"/>
              <w:left w:val="nil"/>
              <w:bottom w:val="single" w:sz="4" w:space="0" w:color="auto"/>
              <w:right w:val="nil"/>
            </w:tcBorders>
          </w:tcPr>
          <w:p w14:paraId="4FD3BD32" w14:textId="77777777" w:rsidR="004671E1" w:rsidRPr="00C048A4" w:rsidRDefault="004671E1" w:rsidP="00B4408D">
            <w:pPr>
              <w:spacing w:after="0"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Condition</w:t>
            </w:r>
          </w:p>
        </w:tc>
      </w:tr>
      <w:tr w:rsidR="004671E1" w:rsidRPr="00C048A4" w14:paraId="247614AF" w14:textId="77777777" w:rsidTr="00B4408D">
        <w:trPr>
          <w:trHeight w:val="454"/>
          <w:jc w:val="center"/>
        </w:trPr>
        <w:tc>
          <w:tcPr>
            <w:tcW w:w="1573" w:type="dxa"/>
            <w:tcBorders>
              <w:top w:val="single" w:sz="4" w:space="0" w:color="auto"/>
            </w:tcBorders>
            <w:noWrap/>
            <w:vAlign w:val="bottom"/>
            <w:hideMark/>
          </w:tcPr>
          <w:p w14:paraId="7857DFE5" w14:textId="77777777" w:rsidR="004671E1" w:rsidRPr="00C048A4" w:rsidRDefault="004671E1" w:rsidP="00B4408D">
            <w:pPr>
              <w:spacing w:after="0" w:line="240" w:lineRule="auto"/>
              <w:jc w:val="center"/>
              <w:rPr>
                <w:rFonts w:eastAsia="Times New Roman" w:cs="Times New Roman"/>
                <w:color w:val="000000" w:themeColor="text1"/>
                <w:lang w:eastAsia="en-GB"/>
              </w:rPr>
            </w:pPr>
          </w:p>
        </w:tc>
        <w:tc>
          <w:tcPr>
            <w:tcW w:w="2579" w:type="dxa"/>
            <w:gridSpan w:val="3"/>
            <w:tcBorders>
              <w:top w:val="single" w:sz="4" w:space="0" w:color="auto"/>
            </w:tcBorders>
            <w:noWrap/>
            <w:vAlign w:val="bottom"/>
            <w:hideMark/>
          </w:tcPr>
          <w:p w14:paraId="5E3554D7" w14:textId="77777777" w:rsidR="004671E1" w:rsidRDefault="004671E1" w:rsidP="00B4408D">
            <w:pPr>
              <w:spacing w:after="0"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Left-prime</w:t>
            </w:r>
          </w:p>
        </w:tc>
        <w:tc>
          <w:tcPr>
            <w:tcW w:w="2579" w:type="dxa"/>
            <w:gridSpan w:val="2"/>
            <w:tcBorders>
              <w:top w:val="single" w:sz="4" w:space="0" w:color="auto"/>
            </w:tcBorders>
            <w:noWrap/>
            <w:vAlign w:val="bottom"/>
            <w:hideMark/>
          </w:tcPr>
          <w:p w14:paraId="3F04B7AA" w14:textId="77777777" w:rsidR="004671E1" w:rsidRPr="00C048A4"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Control</w:t>
            </w:r>
          </w:p>
        </w:tc>
        <w:tc>
          <w:tcPr>
            <w:tcW w:w="2579" w:type="dxa"/>
            <w:gridSpan w:val="2"/>
            <w:tcBorders>
              <w:top w:val="single" w:sz="4" w:space="0" w:color="auto"/>
            </w:tcBorders>
            <w:noWrap/>
            <w:vAlign w:val="bottom"/>
            <w:hideMark/>
          </w:tcPr>
          <w:p w14:paraId="3306BC64" w14:textId="77777777" w:rsidR="004671E1" w:rsidRPr="00C048A4" w:rsidRDefault="004671E1" w:rsidP="00B4408D">
            <w:pPr>
              <w:spacing w:after="0"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Right-prime</w:t>
            </w:r>
          </w:p>
        </w:tc>
      </w:tr>
      <w:tr w:rsidR="004671E1" w:rsidRPr="00C048A4" w14:paraId="7DCBF5DB" w14:textId="77777777" w:rsidTr="00B4408D">
        <w:trPr>
          <w:trHeight w:val="454"/>
          <w:jc w:val="center"/>
        </w:trPr>
        <w:tc>
          <w:tcPr>
            <w:tcW w:w="1573" w:type="dxa"/>
            <w:tcBorders>
              <w:bottom w:val="single" w:sz="4" w:space="0" w:color="auto"/>
            </w:tcBorders>
            <w:noWrap/>
            <w:vAlign w:val="center"/>
          </w:tcPr>
          <w:p w14:paraId="61043492" w14:textId="77777777" w:rsidR="004671E1" w:rsidRPr="00C048A4" w:rsidRDefault="004671E1" w:rsidP="00B4408D">
            <w:pPr>
              <w:spacing w:after="0" w:line="240" w:lineRule="auto"/>
              <w:jc w:val="center"/>
              <w:rPr>
                <w:rFonts w:eastAsia="Times New Roman" w:cs="Times New Roman"/>
                <w:color w:val="000000" w:themeColor="text1"/>
                <w:lang w:eastAsia="en-GB"/>
              </w:rPr>
            </w:pPr>
          </w:p>
        </w:tc>
        <w:tc>
          <w:tcPr>
            <w:tcW w:w="1289" w:type="dxa"/>
            <w:gridSpan w:val="2"/>
            <w:tcBorders>
              <w:bottom w:val="single" w:sz="4" w:space="0" w:color="auto"/>
            </w:tcBorders>
            <w:noWrap/>
            <w:vAlign w:val="center"/>
          </w:tcPr>
          <w:p w14:paraId="7961AB50" w14:textId="77777777" w:rsidR="004671E1" w:rsidRPr="00C048A4"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Original metric</w:t>
            </w:r>
          </w:p>
        </w:tc>
        <w:tc>
          <w:tcPr>
            <w:tcW w:w="1290" w:type="dxa"/>
            <w:tcBorders>
              <w:bottom w:val="single" w:sz="4" w:space="0" w:color="auto"/>
            </w:tcBorders>
            <w:vAlign w:val="center"/>
          </w:tcPr>
          <w:p w14:paraId="32F619F1" w14:textId="77777777" w:rsidR="004671E1"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New metric</w:t>
            </w:r>
          </w:p>
        </w:tc>
        <w:tc>
          <w:tcPr>
            <w:tcW w:w="1289" w:type="dxa"/>
            <w:tcBorders>
              <w:bottom w:val="single" w:sz="4" w:space="0" w:color="auto"/>
            </w:tcBorders>
            <w:noWrap/>
            <w:vAlign w:val="center"/>
          </w:tcPr>
          <w:p w14:paraId="264E1263" w14:textId="77777777" w:rsidR="004671E1"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Original metric</w:t>
            </w:r>
          </w:p>
        </w:tc>
        <w:tc>
          <w:tcPr>
            <w:tcW w:w="1290" w:type="dxa"/>
            <w:tcBorders>
              <w:bottom w:val="single" w:sz="4" w:space="0" w:color="auto"/>
            </w:tcBorders>
            <w:vAlign w:val="center"/>
          </w:tcPr>
          <w:p w14:paraId="1C241FA8" w14:textId="77777777" w:rsidR="004671E1" w:rsidRPr="00C048A4"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New metric</w:t>
            </w:r>
          </w:p>
        </w:tc>
        <w:tc>
          <w:tcPr>
            <w:tcW w:w="1289" w:type="dxa"/>
            <w:tcBorders>
              <w:bottom w:val="single" w:sz="4" w:space="0" w:color="auto"/>
            </w:tcBorders>
            <w:noWrap/>
            <w:vAlign w:val="center"/>
          </w:tcPr>
          <w:p w14:paraId="30DF32A5" w14:textId="77777777" w:rsidR="004671E1" w:rsidRPr="00C048A4"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Original metric</w:t>
            </w:r>
          </w:p>
        </w:tc>
        <w:tc>
          <w:tcPr>
            <w:tcW w:w="1290" w:type="dxa"/>
            <w:tcBorders>
              <w:bottom w:val="single" w:sz="4" w:space="0" w:color="auto"/>
            </w:tcBorders>
            <w:vAlign w:val="center"/>
          </w:tcPr>
          <w:p w14:paraId="7DA6A9C5" w14:textId="77777777" w:rsidR="004671E1" w:rsidRPr="00C048A4"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New metric</w:t>
            </w:r>
          </w:p>
        </w:tc>
      </w:tr>
      <w:tr w:rsidR="004671E1" w:rsidRPr="00C048A4" w14:paraId="6EB5E979" w14:textId="77777777" w:rsidTr="00B4408D">
        <w:trPr>
          <w:trHeight w:val="680"/>
          <w:jc w:val="center"/>
        </w:trPr>
        <w:tc>
          <w:tcPr>
            <w:tcW w:w="1573" w:type="dxa"/>
            <w:tcBorders>
              <w:top w:val="single" w:sz="4" w:space="0" w:color="auto"/>
              <w:bottom w:val="single" w:sz="4" w:space="0" w:color="auto"/>
            </w:tcBorders>
            <w:noWrap/>
            <w:vAlign w:val="center"/>
            <w:hideMark/>
          </w:tcPr>
          <w:p w14:paraId="14A3C62D" w14:textId="77777777" w:rsidR="004671E1" w:rsidRPr="00C048A4"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Conducive trial number</w:t>
            </w:r>
          </w:p>
        </w:tc>
        <w:tc>
          <w:tcPr>
            <w:tcW w:w="1289" w:type="dxa"/>
            <w:gridSpan w:val="2"/>
            <w:tcBorders>
              <w:top w:val="single" w:sz="4" w:space="0" w:color="auto"/>
              <w:bottom w:val="single" w:sz="4" w:space="0" w:color="auto"/>
            </w:tcBorders>
            <w:noWrap/>
            <w:vAlign w:val="center"/>
          </w:tcPr>
          <w:p w14:paraId="69F66A50" w14:textId="77777777" w:rsidR="004671E1" w:rsidRPr="00C048A4" w:rsidRDefault="004671E1" w:rsidP="00B4408D">
            <w:pPr>
              <w:spacing w:after="0" w:line="240" w:lineRule="auto"/>
              <w:jc w:val="center"/>
              <w:rPr>
                <w:rFonts w:eastAsia="Times New Roman" w:cs="Times New Roman"/>
                <w:color w:val="000000" w:themeColor="text1"/>
                <w:lang w:eastAsia="en-GB"/>
              </w:rPr>
            </w:pPr>
            <w:r w:rsidRPr="00572C7A">
              <w:rPr>
                <w:rFonts w:eastAsia="Times New Roman" w:cs="Times New Roman"/>
                <w:color w:val="000000" w:themeColor="text1"/>
                <w:lang w:eastAsia="en-GB"/>
              </w:rPr>
              <w:t>8.00 (3.73)</w:t>
            </w:r>
          </w:p>
        </w:tc>
        <w:tc>
          <w:tcPr>
            <w:tcW w:w="1290" w:type="dxa"/>
            <w:tcBorders>
              <w:top w:val="single" w:sz="4" w:space="0" w:color="auto"/>
              <w:bottom w:val="single" w:sz="4" w:space="0" w:color="auto"/>
            </w:tcBorders>
            <w:vAlign w:val="center"/>
          </w:tcPr>
          <w:p w14:paraId="2D596138" w14:textId="77777777" w:rsidR="004671E1" w:rsidRPr="00C048A4"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8.35 (4.49)</w:t>
            </w:r>
          </w:p>
        </w:tc>
        <w:tc>
          <w:tcPr>
            <w:tcW w:w="1289" w:type="dxa"/>
            <w:tcBorders>
              <w:top w:val="single" w:sz="4" w:space="0" w:color="auto"/>
              <w:bottom w:val="single" w:sz="4" w:space="0" w:color="auto"/>
            </w:tcBorders>
            <w:noWrap/>
            <w:vAlign w:val="center"/>
          </w:tcPr>
          <w:p w14:paraId="58F3793C" w14:textId="77777777" w:rsidR="004671E1" w:rsidRPr="00C048A4" w:rsidRDefault="004671E1" w:rsidP="00B4408D">
            <w:pPr>
              <w:spacing w:after="0" w:line="240" w:lineRule="auto"/>
              <w:jc w:val="center"/>
              <w:rPr>
                <w:rFonts w:eastAsia="Times New Roman" w:cs="Times New Roman"/>
                <w:color w:val="000000" w:themeColor="text1"/>
                <w:lang w:eastAsia="en-GB"/>
              </w:rPr>
            </w:pPr>
            <w:r w:rsidRPr="00572C7A">
              <w:rPr>
                <w:rFonts w:eastAsia="Times New Roman" w:cs="Times New Roman"/>
                <w:color w:val="000000" w:themeColor="text1"/>
                <w:lang w:eastAsia="en-GB"/>
              </w:rPr>
              <w:t>6.71 (3.60)</w:t>
            </w:r>
          </w:p>
        </w:tc>
        <w:tc>
          <w:tcPr>
            <w:tcW w:w="1290" w:type="dxa"/>
            <w:tcBorders>
              <w:top w:val="single" w:sz="4" w:space="0" w:color="auto"/>
              <w:bottom w:val="single" w:sz="4" w:space="0" w:color="auto"/>
            </w:tcBorders>
            <w:vAlign w:val="center"/>
          </w:tcPr>
          <w:p w14:paraId="0F7ECF1D" w14:textId="77777777" w:rsidR="004671E1" w:rsidRPr="00C048A4"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8.77 (4.52)</w:t>
            </w:r>
          </w:p>
        </w:tc>
        <w:tc>
          <w:tcPr>
            <w:tcW w:w="1289" w:type="dxa"/>
            <w:tcBorders>
              <w:top w:val="single" w:sz="4" w:space="0" w:color="auto"/>
              <w:bottom w:val="single" w:sz="4" w:space="0" w:color="auto"/>
            </w:tcBorders>
            <w:noWrap/>
            <w:vAlign w:val="center"/>
          </w:tcPr>
          <w:p w14:paraId="0EDC369F" w14:textId="77777777" w:rsidR="004671E1" w:rsidRPr="00C048A4" w:rsidRDefault="004671E1" w:rsidP="00B4408D">
            <w:pPr>
              <w:spacing w:after="0" w:line="240" w:lineRule="auto"/>
              <w:jc w:val="center"/>
              <w:rPr>
                <w:rFonts w:eastAsia="Times New Roman" w:cs="Times New Roman"/>
                <w:color w:val="000000" w:themeColor="text1"/>
                <w:lang w:eastAsia="en-GB"/>
              </w:rPr>
            </w:pPr>
            <w:r w:rsidRPr="00572C7A">
              <w:rPr>
                <w:rFonts w:eastAsia="Times New Roman" w:cs="Times New Roman"/>
                <w:color w:val="000000" w:themeColor="text1"/>
                <w:lang w:eastAsia="en-GB"/>
              </w:rPr>
              <w:t>6.44 (5.36)</w:t>
            </w:r>
          </w:p>
        </w:tc>
        <w:tc>
          <w:tcPr>
            <w:tcW w:w="1290" w:type="dxa"/>
            <w:tcBorders>
              <w:top w:val="single" w:sz="4" w:space="0" w:color="auto"/>
              <w:bottom w:val="single" w:sz="4" w:space="0" w:color="auto"/>
            </w:tcBorders>
            <w:vAlign w:val="center"/>
          </w:tcPr>
          <w:p w14:paraId="3128363F" w14:textId="77777777" w:rsidR="004671E1" w:rsidRPr="00C048A4"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6.17 (4.26)</w:t>
            </w:r>
          </w:p>
        </w:tc>
      </w:tr>
    </w:tbl>
    <w:p w14:paraId="53CAB7F3" w14:textId="77777777" w:rsidR="004671E1" w:rsidRDefault="004671E1" w:rsidP="004671E1">
      <w:pPr>
        <w:rPr>
          <w:b/>
        </w:rPr>
      </w:pPr>
    </w:p>
    <w:p w14:paraId="22FFBBD2" w14:textId="77777777" w:rsidR="004671E1" w:rsidRDefault="004671E1" w:rsidP="004671E1">
      <w:pPr>
        <w:rPr>
          <w:b/>
        </w:rPr>
      </w:pPr>
      <w:r>
        <w:rPr>
          <w:color w:val="000000" w:themeColor="text1"/>
        </w:rPr>
        <w:t xml:space="preserve">The data were not normally distributed. A </w:t>
      </w:r>
      <w:r w:rsidRPr="00C048A4">
        <w:rPr>
          <w:color w:val="000000" w:themeColor="text1"/>
        </w:rPr>
        <w:t xml:space="preserve">Kruskal-Wallis test </w:t>
      </w:r>
      <w:r>
        <w:rPr>
          <w:color w:val="000000" w:themeColor="text1"/>
        </w:rPr>
        <w:t>with</w:t>
      </w:r>
      <w:r w:rsidRPr="00C048A4">
        <w:rPr>
          <w:color w:val="000000" w:themeColor="text1"/>
        </w:rPr>
        <w:t xml:space="preserve"> three levels (left-prime, right-prime, </w:t>
      </w:r>
      <w:r>
        <w:rPr>
          <w:color w:val="000000" w:themeColor="text1"/>
        </w:rPr>
        <w:t>control</w:t>
      </w:r>
      <w:r w:rsidRPr="00C048A4">
        <w:rPr>
          <w:color w:val="000000" w:themeColor="text1"/>
        </w:rPr>
        <w:t>)</w:t>
      </w:r>
      <w:r>
        <w:rPr>
          <w:color w:val="000000" w:themeColor="text1"/>
        </w:rPr>
        <w:t xml:space="preserve"> found n</w:t>
      </w:r>
      <w:r w:rsidRPr="00C048A4">
        <w:rPr>
          <w:color w:val="000000" w:themeColor="text1"/>
        </w:rPr>
        <w:t xml:space="preserve">o significant difference between the conditions in the conducive trial number of identification, </w:t>
      </w:r>
      <w:r>
        <w:rPr>
          <w:i/>
          <w:color w:val="000000" w:themeColor="text1"/>
        </w:rPr>
        <w:t>x</w:t>
      </w:r>
      <w:r w:rsidRPr="007C6B94">
        <w:rPr>
          <w:i/>
          <w:color w:val="000000" w:themeColor="text1"/>
          <w:vertAlign w:val="superscript"/>
        </w:rPr>
        <w:t>2</w:t>
      </w:r>
      <w:r>
        <w:rPr>
          <w:color w:val="000000" w:themeColor="text1"/>
        </w:rPr>
        <w:t>(2</w:t>
      </w:r>
      <w:r w:rsidRPr="00C048A4">
        <w:rPr>
          <w:color w:val="000000" w:themeColor="text1"/>
        </w:rPr>
        <w:t xml:space="preserve">) = </w:t>
      </w:r>
      <w:r>
        <w:rPr>
          <w:color w:val="000000" w:themeColor="text1"/>
        </w:rPr>
        <w:t>4.54</w:t>
      </w:r>
      <w:r w:rsidRPr="00C048A4">
        <w:rPr>
          <w:color w:val="000000" w:themeColor="text1"/>
        </w:rPr>
        <w:t xml:space="preserve">, </w:t>
      </w:r>
      <w:r w:rsidRPr="007C6B94">
        <w:rPr>
          <w:i/>
          <w:color w:val="000000" w:themeColor="text1"/>
        </w:rPr>
        <w:t>p</w:t>
      </w:r>
      <w:r w:rsidRPr="00C048A4">
        <w:rPr>
          <w:color w:val="000000" w:themeColor="text1"/>
        </w:rPr>
        <w:t xml:space="preserve"> = 0.</w:t>
      </w:r>
      <w:r>
        <w:rPr>
          <w:color w:val="000000" w:themeColor="text1"/>
        </w:rPr>
        <w:t>10</w:t>
      </w:r>
      <w:r w:rsidRPr="00C048A4">
        <w:rPr>
          <w:color w:val="000000" w:themeColor="text1"/>
        </w:rPr>
        <w:t xml:space="preserve">, or the total trial number of identification, </w:t>
      </w:r>
      <w:r>
        <w:rPr>
          <w:i/>
          <w:color w:val="000000" w:themeColor="text1"/>
        </w:rPr>
        <w:t>x</w:t>
      </w:r>
      <w:r w:rsidRPr="007C6B94">
        <w:rPr>
          <w:i/>
          <w:color w:val="000000" w:themeColor="text1"/>
          <w:vertAlign w:val="superscript"/>
        </w:rPr>
        <w:t>2</w:t>
      </w:r>
      <w:r>
        <w:rPr>
          <w:color w:val="000000" w:themeColor="text1"/>
        </w:rPr>
        <w:t>(2</w:t>
      </w:r>
      <w:r w:rsidRPr="00C048A4">
        <w:rPr>
          <w:color w:val="000000" w:themeColor="text1"/>
        </w:rPr>
        <w:t xml:space="preserve">) = </w:t>
      </w:r>
      <w:r>
        <w:rPr>
          <w:color w:val="000000" w:themeColor="text1"/>
        </w:rPr>
        <w:t>4.54</w:t>
      </w:r>
      <w:r w:rsidRPr="00C048A4">
        <w:rPr>
          <w:color w:val="000000" w:themeColor="text1"/>
        </w:rPr>
        <w:t xml:space="preserve">, </w:t>
      </w:r>
      <w:r w:rsidRPr="007C6B94">
        <w:rPr>
          <w:i/>
          <w:color w:val="000000" w:themeColor="text1"/>
        </w:rPr>
        <w:t>p</w:t>
      </w:r>
      <w:r w:rsidRPr="00C048A4">
        <w:rPr>
          <w:color w:val="000000" w:themeColor="text1"/>
        </w:rPr>
        <w:t xml:space="preserve"> = 0.</w:t>
      </w:r>
      <w:r>
        <w:rPr>
          <w:color w:val="000000" w:themeColor="text1"/>
        </w:rPr>
        <w:t>10.</w:t>
      </w:r>
    </w:p>
    <w:p w14:paraId="47D53943" w14:textId="77777777" w:rsidR="004671E1" w:rsidRDefault="004671E1" w:rsidP="004671E1">
      <w:pPr>
        <w:pStyle w:val="Heading4"/>
      </w:pPr>
      <w:r>
        <w:t>Response time across all trials</w:t>
      </w:r>
    </w:p>
    <w:p w14:paraId="5A028E3D" w14:textId="77777777" w:rsidR="004671E1" w:rsidRDefault="004671E1" w:rsidP="004671E1">
      <w:pPr>
        <w:rPr>
          <w:color w:val="000000" w:themeColor="text1"/>
        </w:rPr>
      </w:pPr>
      <w:r w:rsidRPr="00C048A4">
        <w:rPr>
          <w:color w:val="000000" w:themeColor="text1"/>
        </w:rPr>
        <w:t>For those who were classed as identifiers, median RT of the correctly solved trials were calculated.</w:t>
      </w:r>
      <w:r>
        <w:rPr>
          <w:color w:val="000000" w:themeColor="text1"/>
        </w:rPr>
        <w:t xml:space="preserve"> </w:t>
      </w:r>
      <w:r w:rsidRPr="00C048A4">
        <w:rPr>
          <w:color w:val="000000" w:themeColor="text1"/>
        </w:rPr>
        <w:t xml:space="preserve">A 3*2 mixed ANOVA with condition (left-prime, right-prime, </w:t>
      </w:r>
      <w:r>
        <w:rPr>
          <w:color w:val="000000" w:themeColor="text1"/>
        </w:rPr>
        <w:t>control</w:t>
      </w:r>
      <w:r w:rsidRPr="00C048A4">
        <w:rPr>
          <w:color w:val="000000" w:themeColor="text1"/>
        </w:rPr>
        <w:t xml:space="preserve">) and problem type (conducive, non-conducive) as between and within-subject factors </w:t>
      </w:r>
      <w:r>
        <w:rPr>
          <w:color w:val="000000" w:themeColor="text1"/>
        </w:rPr>
        <w:t>found</w:t>
      </w:r>
      <w:r w:rsidRPr="00C048A4">
        <w:rPr>
          <w:color w:val="000000" w:themeColor="text1"/>
        </w:rPr>
        <w:t xml:space="preserve"> a main effect of problem type, </w:t>
      </w:r>
      <w:r w:rsidRPr="00C048A4">
        <w:rPr>
          <w:i/>
          <w:color w:val="000000" w:themeColor="text1"/>
        </w:rPr>
        <w:t>F</w:t>
      </w:r>
      <w:r w:rsidRPr="00C048A4">
        <w:rPr>
          <w:color w:val="000000" w:themeColor="text1"/>
        </w:rPr>
        <w:t>(1, 5</w:t>
      </w:r>
      <w:r>
        <w:rPr>
          <w:color w:val="000000" w:themeColor="text1"/>
        </w:rPr>
        <w:t>4</w:t>
      </w:r>
      <w:r w:rsidRPr="00C048A4">
        <w:rPr>
          <w:color w:val="000000" w:themeColor="text1"/>
        </w:rPr>
        <w:t xml:space="preserve">) </w:t>
      </w:r>
      <w:r w:rsidRPr="00C048A4">
        <w:rPr>
          <w:color w:val="000000" w:themeColor="text1"/>
        </w:rPr>
        <w:lastRenderedPageBreak/>
        <w:t xml:space="preserve">= </w:t>
      </w:r>
      <w:r>
        <w:rPr>
          <w:color w:val="000000" w:themeColor="text1"/>
        </w:rPr>
        <w:t>175.39</w:t>
      </w:r>
      <w:r w:rsidRPr="00C048A4">
        <w:rPr>
          <w:color w:val="000000" w:themeColor="text1"/>
        </w:rPr>
        <w:t xml:space="preserve">, </w:t>
      </w:r>
      <w:r w:rsidRPr="00C048A4">
        <w:rPr>
          <w:i/>
          <w:color w:val="000000" w:themeColor="text1"/>
        </w:rPr>
        <w:t>p</w:t>
      </w:r>
      <w:r w:rsidRPr="00C048A4">
        <w:rPr>
          <w:color w:val="000000" w:themeColor="text1"/>
        </w:rPr>
        <w:t xml:space="preserve">&lt;0.001, </w:t>
      </w:r>
      <w:r w:rsidRPr="00C048A4">
        <w:rPr>
          <w:color w:val="000000" w:themeColor="text1"/>
          <w:lang w:val="en-US"/>
        </w:rPr>
        <w:sym w:font="Symbol" w:char="F068"/>
      </w:r>
      <w:r w:rsidRPr="00C048A4">
        <w:rPr>
          <w:color w:val="000000" w:themeColor="text1"/>
          <w:vertAlign w:val="subscript"/>
          <w:lang w:val="en-US"/>
        </w:rPr>
        <w:t>p</w:t>
      </w:r>
      <w:r w:rsidRPr="00C048A4">
        <w:rPr>
          <w:color w:val="000000" w:themeColor="text1"/>
          <w:vertAlign w:val="superscript"/>
          <w:lang w:val="en-US"/>
        </w:rPr>
        <w:t>2</w:t>
      </w:r>
      <w:r w:rsidRPr="00C048A4">
        <w:rPr>
          <w:color w:val="000000" w:themeColor="text1"/>
          <w:lang w:val="en-US"/>
        </w:rPr>
        <w:t xml:space="preserve"> = </w:t>
      </w:r>
      <w:r w:rsidRPr="00C048A4">
        <w:rPr>
          <w:color w:val="000000" w:themeColor="text1"/>
        </w:rPr>
        <w:t>0.7</w:t>
      </w:r>
      <w:r>
        <w:rPr>
          <w:color w:val="000000" w:themeColor="text1"/>
        </w:rPr>
        <w:t>6</w:t>
      </w:r>
      <w:r w:rsidRPr="00C048A4">
        <w:rPr>
          <w:color w:val="000000" w:themeColor="text1"/>
        </w:rPr>
        <w:t>,</w:t>
      </w:r>
      <w:r>
        <w:rPr>
          <w:color w:val="000000" w:themeColor="text1"/>
        </w:rPr>
        <w:t xml:space="preserve"> where conducive problems were solved quicker than non-conducive problems. There was</w:t>
      </w:r>
      <w:r w:rsidRPr="00C048A4">
        <w:rPr>
          <w:color w:val="000000" w:themeColor="text1"/>
        </w:rPr>
        <w:t xml:space="preserve"> no main effect of condition, </w:t>
      </w:r>
      <w:r w:rsidRPr="00C048A4">
        <w:rPr>
          <w:i/>
          <w:color w:val="000000" w:themeColor="text1"/>
        </w:rPr>
        <w:t>F</w:t>
      </w:r>
      <w:r w:rsidRPr="00C048A4">
        <w:rPr>
          <w:color w:val="000000" w:themeColor="text1"/>
        </w:rPr>
        <w:t>(2, 5</w:t>
      </w:r>
      <w:r>
        <w:rPr>
          <w:color w:val="000000" w:themeColor="text1"/>
        </w:rPr>
        <w:t>4</w:t>
      </w:r>
      <w:r w:rsidRPr="00C048A4">
        <w:rPr>
          <w:color w:val="000000" w:themeColor="text1"/>
        </w:rPr>
        <w:t xml:space="preserve">) = </w:t>
      </w:r>
      <w:r>
        <w:rPr>
          <w:color w:val="000000" w:themeColor="text1"/>
        </w:rPr>
        <w:t>1.03</w:t>
      </w:r>
      <w:r w:rsidRPr="00C048A4">
        <w:rPr>
          <w:color w:val="000000" w:themeColor="text1"/>
        </w:rPr>
        <w:t xml:space="preserve">, </w:t>
      </w:r>
      <w:r w:rsidRPr="00C048A4">
        <w:rPr>
          <w:i/>
          <w:color w:val="000000" w:themeColor="text1"/>
        </w:rPr>
        <w:t xml:space="preserve">p = </w:t>
      </w:r>
      <w:r w:rsidRPr="00C048A4">
        <w:rPr>
          <w:color w:val="000000" w:themeColor="text1"/>
        </w:rPr>
        <w:t>0.3</w:t>
      </w:r>
      <w:r>
        <w:rPr>
          <w:color w:val="000000" w:themeColor="text1"/>
        </w:rPr>
        <w:t>65</w:t>
      </w:r>
      <w:r w:rsidRPr="00C048A4">
        <w:rPr>
          <w:color w:val="000000" w:themeColor="text1"/>
        </w:rPr>
        <w:t xml:space="preserve">, </w:t>
      </w:r>
      <w:r w:rsidRPr="00C048A4">
        <w:rPr>
          <w:color w:val="000000" w:themeColor="text1"/>
          <w:lang w:val="en-US"/>
        </w:rPr>
        <w:sym w:font="Symbol" w:char="F068"/>
      </w:r>
      <w:r w:rsidRPr="00C048A4">
        <w:rPr>
          <w:color w:val="000000" w:themeColor="text1"/>
          <w:vertAlign w:val="subscript"/>
          <w:lang w:val="en-US"/>
        </w:rPr>
        <w:t>p</w:t>
      </w:r>
      <w:r w:rsidRPr="00C048A4">
        <w:rPr>
          <w:color w:val="000000" w:themeColor="text1"/>
          <w:vertAlign w:val="superscript"/>
          <w:lang w:val="en-US"/>
        </w:rPr>
        <w:t>2</w:t>
      </w:r>
      <w:r w:rsidRPr="00C048A4">
        <w:rPr>
          <w:color w:val="000000" w:themeColor="text1"/>
          <w:lang w:val="en-US"/>
        </w:rPr>
        <w:t xml:space="preserve"> = </w:t>
      </w:r>
      <w:r w:rsidRPr="00C048A4">
        <w:rPr>
          <w:color w:val="000000" w:themeColor="text1"/>
        </w:rPr>
        <w:t>0.0</w:t>
      </w:r>
      <w:r>
        <w:rPr>
          <w:color w:val="000000" w:themeColor="text1"/>
        </w:rPr>
        <w:t>4</w:t>
      </w:r>
      <w:r w:rsidRPr="00C048A4">
        <w:rPr>
          <w:color w:val="000000" w:themeColor="text1"/>
        </w:rPr>
        <w:t xml:space="preserve">, and no significant interaction between problem type and condition, </w:t>
      </w:r>
      <w:r w:rsidRPr="00C048A4">
        <w:rPr>
          <w:i/>
          <w:color w:val="000000" w:themeColor="text1"/>
        </w:rPr>
        <w:t>F</w:t>
      </w:r>
      <w:r w:rsidRPr="00C048A4">
        <w:rPr>
          <w:color w:val="000000" w:themeColor="text1"/>
        </w:rPr>
        <w:t>(2, 5</w:t>
      </w:r>
      <w:r>
        <w:rPr>
          <w:color w:val="000000" w:themeColor="text1"/>
        </w:rPr>
        <w:t>4</w:t>
      </w:r>
      <w:r w:rsidRPr="00C048A4">
        <w:rPr>
          <w:color w:val="000000" w:themeColor="text1"/>
        </w:rPr>
        <w:t xml:space="preserve">) = </w:t>
      </w:r>
      <w:r>
        <w:rPr>
          <w:color w:val="000000" w:themeColor="text1"/>
        </w:rPr>
        <w:t>0.53</w:t>
      </w:r>
      <w:r w:rsidRPr="00C048A4">
        <w:rPr>
          <w:color w:val="000000" w:themeColor="text1"/>
        </w:rPr>
        <w:t xml:space="preserve">, </w:t>
      </w:r>
      <w:r w:rsidRPr="00C048A4">
        <w:rPr>
          <w:i/>
          <w:color w:val="000000" w:themeColor="text1"/>
        </w:rPr>
        <w:t xml:space="preserve">p = </w:t>
      </w:r>
      <w:r w:rsidRPr="00C048A4">
        <w:rPr>
          <w:color w:val="000000" w:themeColor="text1"/>
        </w:rPr>
        <w:t>0.</w:t>
      </w:r>
      <w:r>
        <w:rPr>
          <w:color w:val="000000" w:themeColor="text1"/>
        </w:rPr>
        <w:t>592</w:t>
      </w:r>
      <w:r w:rsidRPr="00C048A4">
        <w:rPr>
          <w:color w:val="000000" w:themeColor="text1"/>
        </w:rPr>
        <w:t xml:space="preserve">, </w:t>
      </w:r>
      <w:r w:rsidRPr="00C048A4">
        <w:rPr>
          <w:color w:val="000000" w:themeColor="text1"/>
          <w:lang w:val="en-US"/>
        </w:rPr>
        <w:sym w:font="Symbol" w:char="F068"/>
      </w:r>
      <w:r w:rsidRPr="00C048A4">
        <w:rPr>
          <w:color w:val="000000" w:themeColor="text1"/>
          <w:vertAlign w:val="subscript"/>
          <w:lang w:val="en-US"/>
        </w:rPr>
        <w:t>p</w:t>
      </w:r>
      <w:r w:rsidRPr="00C048A4">
        <w:rPr>
          <w:color w:val="000000" w:themeColor="text1"/>
          <w:vertAlign w:val="superscript"/>
          <w:lang w:val="en-US"/>
        </w:rPr>
        <w:t>2</w:t>
      </w:r>
      <w:r w:rsidRPr="00C048A4">
        <w:rPr>
          <w:color w:val="000000" w:themeColor="text1"/>
          <w:lang w:val="en-US"/>
        </w:rPr>
        <w:t xml:space="preserve"> = </w:t>
      </w:r>
      <w:r w:rsidRPr="00C048A4">
        <w:rPr>
          <w:color w:val="000000" w:themeColor="text1"/>
        </w:rPr>
        <w:t>0.0</w:t>
      </w:r>
      <w:r>
        <w:rPr>
          <w:color w:val="000000" w:themeColor="text1"/>
        </w:rPr>
        <w:t>2</w:t>
      </w:r>
      <w:r w:rsidRPr="00C048A4">
        <w:rPr>
          <w:color w:val="000000" w:themeColor="text1"/>
        </w:rPr>
        <w:t>.</w:t>
      </w:r>
    </w:p>
    <w:p w14:paraId="2F179E44" w14:textId="77777777" w:rsidR="004671E1" w:rsidRDefault="004671E1" w:rsidP="004671E1">
      <w:pPr>
        <w:pStyle w:val="Heading4"/>
      </w:pPr>
      <w:r>
        <w:t xml:space="preserve">Response time for the trials after the </w:t>
      </w:r>
      <w:r w:rsidRPr="00F63862">
        <w:t>identification point</w:t>
      </w:r>
    </w:p>
    <w:p w14:paraId="41AAF904" w14:textId="1F0FCE03" w:rsidR="004671E1" w:rsidRDefault="004671E1" w:rsidP="004671E1">
      <w:pPr>
        <w:rPr>
          <w:color w:val="000000" w:themeColor="text1"/>
        </w:rPr>
      </w:pPr>
      <w:r w:rsidRPr="00C048A4">
        <w:rPr>
          <w:color w:val="000000" w:themeColor="text1"/>
        </w:rPr>
        <w:t>For those who were classed as identifiers, median RT of the correctly solved trials after the IP were calculated</w:t>
      </w:r>
      <w:r>
        <w:rPr>
          <w:color w:val="000000" w:themeColor="text1"/>
        </w:rPr>
        <w:t>.</w:t>
      </w:r>
      <w:r w:rsidRPr="00C048A4">
        <w:rPr>
          <w:color w:val="000000" w:themeColor="text1"/>
        </w:rPr>
        <w:t xml:space="preserve"> The data were analysed for </w:t>
      </w:r>
      <w:r>
        <w:rPr>
          <w:color w:val="000000" w:themeColor="text1"/>
        </w:rPr>
        <w:t xml:space="preserve">a) </w:t>
      </w:r>
      <w:r w:rsidRPr="00C048A4">
        <w:rPr>
          <w:color w:val="000000" w:themeColor="text1"/>
        </w:rPr>
        <w:t xml:space="preserve">statistical equivalence </w:t>
      </w:r>
      <w:r>
        <w:rPr>
          <w:color w:val="000000" w:themeColor="text1"/>
        </w:rPr>
        <w:t>and b) statistical difference, with adjusted alpha levels for the number of comparisons (0.05/6 = 0.008).</w:t>
      </w:r>
      <w:r w:rsidRPr="00A139EE">
        <w:rPr>
          <w:color w:val="000000" w:themeColor="text1"/>
        </w:rPr>
        <w:t xml:space="preserve"> </w:t>
      </w:r>
      <w:r>
        <w:rPr>
          <w:color w:val="000000" w:themeColor="text1"/>
        </w:rPr>
        <w:t>Table 3 displays the result. None of the comparisons were statistically equivalent (</w:t>
      </w:r>
      <w:r w:rsidRPr="003B5E56">
        <w:rPr>
          <w:i/>
          <w:color w:val="000000" w:themeColor="text1"/>
        </w:rPr>
        <w:t>p</w:t>
      </w:r>
      <w:r>
        <w:rPr>
          <w:color w:val="000000" w:themeColor="text1"/>
        </w:rPr>
        <w:t xml:space="preserve"> &gt; 0.008 for all comparisons) and none were significantly different.</w:t>
      </w:r>
    </w:p>
    <w:p w14:paraId="3C5F07E1" w14:textId="24BE24D2" w:rsidR="001116B4" w:rsidRDefault="001116B4" w:rsidP="004671E1">
      <w:pPr>
        <w:rPr>
          <w:color w:val="000000" w:themeColor="text1"/>
        </w:rPr>
      </w:pPr>
    </w:p>
    <w:p w14:paraId="2D975D37" w14:textId="22DFC10D" w:rsidR="001116B4" w:rsidRDefault="001116B4" w:rsidP="004671E1">
      <w:pPr>
        <w:rPr>
          <w:color w:val="000000" w:themeColor="text1"/>
        </w:rPr>
      </w:pPr>
    </w:p>
    <w:p w14:paraId="7CFDE0CB" w14:textId="32A5BA1E" w:rsidR="001116B4" w:rsidRDefault="001116B4" w:rsidP="004671E1">
      <w:pPr>
        <w:rPr>
          <w:color w:val="000000" w:themeColor="text1"/>
        </w:rPr>
      </w:pPr>
    </w:p>
    <w:p w14:paraId="1AE1D9CE" w14:textId="656D838F" w:rsidR="001116B4" w:rsidRDefault="001116B4" w:rsidP="004671E1">
      <w:pPr>
        <w:rPr>
          <w:color w:val="000000" w:themeColor="text1"/>
        </w:rPr>
      </w:pPr>
    </w:p>
    <w:p w14:paraId="355CE8FB" w14:textId="4862AB77" w:rsidR="001116B4" w:rsidRDefault="001116B4" w:rsidP="004671E1">
      <w:pPr>
        <w:rPr>
          <w:color w:val="000000" w:themeColor="text1"/>
        </w:rPr>
      </w:pPr>
    </w:p>
    <w:p w14:paraId="0C58DC9C" w14:textId="4814011F" w:rsidR="001116B4" w:rsidRDefault="001116B4" w:rsidP="004671E1">
      <w:pPr>
        <w:rPr>
          <w:color w:val="000000" w:themeColor="text1"/>
        </w:rPr>
      </w:pPr>
    </w:p>
    <w:p w14:paraId="427BE1CC" w14:textId="2592194A" w:rsidR="001116B4" w:rsidRDefault="001116B4" w:rsidP="004671E1">
      <w:pPr>
        <w:rPr>
          <w:color w:val="000000" w:themeColor="text1"/>
        </w:rPr>
      </w:pPr>
    </w:p>
    <w:p w14:paraId="70E0FEFA" w14:textId="02A2A786" w:rsidR="001116B4" w:rsidRDefault="001116B4" w:rsidP="004671E1">
      <w:pPr>
        <w:rPr>
          <w:color w:val="000000" w:themeColor="text1"/>
        </w:rPr>
      </w:pPr>
    </w:p>
    <w:p w14:paraId="350165F8" w14:textId="11B1ADF8" w:rsidR="001116B4" w:rsidRDefault="001116B4" w:rsidP="004671E1">
      <w:pPr>
        <w:rPr>
          <w:color w:val="000000" w:themeColor="text1"/>
        </w:rPr>
      </w:pPr>
    </w:p>
    <w:p w14:paraId="686BC986" w14:textId="0A1F0FFF" w:rsidR="001116B4" w:rsidRDefault="001116B4" w:rsidP="004671E1">
      <w:pPr>
        <w:rPr>
          <w:color w:val="000000" w:themeColor="text1"/>
        </w:rPr>
      </w:pPr>
    </w:p>
    <w:p w14:paraId="64B555D8" w14:textId="1BAB1FC1" w:rsidR="001116B4" w:rsidRDefault="001116B4" w:rsidP="004671E1">
      <w:pPr>
        <w:rPr>
          <w:color w:val="000000" w:themeColor="text1"/>
        </w:rPr>
      </w:pPr>
    </w:p>
    <w:p w14:paraId="0EEDF241" w14:textId="5973517F" w:rsidR="001116B4" w:rsidRDefault="001116B4" w:rsidP="004671E1">
      <w:pPr>
        <w:rPr>
          <w:color w:val="000000" w:themeColor="text1"/>
        </w:rPr>
      </w:pPr>
    </w:p>
    <w:p w14:paraId="380A6395" w14:textId="019B1AEF" w:rsidR="001116B4" w:rsidRDefault="001116B4" w:rsidP="004671E1">
      <w:pPr>
        <w:rPr>
          <w:color w:val="000000" w:themeColor="text1"/>
        </w:rPr>
      </w:pPr>
    </w:p>
    <w:p w14:paraId="3664E119" w14:textId="571C3E3E" w:rsidR="001116B4" w:rsidRDefault="001116B4" w:rsidP="004671E1">
      <w:pPr>
        <w:rPr>
          <w:color w:val="000000" w:themeColor="text1"/>
        </w:rPr>
      </w:pPr>
    </w:p>
    <w:p w14:paraId="718CC4BC" w14:textId="406455EF" w:rsidR="001116B4" w:rsidRDefault="001116B4" w:rsidP="004671E1">
      <w:pPr>
        <w:rPr>
          <w:color w:val="000000" w:themeColor="text1"/>
        </w:rPr>
      </w:pPr>
    </w:p>
    <w:p w14:paraId="6441928E" w14:textId="42A03E88" w:rsidR="001116B4" w:rsidRDefault="001116B4" w:rsidP="004671E1">
      <w:pPr>
        <w:rPr>
          <w:color w:val="000000" w:themeColor="text1"/>
        </w:rPr>
      </w:pPr>
    </w:p>
    <w:p w14:paraId="188BC54B" w14:textId="451C9893" w:rsidR="001116B4" w:rsidRDefault="001116B4" w:rsidP="004671E1">
      <w:pPr>
        <w:rPr>
          <w:color w:val="000000" w:themeColor="text1"/>
        </w:rPr>
      </w:pPr>
    </w:p>
    <w:p w14:paraId="7516206E" w14:textId="6CE724C7" w:rsidR="001116B4" w:rsidRDefault="001116B4" w:rsidP="004671E1">
      <w:pPr>
        <w:rPr>
          <w:color w:val="000000" w:themeColor="text1"/>
        </w:rPr>
      </w:pPr>
    </w:p>
    <w:p w14:paraId="799BCEB8" w14:textId="77777777" w:rsidR="001116B4" w:rsidRDefault="001116B4" w:rsidP="004671E1">
      <w:pPr>
        <w:rPr>
          <w:color w:val="000000" w:themeColor="text1"/>
        </w:rPr>
        <w:sectPr w:rsidR="001116B4" w:rsidSect="001116B4">
          <w:pgSz w:w="11906" w:h="16838"/>
          <w:pgMar w:top="1440" w:right="1440" w:bottom="1440" w:left="1440" w:header="708" w:footer="708" w:gutter="0"/>
          <w:cols w:space="708"/>
          <w:docGrid w:linePitch="360"/>
        </w:sectPr>
      </w:pPr>
    </w:p>
    <w:p w14:paraId="7DE7FC2D" w14:textId="743565D4" w:rsidR="004671E1" w:rsidRDefault="004671E1" w:rsidP="004671E1">
      <w:pPr>
        <w:spacing w:line="480" w:lineRule="auto"/>
        <w:rPr>
          <w:rFonts w:eastAsia="Calibri"/>
          <w:color w:val="000000"/>
        </w:rPr>
      </w:pPr>
      <w:r>
        <w:rPr>
          <w:rFonts w:eastAsia="Calibri"/>
          <w:color w:val="000000"/>
        </w:rPr>
        <w:lastRenderedPageBreak/>
        <w:t>Table 3: Outcome of the equivalence tests and tests of statistical difference</w:t>
      </w:r>
      <w:r w:rsidRPr="004A3584">
        <w:rPr>
          <w:rFonts w:eastAsia="Calibri"/>
          <w:color w:val="000000"/>
        </w:rPr>
        <w:t xml:space="preserve"> </w:t>
      </w:r>
      <w:r>
        <w:rPr>
          <w:rFonts w:eastAsia="Calibri"/>
          <w:color w:val="000000"/>
        </w:rPr>
        <w:t xml:space="preserve">for </w:t>
      </w:r>
      <w:r w:rsidRPr="004A3584">
        <w:rPr>
          <w:rFonts w:eastAsia="Calibri"/>
          <w:color w:val="000000"/>
        </w:rPr>
        <w:t xml:space="preserve">median RT (s) after the IP. The data are from the </w:t>
      </w:r>
      <w:r>
        <w:rPr>
          <w:rFonts w:eastAsia="Calibri"/>
          <w:color w:val="000000"/>
        </w:rPr>
        <w:t xml:space="preserve">17, 17 and 23 </w:t>
      </w:r>
      <w:r w:rsidRPr="004A3584">
        <w:rPr>
          <w:rFonts w:eastAsia="Calibri"/>
          <w:color w:val="000000"/>
        </w:rPr>
        <w:t>identifiers in the control, left-prime and right-prime conditions respectively</w:t>
      </w:r>
      <w:r>
        <w:rPr>
          <w:rStyle w:val="FootnoteReference"/>
          <w:rFonts w:eastAsia="Calibri"/>
          <w:color w:val="000000"/>
        </w:rPr>
        <w:footnoteReference w:id="1"/>
      </w:r>
      <w:r w:rsidRPr="004A3584">
        <w:rPr>
          <w:rFonts w:eastAsia="Calibri"/>
          <w:color w:val="000000"/>
        </w:rPr>
        <w:t>.</w:t>
      </w:r>
    </w:p>
    <w:p w14:paraId="3F90752B" w14:textId="23EBD5E7" w:rsidR="008338A1" w:rsidRDefault="008338A1" w:rsidP="004671E1">
      <w:pPr>
        <w:spacing w:line="480" w:lineRule="auto"/>
        <w:rPr>
          <w:rFonts w:eastAsia="Calibri"/>
          <w:color w:val="000000"/>
        </w:rPr>
      </w:pPr>
    </w:p>
    <w:tbl>
      <w:tblPr>
        <w:tblpPr w:leftFromText="180" w:rightFromText="180" w:vertAnchor="text" w:horzAnchor="margin" w:tblpY="421"/>
        <w:tblW w:w="14332" w:type="dxa"/>
        <w:tblLook w:val="04A0" w:firstRow="1" w:lastRow="0" w:firstColumn="1" w:lastColumn="0" w:noHBand="0" w:noVBand="1"/>
      </w:tblPr>
      <w:tblGrid>
        <w:gridCol w:w="1149"/>
        <w:gridCol w:w="2623"/>
        <w:gridCol w:w="2906"/>
        <w:gridCol w:w="2551"/>
        <w:gridCol w:w="2410"/>
        <w:gridCol w:w="2693"/>
      </w:tblGrid>
      <w:tr w:rsidR="004671E1" w:rsidRPr="004A3584" w14:paraId="4C9E27DD" w14:textId="77777777" w:rsidTr="00B4408D">
        <w:trPr>
          <w:trHeight w:val="285"/>
        </w:trPr>
        <w:tc>
          <w:tcPr>
            <w:tcW w:w="1149" w:type="dxa"/>
            <w:tcBorders>
              <w:top w:val="nil"/>
              <w:left w:val="nil"/>
              <w:bottom w:val="single" w:sz="4" w:space="0" w:color="auto"/>
              <w:right w:val="nil"/>
            </w:tcBorders>
            <w:shd w:val="clear" w:color="auto" w:fill="auto"/>
            <w:vAlign w:val="bottom"/>
            <w:hideMark/>
          </w:tcPr>
          <w:p w14:paraId="47C24CF3" w14:textId="77777777" w:rsidR="004671E1" w:rsidRPr="004A3584" w:rsidRDefault="004671E1" w:rsidP="00B4408D">
            <w:pPr>
              <w:spacing w:after="0" w:line="240" w:lineRule="auto"/>
              <w:rPr>
                <w:rFonts w:eastAsia="Times New Roman"/>
                <w:color w:val="000000"/>
                <w:lang w:eastAsia="en-GB"/>
              </w:rPr>
            </w:pPr>
            <w:r w:rsidRPr="004A3584">
              <w:rPr>
                <w:rFonts w:eastAsia="Times New Roman"/>
                <w:color w:val="000000"/>
                <w:lang w:eastAsia="en-GB"/>
              </w:rPr>
              <w:t>Problem type</w:t>
            </w:r>
          </w:p>
        </w:tc>
        <w:tc>
          <w:tcPr>
            <w:tcW w:w="2623" w:type="dxa"/>
            <w:tcBorders>
              <w:top w:val="nil"/>
              <w:left w:val="nil"/>
              <w:bottom w:val="single" w:sz="4" w:space="0" w:color="auto"/>
              <w:right w:val="nil"/>
            </w:tcBorders>
            <w:shd w:val="clear" w:color="auto" w:fill="auto"/>
            <w:vAlign w:val="bottom"/>
            <w:hideMark/>
          </w:tcPr>
          <w:p w14:paraId="040ED0D6" w14:textId="77777777" w:rsidR="004671E1" w:rsidRPr="004A3584" w:rsidRDefault="004671E1" w:rsidP="00B4408D">
            <w:pPr>
              <w:spacing w:after="0" w:line="240" w:lineRule="auto"/>
              <w:rPr>
                <w:rFonts w:eastAsia="Times New Roman"/>
                <w:color w:val="000000"/>
                <w:lang w:eastAsia="en-GB"/>
              </w:rPr>
            </w:pPr>
            <w:r w:rsidRPr="004A3584">
              <w:rPr>
                <w:rFonts w:eastAsia="Times New Roman"/>
                <w:color w:val="000000"/>
                <w:lang w:eastAsia="en-GB"/>
              </w:rPr>
              <w:t>Comparison</w:t>
            </w:r>
          </w:p>
        </w:tc>
        <w:tc>
          <w:tcPr>
            <w:tcW w:w="2906" w:type="dxa"/>
            <w:tcBorders>
              <w:top w:val="nil"/>
              <w:left w:val="nil"/>
              <w:bottom w:val="single" w:sz="4" w:space="0" w:color="auto"/>
              <w:right w:val="nil"/>
            </w:tcBorders>
            <w:shd w:val="clear" w:color="auto" w:fill="auto"/>
            <w:vAlign w:val="bottom"/>
            <w:hideMark/>
          </w:tcPr>
          <w:p w14:paraId="476E4AF4" w14:textId="77777777" w:rsidR="004671E1" w:rsidRPr="004A3584" w:rsidRDefault="004671E1" w:rsidP="00B4408D">
            <w:pPr>
              <w:spacing w:after="0" w:line="240" w:lineRule="auto"/>
              <w:rPr>
                <w:rFonts w:eastAsia="Times New Roman"/>
                <w:color w:val="000000"/>
                <w:lang w:eastAsia="en-GB"/>
              </w:rPr>
            </w:pPr>
            <w:r w:rsidRPr="004A3584">
              <w:rPr>
                <w:rFonts w:eastAsia="Times New Roman"/>
                <w:color w:val="000000"/>
                <w:lang w:eastAsia="en-GB"/>
              </w:rPr>
              <w:t>Mean (SD)</w:t>
            </w:r>
          </w:p>
        </w:tc>
        <w:tc>
          <w:tcPr>
            <w:tcW w:w="2551" w:type="dxa"/>
            <w:tcBorders>
              <w:top w:val="nil"/>
              <w:left w:val="nil"/>
              <w:bottom w:val="single" w:sz="4" w:space="0" w:color="auto"/>
              <w:right w:val="nil"/>
            </w:tcBorders>
            <w:shd w:val="clear" w:color="auto" w:fill="auto"/>
            <w:vAlign w:val="bottom"/>
            <w:hideMark/>
          </w:tcPr>
          <w:p w14:paraId="6D3E48BB" w14:textId="77777777" w:rsidR="004671E1" w:rsidRPr="004A3584" w:rsidRDefault="004671E1" w:rsidP="00B4408D">
            <w:pPr>
              <w:spacing w:after="0" w:line="240" w:lineRule="auto"/>
              <w:rPr>
                <w:rFonts w:eastAsia="Times New Roman"/>
                <w:color w:val="000000"/>
                <w:lang w:eastAsia="en-GB"/>
              </w:rPr>
            </w:pPr>
            <w:r w:rsidRPr="004A3584">
              <w:rPr>
                <w:rFonts w:eastAsia="Times New Roman"/>
                <w:color w:val="000000"/>
                <w:lang w:eastAsia="en-GB"/>
              </w:rPr>
              <w:t>Equivalence test result</w:t>
            </w:r>
          </w:p>
        </w:tc>
        <w:tc>
          <w:tcPr>
            <w:tcW w:w="2410" w:type="dxa"/>
            <w:tcBorders>
              <w:top w:val="nil"/>
              <w:left w:val="nil"/>
              <w:bottom w:val="single" w:sz="4" w:space="0" w:color="auto"/>
              <w:right w:val="nil"/>
            </w:tcBorders>
          </w:tcPr>
          <w:p w14:paraId="097922D3" w14:textId="77777777" w:rsidR="004671E1" w:rsidRPr="004A3584" w:rsidRDefault="004671E1" w:rsidP="00B4408D">
            <w:pPr>
              <w:spacing w:after="0" w:line="240" w:lineRule="auto"/>
              <w:jc w:val="center"/>
              <w:rPr>
                <w:rFonts w:eastAsia="Times New Roman"/>
                <w:color w:val="000000"/>
                <w:lang w:eastAsia="en-GB"/>
              </w:rPr>
            </w:pPr>
            <w:r>
              <w:rPr>
                <w:rFonts w:eastAsia="Times New Roman"/>
                <w:color w:val="000000"/>
                <w:lang w:eastAsia="en-GB"/>
              </w:rPr>
              <w:t>Statistical difference result</w:t>
            </w:r>
          </w:p>
        </w:tc>
        <w:tc>
          <w:tcPr>
            <w:tcW w:w="2693" w:type="dxa"/>
            <w:tcBorders>
              <w:top w:val="nil"/>
              <w:left w:val="nil"/>
              <w:bottom w:val="single" w:sz="4" w:space="0" w:color="auto"/>
              <w:right w:val="nil"/>
            </w:tcBorders>
            <w:shd w:val="clear" w:color="auto" w:fill="auto"/>
            <w:vAlign w:val="center"/>
            <w:hideMark/>
          </w:tcPr>
          <w:p w14:paraId="0739B9EB" w14:textId="77777777" w:rsidR="004671E1" w:rsidRPr="004A3584" w:rsidRDefault="004671E1" w:rsidP="00B4408D">
            <w:pPr>
              <w:spacing w:after="0" w:line="240" w:lineRule="auto"/>
              <w:jc w:val="center"/>
              <w:rPr>
                <w:rFonts w:eastAsia="Times New Roman"/>
                <w:color w:val="000000"/>
                <w:lang w:eastAsia="en-GB"/>
              </w:rPr>
            </w:pPr>
            <w:r w:rsidRPr="004A3584">
              <w:rPr>
                <w:rFonts w:eastAsia="Times New Roman"/>
                <w:color w:val="000000"/>
                <w:lang w:eastAsia="en-GB"/>
              </w:rPr>
              <w:t xml:space="preserve">Interpretation (with alpha adjusted to </w:t>
            </w:r>
            <w:r w:rsidRPr="004A3584">
              <w:rPr>
                <w:rFonts w:eastAsia="Times New Roman"/>
                <w:i/>
                <w:color w:val="000000"/>
                <w:lang w:eastAsia="en-GB"/>
              </w:rPr>
              <w:t>p</w:t>
            </w:r>
            <w:r w:rsidRPr="004A3584">
              <w:rPr>
                <w:rFonts w:eastAsia="Times New Roman"/>
                <w:color w:val="000000"/>
                <w:lang w:eastAsia="en-GB"/>
              </w:rPr>
              <w:t>&lt; 0.008)</w:t>
            </w:r>
          </w:p>
        </w:tc>
      </w:tr>
      <w:tr w:rsidR="004671E1" w:rsidRPr="004A3584" w14:paraId="7BCA07FA" w14:textId="77777777" w:rsidTr="00B4408D">
        <w:trPr>
          <w:trHeight w:val="510"/>
        </w:trPr>
        <w:tc>
          <w:tcPr>
            <w:tcW w:w="1149" w:type="dxa"/>
            <w:vMerge w:val="restart"/>
            <w:tcBorders>
              <w:top w:val="nil"/>
              <w:left w:val="nil"/>
              <w:bottom w:val="nil"/>
              <w:right w:val="nil"/>
            </w:tcBorders>
            <w:shd w:val="clear" w:color="auto" w:fill="auto"/>
            <w:vAlign w:val="center"/>
            <w:hideMark/>
          </w:tcPr>
          <w:p w14:paraId="6A6C2BAA" w14:textId="77777777" w:rsidR="004671E1" w:rsidRPr="004A3584" w:rsidRDefault="004671E1" w:rsidP="00B4408D">
            <w:pPr>
              <w:spacing w:after="0" w:line="240" w:lineRule="auto"/>
              <w:rPr>
                <w:rFonts w:eastAsia="Times New Roman"/>
                <w:color w:val="000000"/>
                <w:lang w:eastAsia="en-GB"/>
              </w:rPr>
            </w:pPr>
            <w:r w:rsidRPr="004A3584">
              <w:rPr>
                <w:rFonts w:eastAsia="Times New Roman"/>
                <w:color w:val="000000"/>
                <w:lang w:eastAsia="en-GB"/>
              </w:rPr>
              <w:t>Conducive</w:t>
            </w:r>
          </w:p>
        </w:tc>
        <w:tc>
          <w:tcPr>
            <w:tcW w:w="2623" w:type="dxa"/>
            <w:tcBorders>
              <w:top w:val="nil"/>
              <w:left w:val="nil"/>
              <w:bottom w:val="nil"/>
              <w:right w:val="nil"/>
            </w:tcBorders>
            <w:shd w:val="clear" w:color="auto" w:fill="auto"/>
            <w:vAlign w:val="bottom"/>
            <w:hideMark/>
          </w:tcPr>
          <w:p w14:paraId="52D4058E" w14:textId="77777777" w:rsidR="004671E1" w:rsidRPr="004A3584" w:rsidRDefault="004671E1" w:rsidP="00B4408D">
            <w:pPr>
              <w:spacing w:after="0" w:line="240" w:lineRule="auto"/>
              <w:rPr>
                <w:rFonts w:eastAsia="Times New Roman"/>
                <w:color w:val="000000"/>
                <w:lang w:eastAsia="en-GB"/>
              </w:rPr>
            </w:pPr>
            <w:r w:rsidRPr="004A3584">
              <w:rPr>
                <w:rFonts w:eastAsia="Times New Roman"/>
                <w:color w:val="000000"/>
                <w:lang w:eastAsia="en-GB"/>
              </w:rPr>
              <w:t>Control and left-prime</w:t>
            </w:r>
          </w:p>
        </w:tc>
        <w:tc>
          <w:tcPr>
            <w:tcW w:w="2906" w:type="dxa"/>
            <w:tcBorders>
              <w:top w:val="nil"/>
              <w:left w:val="nil"/>
              <w:bottom w:val="nil"/>
              <w:right w:val="nil"/>
            </w:tcBorders>
            <w:shd w:val="clear" w:color="auto" w:fill="auto"/>
            <w:vAlign w:val="bottom"/>
            <w:hideMark/>
          </w:tcPr>
          <w:p w14:paraId="2AE5E889" w14:textId="77777777" w:rsidR="004671E1" w:rsidRPr="00FF7542" w:rsidRDefault="004671E1" w:rsidP="00B4408D">
            <w:pPr>
              <w:spacing w:after="0" w:line="240" w:lineRule="auto"/>
              <w:rPr>
                <w:rFonts w:eastAsia="Times New Roman"/>
                <w:color w:val="000000"/>
                <w:lang w:eastAsia="en-GB"/>
              </w:rPr>
            </w:pPr>
            <w:r w:rsidRPr="00FF7542">
              <w:rPr>
                <w:rFonts w:eastAsia="Times New Roman"/>
                <w:color w:val="000000"/>
                <w:lang w:eastAsia="en-GB"/>
              </w:rPr>
              <w:t>5.30 (2.41) and 3.72 (1.72)</w:t>
            </w:r>
          </w:p>
        </w:tc>
        <w:tc>
          <w:tcPr>
            <w:tcW w:w="2551" w:type="dxa"/>
            <w:tcBorders>
              <w:top w:val="nil"/>
              <w:left w:val="nil"/>
              <w:bottom w:val="nil"/>
              <w:right w:val="nil"/>
            </w:tcBorders>
            <w:shd w:val="clear" w:color="auto" w:fill="auto"/>
            <w:vAlign w:val="bottom"/>
            <w:hideMark/>
          </w:tcPr>
          <w:p w14:paraId="5116A257"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 xml:space="preserve">(32) = 0.13, </w:t>
            </w:r>
            <w:r w:rsidRPr="00FF7542">
              <w:rPr>
                <w:rFonts w:eastAsia="Times New Roman"/>
                <w:i/>
                <w:color w:val="000000"/>
                <w:lang w:eastAsia="en-GB"/>
              </w:rPr>
              <w:t>p</w:t>
            </w:r>
            <w:r w:rsidRPr="00FF7542">
              <w:rPr>
                <w:rFonts w:eastAsia="Times New Roman"/>
                <w:color w:val="000000"/>
                <w:lang w:eastAsia="en-GB"/>
              </w:rPr>
              <w:t xml:space="preserve"> = 0.448</w:t>
            </w:r>
          </w:p>
        </w:tc>
        <w:tc>
          <w:tcPr>
            <w:tcW w:w="2410" w:type="dxa"/>
            <w:tcBorders>
              <w:top w:val="nil"/>
              <w:left w:val="nil"/>
              <w:bottom w:val="nil"/>
              <w:right w:val="nil"/>
            </w:tcBorders>
            <w:shd w:val="clear" w:color="auto" w:fill="auto"/>
            <w:vAlign w:val="bottom"/>
          </w:tcPr>
          <w:p w14:paraId="6C5EC3E3"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 xml:space="preserve">(32) = 2.20, </w:t>
            </w:r>
            <w:r w:rsidRPr="00FF7542">
              <w:rPr>
                <w:rFonts w:eastAsia="Times New Roman"/>
                <w:i/>
                <w:color w:val="000000"/>
                <w:lang w:eastAsia="en-GB"/>
              </w:rPr>
              <w:t>p</w:t>
            </w:r>
            <w:r w:rsidRPr="00FF7542">
              <w:rPr>
                <w:rFonts w:eastAsia="Times New Roman"/>
                <w:color w:val="000000"/>
                <w:lang w:eastAsia="en-GB"/>
              </w:rPr>
              <w:t xml:space="preserve"> = 0.035</w:t>
            </w:r>
          </w:p>
        </w:tc>
        <w:tc>
          <w:tcPr>
            <w:tcW w:w="2693" w:type="dxa"/>
            <w:tcBorders>
              <w:top w:val="nil"/>
              <w:left w:val="nil"/>
              <w:bottom w:val="nil"/>
              <w:right w:val="nil"/>
            </w:tcBorders>
            <w:shd w:val="clear" w:color="auto" w:fill="auto"/>
            <w:vAlign w:val="center"/>
            <w:hideMark/>
          </w:tcPr>
          <w:p w14:paraId="0A8DC4F8" w14:textId="77777777" w:rsidR="004671E1" w:rsidRPr="004A3584" w:rsidRDefault="004671E1" w:rsidP="00B4408D">
            <w:pPr>
              <w:spacing w:after="0" w:line="240" w:lineRule="auto"/>
              <w:jc w:val="center"/>
              <w:rPr>
                <w:rFonts w:eastAsia="Times New Roman"/>
                <w:color w:val="000000"/>
                <w:lang w:eastAsia="en-GB"/>
              </w:rPr>
            </w:pPr>
            <w:r w:rsidRPr="004A3584">
              <w:rPr>
                <w:rFonts w:eastAsia="Times New Roman"/>
                <w:color w:val="000000"/>
                <w:lang w:eastAsia="en-GB"/>
              </w:rPr>
              <w:t>Not statistically equivalent</w:t>
            </w:r>
            <w:r>
              <w:rPr>
                <w:rFonts w:eastAsia="Times New Roman"/>
                <w:color w:val="000000"/>
                <w:lang w:eastAsia="en-GB"/>
              </w:rPr>
              <w:t xml:space="preserve"> or statistically different</w:t>
            </w:r>
          </w:p>
        </w:tc>
      </w:tr>
      <w:tr w:rsidR="004671E1" w:rsidRPr="004A3584" w14:paraId="10E5BC0B" w14:textId="77777777" w:rsidTr="00B4408D">
        <w:trPr>
          <w:trHeight w:val="510"/>
        </w:trPr>
        <w:tc>
          <w:tcPr>
            <w:tcW w:w="1149" w:type="dxa"/>
            <w:vMerge/>
            <w:tcBorders>
              <w:top w:val="nil"/>
              <w:left w:val="nil"/>
              <w:bottom w:val="nil"/>
              <w:right w:val="nil"/>
            </w:tcBorders>
            <w:vAlign w:val="center"/>
            <w:hideMark/>
          </w:tcPr>
          <w:p w14:paraId="10A0F045" w14:textId="77777777" w:rsidR="004671E1" w:rsidRPr="004A3584" w:rsidRDefault="004671E1" w:rsidP="00B4408D">
            <w:pPr>
              <w:spacing w:after="0" w:line="240" w:lineRule="auto"/>
              <w:rPr>
                <w:rFonts w:eastAsia="Times New Roman"/>
                <w:color w:val="000000"/>
                <w:lang w:eastAsia="en-GB"/>
              </w:rPr>
            </w:pPr>
          </w:p>
        </w:tc>
        <w:tc>
          <w:tcPr>
            <w:tcW w:w="2623" w:type="dxa"/>
            <w:tcBorders>
              <w:top w:val="nil"/>
              <w:left w:val="nil"/>
              <w:right w:val="nil"/>
            </w:tcBorders>
            <w:shd w:val="clear" w:color="auto" w:fill="auto"/>
            <w:vAlign w:val="bottom"/>
            <w:hideMark/>
          </w:tcPr>
          <w:p w14:paraId="092E30A8" w14:textId="77777777" w:rsidR="004671E1" w:rsidRPr="004A3584" w:rsidRDefault="004671E1" w:rsidP="00B4408D">
            <w:pPr>
              <w:spacing w:after="0" w:line="240" w:lineRule="auto"/>
              <w:rPr>
                <w:rFonts w:eastAsia="Times New Roman"/>
                <w:color w:val="000000"/>
                <w:lang w:eastAsia="en-GB"/>
              </w:rPr>
            </w:pPr>
            <w:r w:rsidRPr="004A3584">
              <w:rPr>
                <w:rFonts w:eastAsia="Times New Roman"/>
                <w:color w:val="000000"/>
                <w:lang w:eastAsia="en-GB"/>
              </w:rPr>
              <w:t xml:space="preserve">Control and right-prime </w:t>
            </w:r>
          </w:p>
        </w:tc>
        <w:tc>
          <w:tcPr>
            <w:tcW w:w="2906" w:type="dxa"/>
            <w:tcBorders>
              <w:top w:val="nil"/>
              <w:left w:val="nil"/>
              <w:right w:val="nil"/>
            </w:tcBorders>
            <w:shd w:val="clear" w:color="auto" w:fill="auto"/>
            <w:vAlign w:val="bottom"/>
            <w:hideMark/>
          </w:tcPr>
          <w:p w14:paraId="4C0D493D" w14:textId="77777777" w:rsidR="004671E1" w:rsidRPr="00FF7542" w:rsidRDefault="004671E1" w:rsidP="00B4408D">
            <w:pPr>
              <w:spacing w:after="0" w:line="240" w:lineRule="auto"/>
              <w:rPr>
                <w:rFonts w:eastAsia="Times New Roman"/>
                <w:color w:val="000000"/>
                <w:lang w:eastAsia="en-GB"/>
              </w:rPr>
            </w:pPr>
            <w:r w:rsidRPr="00FF7542">
              <w:rPr>
                <w:rFonts w:eastAsia="Times New Roman"/>
                <w:color w:val="000000"/>
                <w:lang w:eastAsia="en-GB"/>
              </w:rPr>
              <w:t xml:space="preserve">5.30 (2.41) and </w:t>
            </w:r>
            <w:r>
              <w:rPr>
                <w:rFonts w:eastAsia="Times New Roman"/>
                <w:color w:val="000000"/>
                <w:lang w:eastAsia="en-GB"/>
              </w:rPr>
              <w:t xml:space="preserve">5.79 </w:t>
            </w:r>
            <w:r w:rsidRPr="00FF7542">
              <w:rPr>
                <w:rFonts w:eastAsia="Times New Roman"/>
                <w:color w:val="000000"/>
                <w:lang w:eastAsia="en-GB"/>
              </w:rPr>
              <w:t>(</w:t>
            </w:r>
            <w:r>
              <w:rPr>
                <w:rFonts w:eastAsia="Times New Roman"/>
                <w:color w:val="000000"/>
                <w:lang w:eastAsia="en-GB"/>
              </w:rPr>
              <w:t>6.04</w:t>
            </w:r>
            <w:r w:rsidRPr="00FF7542">
              <w:rPr>
                <w:rFonts w:eastAsia="Times New Roman"/>
                <w:color w:val="000000"/>
                <w:lang w:eastAsia="en-GB"/>
              </w:rPr>
              <w:t>)</w:t>
            </w:r>
          </w:p>
        </w:tc>
        <w:tc>
          <w:tcPr>
            <w:tcW w:w="2551" w:type="dxa"/>
            <w:tcBorders>
              <w:top w:val="nil"/>
              <w:left w:val="nil"/>
              <w:right w:val="nil"/>
            </w:tcBorders>
            <w:shd w:val="clear" w:color="auto" w:fill="auto"/>
            <w:vAlign w:val="bottom"/>
            <w:hideMark/>
          </w:tcPr>
          <w:p w14:paraId="34BF8972"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3</w:t>
            </w:r>
            <w:r>
              <w:rPr>
                <w:rFonts w:eastAsia="Times New Roman"/>
                <w:color w:val="000000"/>
                <w:lang w:eastAsia="en-GB"/>
              </w:rPr>
              <w:t>8</w:t>
            </w:r>
            <w:r w:rsidRPr="00FF7542">
              <w:rPr>
                <w:rFonts w:eastAsia="Times New Roman"/>
                <w:color w:val="000000"/>
                <w:lang w:eastAsia="en-GB"/>
              </w:rPr>
              <w:t xml:space="preserve">) = </w:t>
            </w:r>
            <w:r>
              <w:rPr>
                <w:rFonts w:eastAsia="Times New Roman"/>
                <w:color w:val="000000"/>
                <w:lang w:eastAsia="en-GB"/>
              </w:rPr>
              <w:t>2.19</w:t>
            </w:r>
            <w:r w:rsidRPr="00FF7542">
              <w:rPr>
                <w:rFonts w:eastAsia="Times New Roman"/>
                <w:color w:val="000000"/>
                <w:lang w:eastAsia="en-GB"/>
              </w:rPr>
              <w:t xml:space="preserve">, </w:t>
            </w:r>
            <w:r w:rsidRPr="00FF7542">
              <w:rPr>
                <w:rFonts w:eastAsia="Times New Roman"/>
                <w:i/>
                <w:color w:val="000000"/>
                <w:lang w:eastAsia="en-GB"/>
              </w:rPr>
              <w:t>p</w:t>
            </w:r>
            <w:r w:rsidRPr="00FF7542">
              <w:rPr>
                <w:rFonts w:eastAsia="Times New Roman"/>
                <w:color w:val="000000"/>
                <w:lang w:eastAsia="en-GB"/>
              </w:rPr>
              <w:t xml:space="preserve"> = 0.01</w:t>
            </w:r>
            <w:r>
              <w:rPr>
                <w:rFonts w:eastAsia="Times New Roman"/>
                <w:color w:val="000000"/>
                <w:lang w:eastAsia="en-GB"/>
              </w:rPr>
              <w:t>8</w:t>
            </w:r>
          </w:p>
        </w:tc>
        <w:tc>
          <w:tcPr>
            <w:tcW w:w="2410" w:type="dxa"/>
            <w:tcBorders>
              <w:top w:val="nil"/>
              <w:left w:val="nil"/>
              <w:right w:val="nil"/>
            </w:tcBorders>
            <w:shd w:val="clear" w:color="auto" w:fill="auto"/>
            <w:vAlign w:val="bottom"/>
          </w:tcPr>
          <w:p w14:paraId="33089D8D"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(3</w:t>
            </w:r>
            <w:r>
              <w:rPr>
                <w:rFonts w:eastAsia="Times New Roman"/>
                <w:color w:val="000000"/>
                <w:lang w:eastAsia="en-GB"/>
              </w:rPr>
              <w:t>8</w:t>
            </w:r>
            <w:r w:rsidRPr="00FF7542">
              <w:rPr>
                <w:rFonts w:eastAsia="Times New Roman"/>
                <w:color w:val="000000"/>
                <w:lang w:eastAsia="en-GB"/>
              </w:rPr>
              <w:t>) = 0.</w:t>
            </w:r>
            <w:r>
              <w:rPr>
                <w:rFonts w:eastAsia="Times New Roman"/>
                <w:color w:val="000000"/>
                <w:lang w:eastAsia="en-GB"/>
              </w:rPr>
              <w:t>32</w:t>
            </w:r>
            <w:r w:rsidRPr="00FF7542">
              <w:rPr>
                <w:rFonts w:eastAsia="Times New Roman"/>
                <w:color w:val="000000"/>
                <w:lang w:eastAsia="en-GB"/>
              </w:rPr>
              <w:t xml:space="preserve">, </w:t>
            </w:r>
            <w:r w:rsidRPr="00FF7542">
              <w:rPr>
                <w:rFonts w:eastAsia="Times New Roman"/>
                <w:i/>
                <w:color w:val="000000"/>
                <w:lang w:eastAsia="en-GB"/>
              </w:rPr>
              <w:t>p</w:t>
            </w:r>
            <w:r w:rsidRPr="00FF7542">
              <w:rPr>
                <w:rFonts w:eastAsia="Times New Roman"/>
                <w:color w:val="000000"/>
                <w:lang w:eastAsia="en-GB"/>
              </w:rPr>
              <w:t xml:space="preserve"> = 0.</w:t>
            </w:r>
            <w:r>
              <w:rPr>
                <w:rFonts w:eastAsia="Times New Roman"/>
                <w:color w:val="000000"/>
                <w:lang w:eastAsia="en-GB"/>
              </w:rPr>
              <w:t>754</w:t>
            </w:r>
          </w:p>
        </w:tc>
        <w:tc>
          <w:tcPr>
            <w:tcW w:w="2693" w:type="dxa"/>
            <w:tcBorders>
              <w:top w:val="nil"/>
              <w:left w:val="nil"/>
              <w:right w:val="nil"/>
            </w:tcBorders>
            <w:shd w:val="clear" w:color="auto" w:fill="auto"/>
            <w:vAlign w:val="center"/>
            <w:hideMark/>
          </w:tcPr>
          <w:p w14:paraId="6C90FA78" w14:textId="77777777" w:rsidR="004671E1" w:rsidRPr="004A3584" w:rsidRDefault="004671E1" w:rsidP="00B4408D">
            <w:pPr>
              <w:spacing w:after="0" w:line="240" w:lineRule="auto"/>
              <w:jc w:val="center"/>
              <w:rPr>
                <w:rFonts w:eastAsia="Times New Roman"/>
                <w:color w:val="000000"/>
                <w:lang w:eastAsia="en-GB"/>
              </w:rPr>
            </w:pPr>
            <w:r w:rsidRPr="004A3584">
              <w:rPr>
                <w:rFonts w:eastAsia="Times New Roman"/>
                <w:color w:val="000000"/>
                <w:lang w:eastAsia="en-GB"/>
              </w:rPr>
              <w:t>Not statistically equivalent</w:t>
            </w:r>
            <w:r>
              <w:rPr>
                <w:rFonts w:eastAsia="Times New Roman"/>
                <w:color w:val="000000"/>
                <w:lang w:eastAsia="en-GB"/>
              </w:rPr>
              <w:t xml:space="preserve"> or statistically different</w:t>
            </w:r>
          </w:p>
        </w:tc>
      </w:tr>
      <w:tr w:rsidR="004671E1" w:rsidRPr="004A3584" w14:paraId="31F26CD3" w14:textId="77777777" w:rsidTr="00B4408D">
        <w:trPr>
          <w:trHeight w:val="570"/>
        </w:trPr>
        <w:tc>
          <w:tcPr>
            <w:tcW w:w="1149" w:type="dxa"/>
            <w:vMerge/>
            <w:tcBorders>
              <w:top w:val="nil"/>
              <w:left w:val="nil"/>
              <w:bottom w:val="nil"/>
              <w:right w:val="nil"/>
            </w:tcBorders>
            <w:vAlign w:val="center"/>
            <w:hideMark/>
          </w:tcPr>
          <w:p w14:paraId="586B9B95" w14:textId="77777777" w:rsidR="004671E1" w:rsidRPr="004A3584" w:rsidRDefault="004671E1" w:rsidP="00B4408D">
            <w:pPr>
              <w:spacing w:after="0" w:line="240" w:lineRule="auto"/>
              <w:rPr>
                <w:rFonts w:eastAsia="Times New Roman"/>
                <w:color w:val="000000"/>
                <w:lang w:eastAsia="en-GB"/>
              </w:rPr>
            </w:pPr>
          </w:p>
        </w:tc>
        <w:tc>
          <w:tcPr>
            <w:tcW w:w="2623" w:type="dxa"/>
            <w:tcBorders>
              <w:top w:val="nil"/>
              <w:left w:val="nil"/>
              <w:bottom w:val="single" w:sz="4" w:space="0" w:color="auto"/>
              <w:right w:val="nil"/>
            </w:tcBorders>
            <w:shd w:val="clear" w:color="auto" w:fill="auto"/>
            <w:vAlign w:val="bottom"/>
            <w:hideMark/>
          </w:tcPr>
          <w:p w14:paraId="333C75B3" w14:textId="77777777" w:rsidR="004671E1" w:rsidRPr="004A3584" w:rsidRDefault="004671E1" w:rsidP="00B4408D">
            <w:pPr>
              <w:spacing w:after="0" w:line="240" w:lineRule="auto"/>
              <w:rPr>
                <w:rFonts w:eastAsia="Times New Roman"/>
                <w:color w:val="000000"/>
                <w:lang w:eastAsia="en-GB"/>
              </w:rPr>
            </w:pPr>
            <w:r w:rsidRPr="004A3584">
              <w:rPr>
                <w:rFonts w:eastAsia="Times New Roman"/>
                <w:color w:val="000000"/>
                <w:lang w:eastAsia="en-GB"/>
              </w:rPr>
              <w:t xml:space="preserve">Left-prime and right-prime </w:t>
            </w:r>
          </w:p>
        </w:tc>
        <w:tc>
          <w:tcPr>
            <w:tcW w:w="2906" w:type="dxa"/>
            <w:tcBorders>
              <w:top w:val="nil"/>
              <w:left w:val="nil"/>
              <w:bottom w:val="single" w:sz="4" w:space="0" w:color="auto"/>
              <w:right w:val="nil"/>
            </w:tcBorders>
            <w:shd w:val="clear" w:color="auto" w:fill="auto"/>
            <w:vAlign w:val="bottom"/>
            <w:hideMark/>
          </w:tcPr>
          <w:p w14:paraId="317C3450" w14:textId="77777777" w:rsidR="004671E1" w:rsidRPr="00FF7542" w:rsidRDefault="004671E1" w:rsidP="00B4408D">
            <w:pPr>
              <w:spacing w:after="0" w:line="240" w:lineRule="auto"/>
              <w:rPr>
                <w:rFonts w:eastAsia="Times New Roman"/>
                <w:color w:val="000000"/>
                <w:lang w:eastAsia="en-GB"/>
              </w:rPr>
            </w:pPr>
            <w:r w:rsidRPr="00FF7542">
              <w:rPr>
                <w:rFonts w:eastAsia="Times New Roman"/>
                <w:color w:val="000000"/>
                <w:lang w:eastAsia="en-GB"/>
              </w:rPr>
              <w:t xml:space="preserve">3.72 (1.72) and </w:t>
            </w:r>
            <w:r>
              <w:rPr>
                <w:rFonts w:eastAsia="Times New Roman"/>
                <w:color w:val="000000"/>
                <w:lang w:eastAsia="en-GB"/>
              </w:rPr>
              <w:t xml:space="preserve">5.79 </w:t>
            </w:r>
            <w:r w:rsidRPr="00FF7542">
              <w:rPr>
                <w:rFonts w:eastAsia="Times New Roman"/>
                <w:color w:val="000000"/>
                <w:lang w:eastAsia="en-GB"/>
              </w:rPr>
              <w:t>(</w:t>
            </w:r>
            <w:r>
              <w:rPr>
                <w:rFonts w:eastAsia="Times New Roman"/>
                <w:color w:val="000000"/>
                <w:lang w:eastAsia="en-GB"/>
              </w:rPr>
              <w:t>6.04</w:t>
            </w:r>
            <w:r w:rsidRPr="00FF7542">
              <w:rPr>
                <w:rFonts w:eastAsia="Times New Roman"/>
                <w:color w:val="000000"/>
                <w:lang w:eastAsia="en-GB"/>
              </w:rPr>
              <w:t>)</w:t>
            </w:r>
          </w:p>
        </w:tc>
        <w:tc>
          <w:tcPr>
            <w:tcW w:w="2551" w:type="dxa"/>
            <w:tcBorders>
              <w:top w:val="nil"/>
              <w:left w:val="nil"/>
              <w:bottom w:val="single" w:sz="4" w:space="0" w:color="auto"/>
              <w:right w:val="nil"/>
            </w:tcBorders>
            <w:shd w:val="clear" w:color="auto" w:fill="auto"/>
            <w:vAlign w:val="bottom"/>
            <w:hideMark/>
          </w:tcPr>
          <w:p w14:paraId="04EFA434" w14:textId="77777777" w:rsidR="004671E1" w:rsidRPr="00FF7542" w:rsidRDefault="004671E1" w:rsidP="00B4408D">
            <w:pPr>
              <w:spacing w:after="0" w:line="240" w:lineRule="auto"/>
              <w:rPr>
                <w:rFonts w:eastAsia="Times New Roman"/>
                <w:color w:val="000000"/>
                <w:lang w:eastAsia="en-GB"/>
              </w:rPr>
            </w:pPr>
            <w:r w:rsidRPr="00CB7CE6">
              <w:rPr>
                <w:rFonts w:eastAsia="Times New Roman"/>
                <w:i/>
                <w:color w:val="000000"/>
                <w:lang w:eastAsia="en-GB"/>
              </w:rPr>
              <w:t>t</w:t>
            </w:r>
            <w:r w:rsidRPr="00CB7CE6">
              <w:rPr>
                <w:rFonts w:eastAsia="Times New Roman"/>
                <w:color w:val="000000"/>
                <w:lang w:eastAsia="en-GB"/>
              </w:rPr>
              <w:t xml:space="preserve">(22.97) = 1.98, </w:t>
            </w:r>
            <w:r w:rsidRPr="00CB7CE6">
              <w:rPr>
                <w:rFonts w:eastAsia="Times New Roman"/>
                <w:i/>
                <w:color w:val="000000"/>
                <w:lang w:eastAsia="en-GB"/>
              </w:rPr>
              <w:t>p</w:t>
            </w:r>
            <w:r w:rsidRPr="00CB7CE6">
              <w:rPr>
                <w:rFonts w:eastAsia="Times New Roman"/>
                <w:color w:val="000000"/>
                <w:lang w:eastAsia="en-GB"/>
              </w:rPr>
              <w:t xml:space="preserve"> = 0.030</w:t>
            </w:r>
          </w:p>
        </w:tc>
        <w:tc>
          <w:tcPr>
            <w:tcW w:w="2410" w:type="dxa"/>
            <w:tcBorders>
              <w:top w:val="nil"/>
              <w:left w:val="nil"/>
              <w:bottom w:val="single" w:sz="4" w:space="0" w:color="auto"/>
              <w:right w:val="nil"/>
            </w:tcBorders>
            <w:shd w:val="clear" w:color="auto" w:fill="auto"/>
            <w:vAlign w:val="bottom"/>
          </w:tcPr>
          <w:p w14:paraId="787B08C6"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(3</w:t>
            </w:r>
            <w:r>
              <w:rPr>
                <w:rFonts w:eastAsia="Times New Roman"/>
                <w:color w:val="000000"/>
                <w:lang w:eastAsia="en-GB"/>
              </w:rPr>
              <w:t>8) = 1.37</w:t>
            </w:r>
            <w:r w:rsidRPr="00FF7542">
              <w:rPr>
                <w:rFonts w:eastAsia="Times New Roman"/>
                <w:color w:val="000000"/>
                <w:lang w:eastAsia="en-GB"/>
              </w:rPr>
              <w:t xml:space="preserve">, </w:t>
            </w:r>
            <w:r w:rsidRPr="00FF7542">
              <w:rPr>
                <w:rFonts w:eastAsia="Times New Roman"/>
                <w:i/>
                <w:color w:val="000000"/>
                <w:lang w:eastAsia="en-GB"/>
              </w:rPr>
              <w:t>p</w:t>
            </w:r>
            <w:r w:rsidRPr="00FF7542">
              <w:rPr>
                <w:rFonts w:eastAsia="Times New Roman"/>
                <w:color w:val="000000"/>
                <w:lang w:eastAsia="en-GB"/>
              </w:rPr>
              <w:t xml:space="preserve"> = 0.</w:t>
            </w:r>
            <w:r>
              <w:rPr>
                <w:rFonts w:eastAsia="Times New Roman"/>
                <w:color w:val="000000"/>
                <w:lang w:eastAsia="en-GB"/>
              </w:rPr>
              <w:t>179</w:t>
            </w:r>
          </w:p>
        </w:tc>
        <w:tc>
          <w:tcPr>
            <w:tcW w:w="2693" w:type="dxa"/>
            <w:tcBorders>
              <w:top w:val="nil"/>
              <w:left w:val="nil"/>
              <w:bottom w:val="single" w:sz="4" w:space="0" w:color="auto"/>
              <w:right w:val="nil"/>
            </w:tcBorders>
            <w:shd w:val="clear" w:color="auto" w:fill="auto"/>
            <w:vAlign w:val="center"/>
            <w:hideMark/>
          </w:tcPr>
          <w:p w14:paraId="230C8260" w14:textId="77777777" w:rsidR="004671E1" w:rsidRPr="004A3584" w:rsidRDefault="004671E1" w:rsidP="00B4408D">
            <w:pPr>
              <w:spacing w:after="0" w:line="240" w:lineRule="auto"/>
              <w:jc w:val="center"/>
              <w:rPr>
                <w:rFonts w:eastAsia="Times New Roman"/>
                <w:color w:val="000000"/>
                <w:lang w:eastAsia="en-GB"/>
              </w:rPr>
            </w:pPr>
            <w:r w:rsidRPr="004A3584">
              <w:rPr>
                <w:rFonts w:eastAsia="Times New Roman"/>
                <w:color w:val="000000"/>
                <w:lang w:eastAsia="en-GB"/>
              </w:rPr>
              <w:t>Not statistically equivalent</w:t>
            </w:r>
            <w:r>
              <w:rPr>
                <w:rFonts w:eastAsia="Times New Roman"/>
                <w:color w:val="000000"/>
                <w:lang w:eastAsia="en-GB"/>
              </w:rPr>
              <w:t xml:space="preserve"> or statistically different</w:t>
            </w:r>
          </w:p>
        </w:tc>
      </w:tr>
      <w:tr w:rsidR="004671E1" w:rsidRPr="004A3584" w14:paraId="2A27A39C" w14:textId="77777777" w:rsidTr="00B4408D">
        <w:trPr>
          <w:trHeight w:val="510"/>
        </w:trPr>
        <w:tc>
          <w:tcPr>
            <w:tcW w:w="1149" w:type="dxa"/>
            <w:vMerge w:val="restart"/>
            <w:tcBorders>
              <w:top w:val="nil"/>
              <w:left w:val="nil"/>
              <w:bottom w:val="single" w:sz="4" w:space="0" w:color="000000"/>
              <w:right w:val="nil"/>
            </w:tcBorders>
            <w:shd w:val="clear" w:color="auto" w:fill="auto"/>
            <w:vAlign w:val="center"/>
            <w:hideMark/>
          </w:tcPr>
          <w:p w14:paraId="3C45AD39" w14:textId="77777777" w:rsidR="004671E1" w:rsidRPr="004A3584" w:rsidRDefault="004671E1" w:rsidP="00B4408D">
            <w:pPr>
              <w:spacing w:after="0" w:line="240" w:lineRule="auto"/>
              <w:rPr>
                <w:rFonts w:eastAsia="Times New Roman"/>
                <w:color w:val="000000"/>
                <w:lang w:eastAsia="en-GB"/>
              </w:rPr>
            </w:pPr>
            <w:r w:rsidRPr="004A3584">
              <w:rPr>
                <w:rFonts w:eastAsia="Times New Roman"/>
                <w:color w:val="000000"/>
                <w:lang w:eastAsia="en-GB"/>
              </w:rPr>
              <w:t>Non-conducive</w:t>
            </w:r>
          </w:p>
        </w:tc>
        <w:tc>
          <w:tcPr>
            <w:tcW w:w="2623" w:type="dxa"/>
            <w:tcBorders>
              <w:top w:val="single" w:sz="4" w:space="0" w:color="auto"/>
              <w:left w:val="nil"/>
              <w:bottom w:val="nil"/>
              <w:right w:val="nil"/>
            </w:tcBorders>
            <w:shd w:val="clear" w:color="auto" w:fill="auto"/>
            <w:vAlign w:val="bottom"/>
            <w:hideMark/>
          </w:tcPr>
          <w:p w14:paraId="581343FD" w14:textId="77777777" w:rsidR="004671E1" w:rsidRPr="004A3584" w:rsidRDefault="004671E1" w:rsidP="00B4408D">
            <w:pPr>
              <w:spacing w:after="0" w:line="240" w:lineRule="auto"/>
              <w:rPr>
                <w:rFonts w:eastAsia="Times New Roman"/>
                <w:color w:val="000000"/>
                <w:lang w:eastAsia="en-GB"/>
              </w:rPr>
            </w:pPr>
            <w:r w:rsidRPr="004A3584">
              <w:rPr>
                <w:rFonts w:eastAsia="Times New Roman"/>
                <w:color w:val="000000"/>
                <w:lang w:eastAsia="en-GB"/>
              </w:rPr>
              <w:t xml:space="preserve">Control and left-prime </w:t>
            </w:r>
          </w:p>
        </w:tc>
        <w:tc>
          <w:tcPr>
            <w:tcW w:w="2906" w:type="dxa"/>
            <w:tcBorders>
              <w:top w:val="single" w:sz="4" w:space="0" w:color="auto"/>
              <w:left w:val="nil"/>
              <w:bottom w:val="nil"/>
              <w:right w:val="nil"/>
            </w:tcBorders>
            <w:shd w:val="clear" w:color="auto" w:fill="auto"/>
            <w:vAlign w:val="bottom"/>
            <w:hideMark/>
          </w:tcPr>
          <w:p w14:paraId="76242A68" w14:textId="77777777" w:rsidR="004671E1" w:rsidRPr="00FF7542" w:rsidRDefault="004671E1" w:rsidP="00B4408D">
            <w:pPr>
              <w:spacing w:after="0" w:line="240" w:lineRule="auto"/>
              <w:rPr>
                <w:rFonts w:eastAsia="Times New Roman"/>
                <w:color w:val="000000"/>
                <w:lang w:eastAsia="en-GB"/>
              </w:rPr>
            </w:pPr>
            <w:r w:rsidRPr="00FF7542">
              <w:rPr>
                <w:rFonts w:eastAsia="Times New Roman"/>
                <w:color w:val="000000"/>
                <w:lang w:eastAsia="en-GB"/>
              </w:rPr>
              <w:t>13.92 (6.99) and 9.86 (4.28)</w:t>
            </w:r>
          </w:p>
        </w:tc>
        <w:tc>
          <w:tcPr>
            <w:tcW w:w="2551" w:type="dxa"/>
            <w:tcBorders>
              <w:top w:val="single" w:sz="4" w:space="0" w:color="auto"/>
              <w:left w:val="nil"/>
              <w:bottom w:val="nil"/>
              <w:right w:val="nil"/>
            </w:tcBorders>
            <w:shd w:val="clear" w:color="auto" w:fill="auto"/>
            <w:vAlign w:val="bottom"/>
            <w:hideMark/>
          </w:tcPr>
          <w:p w14:paraId="647BCE64"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 xml:space="preserve">(32) = 0.29, </w:t>
            </w:r>
            <w:r w:rsidRPr="00FF7542">
              <w:rPr>
                <w:rFonts w:eastAsia="Times New Roman"/>
                <w:i/>
                <w:color w:val="000000"/>
                <w:lang w:eastAsia="en-GB"/>
              </w:rPr>
              <w:t>p</w:t>
            </w:r>
            <w:r w:rsidRPr="00FF7542">
              <w:rPr>
                <w:rFonts w:eastAsia="Times New Roman"/>
                <w:color w:val="000000"/>
                <w:lang w:eastAsia="en-GB"/>
              </w:rPr>
              <w:t xml:space="preserve"> = 0.387</w:t>
            </w:r>
          </w:p>
        </w:tc>
        <w:tc>
          <w:tcPr>
            <w:tcW w:w="2410" w:type="dxa"/>
            <w:tcBorders>
              <w:top w:val="single" w:sz="4" w:space="0" w:color="auto"/>
              <w:left w:val="nil"/>
              <w:bottom w:val="nil"/>
              <w:right w:val="nil"/>
            </w:tcBorders>
            <w:shd w:val="clear" w:color="auto" w:fill="auto"/>
            <w:vAlign w:val="bottom"/>
          </w:tcPr>
          <w:p w14:paraId="7CA9C0D8"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 xml:space="preserve">(32) = 2.04, </w:t>
            </w:r>
            <w:r w:rsidRPr="00FF7542">
              <w:rPr>
                <w:rFonts w:eastAsia="Times New Roman"/>
                <w:i/>
                <w:color w:val="000000"/>
                <w:lang w:eastAsia="en-GB"/>
              </w:rPr>
              <w:t>p</w:t>
            </w:r>
            <w:r w:rsidRPr="00FF7542">
              <w:rPr>
                <w:rFonts w:eastAsia="Times New Roman"/>
                <w:color w:val="000000"/>
                <w:lang w:eastAsia="en-GB"/>
              </w:rPr>
              <w:t xml:space="preserve"> = 0.049</w:t>
            </w:r>
          </w:p>
        </w:tc>
        <w:tc>
          <w:tcPr>
            <w:tcW w:w="2693" w:type="dxa"/>
            <w:tcBorders>
              <w:top w:val="single" w:sz="4" w:space="0" w:color="auto"/>
              <w:left w:val="nil"/>
              <w:bottom w:val="nil"/>
              <w:right w:val="nil"/>
            </w:tcBorders>
            <w:shd w:val="clear" w:color="auto" w:fill="auto"/>
            <w:vAlign w:val="center"/>
            <w:hideMark/>
          </w:tcPr>
          <w:p w14:paraId="17581B9A" w14:textId="77777777" w:rsidR="004671E1" w:rsidRPr="004A3584" w:rsidRDefault="004671E1" w:rsidP="00B4408D">
            <w:pPr>
              <w:spacing w:after="0" w:line="240" w:lineRule="auto"/>
              <w:jc w:val="center"/>
              <w:rPr>
                <w:rFonts w:eastAsia="Times New Roman"/>
                <w:color w:val="000000"/>
                <w:lang w:eastAsia="en-GB"/>
              </w:rPr>
            </w:pPr>
            <w:r w:rsidRPr="004A3584">
              <w:rPr>
                <w:rFonts w:eastAsia="Times New Roman"/>
                <w:color w:val="000000"/>
                <w:lang w:eastAsia="en-GB"/>
              </w:rPr>
              <w:t>Not statistically equivalent</w:t>
            </w:r>
            <w:r>
              <w:rPr>
                <w:rFonts w:eastAsia="Times New Roman"/>
                <w:color w:val="000000"/>
                <w:lang w:eastAsia="en-GB"/>
              </w:rPr>
              <w:t xml:space="preserve"> or statistically different</w:t>
            </w:r>
          </w:p>
        </w:tc>
      </w:tr>
      <w:tr w:rsidR="004671E1" w:rsidRPr="004A3584" w14:paraId="2361BABC" w14:textId="77777777" w:rsidTr="00B4408D">
        <w:trPr>
          <w:trHeight w:val="510"/>
        </w:trPr>
        <w:tc>
          <w:tcPr>
            <w:tcW w:w="1149" w:type="dxa"/>
            <w:vMerge/>
            <w:tcBorders>
              <w:top w:val="nil"/>
              <w:left w:val="nil"/>
              <w:bottom w:val="single" w:sz="4" w:space="0" w:color="000000"/>
              <w:right w:val="nil"/>
            </w:tcBorders>
            <w:vAlign w:val="center"/>
            <w:hideMark/>
          </w:tcPr>
          <w:p w14:paraId="4DBC6825" w14:textId="77777777" w:rsidR="004671E1" w:rsidRPr="004A3584" w:rsidRDefault="004671E1" w:rsidP="00B4408D">
            <w:pPr>
              <w:spacing w:after="0" w:line="240" w:lineRule="auto"/>
              <w:rPr>
                <w:rFonts w:eastAsia="Times New Roman"/>
                <w:color w:val="000000"/>
                <w:lang w:eastAsia="en-GB"/>
              </w:rPr>
            </w:pPr>
          </w:p>
        </w:tc>
        <w:tc>
          <w:tcPr>
            <w:tcW w:w="2623" w:type="dxa"/>
            <w:tcBorders>
              <w:top w:val="nil"/>
              <w:left w:val="nil"/>
              <w:bottom w:val="nil"/>
              <w:right w:val="nil"/>
            </w:tcBorders>
            <w:shd w:val="clear" w:color="auto" w:fill="auto"/>
            <w:vAlign w:val="bottom"/>
            <w:hideMark/>
          </w:tcPr>
          <w:p w14:paraId="4FF4306D" w14:textId="77777777" w:rsidR="004671E1" w:rsidRPr="004A3584" w:rsidRDefault="004671E1" w:rsidP="00B4408D">
            <w:pPr>
              <w:spacing w:after="0" w:line="240" w:lineRule="auto"/>
              <w:rPr>
                <w:rFonts w:eastAsia="Times New Roman"/>
                <w:color w:val="000000"/>
                <w:lang w:eastAsia="en-GB"/>
              </w:rPr>
            </w:pPr>
            <w:r w:rsidRPr="004A3584">
              <w:rPr>
                <w:rFonts w:eastAsia="Times New Roman"/>
                <w:color w:val="000000"/>
                <w:lang w:eastAsia="en-GB"/>
              </w:rPr>
              <w:t>Control and right-prime</w:t>
            </w:r>
          </w:p>
        </w:tc>
        <w:tc>
          <w:tcPr>
            <w:tcW w:w="2906" w:type="dxa"/>
            <w:tcBorders>
              <w:top w:val="nil"/>
              <w:left w:val="nil"/>
              <w:bottom w:val="nil"/>
              <w:right w:val="nil"/>
            </w:tcBorders>
            <w:shd w:val="clear" w:color="auto" w:fill="auto"/>
            <w:vAlign w:val="bottom"/>
            <w:hideMark/>
          </w:tcPr>
          <w:p w14:paraId="65F2AF65" w14:textId="77777777" w:rsidR="004671E1" w:rsidRPr="00FF7542" w:rsidRDefault="004671E1" w:rsidP="00B4408D">
            <w:pPr>
              <w:spacing w:after="0" w:line="240" w:lineRule="auto"/>
              <w:rPr>
                <w:rFonts w:eastAsia="Times New Roman"/>
                <w:color w:val="000000"/>
                <w:lang w:eastAsia="en-GB"/>
              </w:rPr>
            </w:pPr>
            <w:r w:rsidRPr="00FF7542">
              <w:rPr>
                <w:rFonts w:eastAsia="Times New Roman"/>
                <w:color w:val="000000"/>
                <w:lang w:eastAsia="en-GB"/>
              </w:rPr>
              <w:t xml:space="preserve">13.92 (6.99) and </w:t>
            </w:r>
            <w:r>
              <w:rPr>
                <w:rFonts w:eastAsia="Times New Roman"/>
                <w:color w:val="000000"/>
                <w:lang w:eastAsia="en-GB"/>
              </w:rPr>
              <w:t>12.21</w:t>
            </w:r>
            <w:r w:rsidRPr="00FF7542">
              <w:rPr>
                <w:rFonts w:eastAsia="Times New Roman"/>
                <w:color w:val="000000"/>
                <w:lang w:eastAsia="en-GB"/>
              </w:rPr>
              <w:t xml:space="preserve"> (5.</w:t>
            </w:r>
            <w:r>
              <w:rPr>
                <w:rFonts w:eastAsia="Times New Roman"/>
                <w:color w:val="000000"/>
                <w:lang w:eastAsia="en-GB"/>
              </w:rPr>
              <w:t>91</w:t>
            </w:r>
            <w:r w:rsidRPr="00FF7542">
              <w:rPr>
                <w:rFonts w:eastAsia="Times New Roman"/>
                <w:color w:val="000000"/>
                <w:lang w:eastAsia="en-GB"/>
              </w:rPr>
              <w:t>)</w:t>
            </w:r>
          </w:p>
        </w:tc>
        <w:tc>
          <w:tcPr>
            <w:tcW w:w="2551" w:type="dxa"/>
            <w:tcBorders>
              <w:top w:val="nil"/>
              <w:left w:val="nil"/>
              <w:bottom w:val="nil"/>
              <w:right w:val="nil"/>
            </w:tcBorders>
            <w:shd w:val="clear" w:color="auto" w:fill="auto"/>
            <w:vAlign w:val="bottom"/>
            <w:hideMark/>
          </w:tcPr>
          <w:p w14:paraId="2A3FA1D1"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(3</w:t>
            </w:r>
            <w:r>
              <w:rPr>
                <w:rFonts w:eastAsia="Times New Roman"/>
                <w:color w:val="000000"/>
                <w:lang w:eastAsia="en-GB"/>
              </w:rPr>
              <w:t>8) = 1.66</w:t>
            </w:r>
            <w:r w:rsidRPr="00FF7542">
              <w:rPr>
                <w:rFonts w:eastAsia="Times New Roman"/>
                <w:color w:val="000000"/>
                <w:lang w:eastAsia="en-GB"/>
              </w:rPr>
              <w:t xml:space="preserve">, </w:t>
            </w:r>
            <w:r w:rsidRPr="00FF7542">
              <w:rPr>
                <w:rFonts w:eastAsia="Times New Roman"/>
                <w:i/>
                <w:color w:val="000000"/>
                <w:lang w:eastAsia="en-GB"/>
              </w:rPr>
              <w:t>p</w:t>
            </w:r>
            <w:r>
              <w:rPr>
                <w:rFonts w:eastAsia="Times New Roman"/>
                <w:color w:val="000000"/>
                <w:lang w:eastAsia="en-GB"/>
              </w:rPr>
              <w:t xml:space="preserve"> = 0.052</w:t>
            </w:r>
          </w:p>
        </w:tc>
        <w:tc>
          <w:tcPr>
            <w:tcW w:w="2410" w:type="dxa"/>
            <w:tcBorders>
              <w:top w:val="nil"/>
              <w:left w:val="nil"/>
              <w:bottom w:val="nil"/>
              <w:right w:val="nil"/>
            </w:tcBorders>
            <w:shd w:val="clear" w:color="auto" w:fill="auto"/>
            <w:vAlign w:val="bottom"/>
          </w:tcPr>
          <w:p w14:paraId="662F8685"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(3</w:t>
            </w:r>
            <w:r>
              <w:rPr>
                <w:rFonts w:eastAsia="Times New Roman"/>
                <w:color w:val="000000"/>
                <w:lang w:eastAsia="en-GB"/>
              </w:rPr>
              <w:t>8</w:t>
            </w:r>
            <w:r w:rsidRPr="00FF7542">
              <w:rPr>
                <w:rFonts w:eastAsia="Times New Roman"/>
                <w:color w:val="000000"/>
                <w:lang w:eastAsia="en-GB"/>
              </w:rPr>
              <w:t xml:space="preserve">) = </w:t>
            </w:r>
            <w:r>
              <w:rPr>
                <w:rFonts w:eastAsia="Times New Roman"/>
                <w:color w:val="000000"/>
                <w:lang w:eastAsia="en-GB"/>
              </w:rPr>
              <w:t>0.84</w:t>
            </w:r>
            <w:r w:rsidRPr="00FF7542">
              <w:rPr>
                <w:rFonts w:eastAsia="Times New Roman"/>
                <w:color w:val="000000"/>
                <w:lang w:eastAsia="en-GB"/>
              </w:rPr>
              <w:t xml:space="preserve">, </w:t>
            </w:r>
            <w:r w:rsidRPr="00FF7542">
              <w:rPr>
                <w:rFonts w:eastAsia="Times New Roman"/>
                <w:i/>
                <w:color w:val="000000"/>
                <w:lang w:eastAsia="en-GB"/>
              </w:rPr>
              <w:t>p</w:t>
            </w:r>
            <w:r w:rsidRPr="00FF7542">
              <w:rPr>
                <w:rFonts w:eastAsia="Times New Roman"/>
                <w:color w:val="000000"/>
                <w:lang w:eastAsia="en-GB"/>
              </w:rPr>
              <w:t xml:space="preserve"> = 0.</w:t>
            </w:r>
            <w:r>
              <w:rPr>
                <w:rFonts w:eastAsia="Times New Roman"/>
                <w:color w:val="000000"/>
                <w:lang w:eastAsia="en-GB"/>
              </w:rPr>
              <w:t>405</w:t>
            </w:r>
          </w:p>
        </w:tc>
        <w:tc>
          <w:tcPr>
            <w:tcW w:w="2693" w:type="dxa"/>
            <w:tcBorders>
              <w:top w:val="nil"/>
              <w:left w:val="nil"/>
              <w:bottom w:val="nil"/>
              <w:right w:val="nil"/>
            </w:tcBorders>
            <w:shd w:val="clear" w:color="auto" w:fill="auto"/>
            <w:vAlign w:val="center"/>
            <w:hideMark/>
          </w:tcPr>
          <w:p w14:paraId="484893FA" w14:textId="77777777" w:rsidR="004671E1" w:rsidRPr="004A3584" w:rsidRDefault="004671E1" w:rsidP="00B4408D">
            <w:pPr>
              <w:spacing w:after="0" w:line="240" w:lineRule="auto"/>
              <w:jc w:val="center"/>
              <w:rPr>
                <w:rFonts w:eastAsia="Times New Roman"/>
                <w:color w:val="000000"/>
                <w:lang w:eastAsia="en-GB"/>
              </w:rPr>
            </w:pPr>
            <w:r w:rsidRPr="004A3584">
              <w:rPr>
                <w:rFonts w:eastAsia="Times New Roman"/>
                <w:color w:val="000000"/>
                <w:lang w:eastAsia="en-GB"/>
              </w:rPr>
              <w:t>Not statistically equivalent</w:t>
            </w:r>
            <w:r>
              <w:rPr>
                <w:rFonts w:eastAsia="Times New Roman"/>
                <w:color w:val="000000"/>
                <w:lang w:eastAsia="en-GB"/>
              </w:rPr>
              <w:t xml:space="preserve"> or statistically different</w:t>
            </w:r>
          </w:p>
        </w:tc>
      </w:tr>
      <w:tr w:rsidR="004671E1" w:rsidRPr="004A3584" w14:paraId="60E5C5DA" w14:textId="77777777" w:rsidTr="00B4408D">
        <w:trPr>
          <w:trHeight w:val="525"/>
        </w:trPr>
        <w:tc>
          <w:tcPr>
            <w:tcW w:w="1149" w:type="dxa"/>
            <w:vMerge/>
            <w:tcBorders>
              <w:top w:val="nil"/>
              <w:left w:val="nil"/>
              <w:bottom w:val="single" w:sz="4" w:space="0" w:color="000000"/>
              <w:right w:val="nil"/>
            </w:tcBorders>
            <w:vAlign w:val="center"/>
            <w:hideMark/>
          </w:tcPr>
          <w:p w14:paraId="77457AC3" w14:textId="77777777" w:rsidR="004671E1" w:rsidRPr="004A3584" w:rsidRDefault="004671E1" w:rsidP="00B4408D">
            <w:pPr>
              <w:spacing w:after="0" w:line="240" w:lineRule="auto"/>
              <w:rPr>
                <w:rFonts w:eastAsia="Times New Roman"/>
                <w:color w:val="000000"/>
                <w:lang w:eastAsia="en-GB"/>
              </w:rPr>
            </w:pPr>
          </w:p>
        </w:tc>
        <w:tc>
          <w:tcPr>
            <w:tcW w:w="2623" w:type="dxa"/>
            <w:tcBorders>
              <w:top w:val="nil"/>
              <w:left w:val="nil"/>
              <w:bottom w:val="single" w:sz="4" w:space="0" w:color="auto"/>
              <w:right w:val="nil"/>
            </w:tcBorders>
            <w:shd w:val="clear" w:color="auto" w:fill="auto"/>
            <w:vAlign w:val="bottom"/>
            <w:hideMark/>
          </w:tcPr>
          <w:p w14:paraId="3F837B15" w14:textId="77777777" w:rsidR="004671E1" w:rsidRPr="004A3584" w:rsidRDefault="004671E1" w:rsidP="00B4408D">
            <w:pPr>
              <w:spacing w:after="0" w:line="240" w:lineRule="auto"/>
              <w:rPr>
                <w:rFonts w:eastAsia="Times New Roman"/>
                <w:color w:val="000000"/>
                <w:lang w:eastAsia="en-GB"/>
              </w:rPr>
            </w:pPr>
            <w:r w:rsidRPr="004A3584">
              <w:rPr>
                <w:rFonts w:eastAsia="Times New Roman"/>
                <w:color w:val="000000"/>
                <w:lang w:eastAsia="en-GB"/>
              </w:rPr>
              <w:t xml:space="preserve">Left-prime and right-prime </w:t>
            </w:r>
          </w:p>
        </w:tc>
        <w:tc>
          <w:tcPr>
            <w:tcW w:w="2906" w:type="dxa"/>
            <w:tcBorders>
              <w:top w:val="nil"/>
              <w:left w:val="nil"/>
              <w:bottom w:val="single" w:sz="4" w:space="0" w:color="auto"/>
              <w:right w:val="nil"/>
            </w:tcBorders>
            <w:shd w:val="clear" w:color="auto" w:fill="auto"/>
            <w:vAlign w:val="bottom"/>
            <w:hideMark/>
          </w:tcPr>
          <w:p w14:paraId="3215B25E" w14:textId="77777777" w:rsidR="004671E1" w:rsidRPr="00FF7542" w:rsidRDefault="004671E1" w:rsidP="00B4408D">
            <w:pPr>
              <w:spacing w:after="0" w:line="240" w:lineRule="auto"/>
              <w:rPr>
                <w:rFonts w:eastAsia="Times New Roman"/>
                <w:color w:val="000000"/>
                <w:lang w:eastAsia="en-GB"/>
              </w:rPr>
            </w:pPr>
            <w:r w:rsidRPr="00FF7542">
              <w:rPr>
                <w:rFonts w:eastAsia="Times New Roman"/>
                <w:color w:val="000000"/>
                <w:lang w:eastAsia="en-GB"/>
              </w:rPr>
              <w:t xml:space="preserve">9.86 (4.28) and </w:t>
            </w:r>
            <w:r>
              <w:rPr>
                <w:rFonts w:eastAsia="Times New Roman"/>
                <w:color w:val="000000"/>
                <w:lang w:eastAsia="en-GB"/>
              </w:rPr>
              <w:t>12.21</w:t>
            </w:r>
            <w:r w:rsidRPr="00FF7542">
              <w:rPr>
                <w:rFonts w:eastAsia="Times New Roman"/>
                <w:color w:val="000000"/>
                <w:lang w:eastAsia="en-GB"/>
              </w:rPr>
              <w:t xml:space="preserve"> (5.</w:t>
            </w:r>
            <w:r>
              <w:rPr>
                <w:rFonts w:eastAsia="Times New Roman"/>
                <w:color w:val="000000"/>
                <w:lang w:eastAsia="en-GB"/>
              </w:rPr>
              <w:t>91</w:t>
            </w:r>
            <w:r w:rsidRPr="00FF7542">
              <w:rPr>
                <w:rFonts w:eastAsia="Times New Roman"/>
                <w:color w:val="000000"/>
                <w:lang w:eastAsia="en-GB"/>
              </w:rPr>
              <w:t>)</w:t>
            </w:r>
          </w:p>
        </w:tc>
        <w:tc>
          <w:tcPr>
            <w:tcW w:w="2551" w:type="dxa"/>
            <w:tcBorders>
              <w:top w:val="nil"/>
              <w:left w:val="nil"/>
              <w:bottom w:val="single" w:sz="4" w:space="0" w:color="auto"/>
              <w:right w:val="nil"/>
            </w:tcBorders>
            <w:shd w:val="clear" w:color="auto" w:fill="auto"/>
            <w:vAlign w:val="bottom"/>
            <w:hideMark/>
          </w:tcPr>
          <w:p w14:paraId="05687C8B"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(3</w:t>
            </w:r>
            <w:r>
              <w:rPr>
                <w:rFonts w:eastAsia="Times New Roman"/>
                <w:color w:val="000000"/>
                <w:lang w:eastAsia="en-GB"/>
              </w:rPr>
              <w:t>8</w:t>
            </w:r>
            <w:r w:rsidRPr="00FF7542">
              <w:rPr>
                <w:rFonts w:eastAsia="Times New Roman"/>
                <w:color w:val="000000"/>
                <w:lang w:eastAsia="en-GB"/>
              </w:rPr>
              <w:t>) = 1.</w:t>
            </w:r>
            <w:r>
              <w:rPr>
                <w:rFonts w:eastAsia="Times New Roman"/>
                <w:color w:val="000000"/>
                <w:lang w:eastAsia="en-GB"/>
              </w:rPr>
              <w:t>11</w:t>
            </w:r>
            <w:r w:rsidRPr="00FF7542">
              <w:rPr>
                <w:rFonts w:eastAsia="Times New Roman"/>
                <w:color w:val="000000"/>
                <w:lang w:eastAsia="en-GB"/>
              </w:rPr>
              <w:t xml:space="preserve">, </w:t>
            </w:r>
            <w:r w:rsidRPr="00FF7542">
              <w:rPr>
                <w:rFonts w:eastAsia="Times New Roman"/>
                <w:i/>
                <w:color w:val="000000"/>
                <w:lang w:eastAsia="en-GB"/>
              </w:rPr>
              <w:t>p</w:t>
            </w:r>
            <w:r w:rsidRPr="00FF7542">
              <w:rPr>
                <w:rFonts w:eastAsia="Times New Roman"/>
                <w:color w:val="000000"/>
                <w:lang w:eastAsia="en-GB"/>
              </w:rPr>
              <w:t xml:space="preserve"> = 0.</w:t>
            </w:r>
            <w:r>
              <w:rPr>
                <w:rFonts w:eastAsia="Times New Roman"/>
                <w:color w:val="000000"/>
                <w:lang w:eastAsia="en-GB"/>
              </w:rPr>
              <w:t>137</w:t>
            </w:r>
          </w:p>
        </w:tc>
        <w:tc>
          <w:tcPr>
            <w:tcW w:w="2410" w:type="dxa"/>
            <w:tcBorders>
              <w:top w:val="nil"/>
              <w:left w:val="nil"/>
              <w:bottom w:val="single" w:sz="4" w:space="0" w:color="auto"/>
              <w:right w:val="nil"/>
            </w:tcBorders>
            <w:shd w:val="clear" w:color="auto" w:fill="auto"/>
            <w:vAlign w:val="bottom"/>
          </w:tcPr>
          <w:p w14:paraId="147EA369"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(3</w:t>
            </w:r>
            <w:r>
              <w:rPr>
                <w:rFonts w:eastAsia="Times New Roman"/>
                <w:color w:val="000000"/>
                <w:lang w:eastAsia="en-GB"/>
              </w:rPr>
              <w:t>8</w:t>
            </w:r>
            <w:r w:rsidRPr="00FF7542">
              <w:rPr>
                <w:rFonts w:eastAsia="Times New Roman"/>
                <w:color w:val="000000"/>
                <w:lang w:eastAsia="en-GB"/>
              </w:rPr>
              <w:t>) = 1.</w:t>
            </w:r>
            <w:r>
              <w:rPr>
                <w:rFonts w:eastAsia="Times New Roman"/>
                <w:color w:val="000000"/>
                <w:lang w:eastAsia="en-GB"/>
              </w:rPr>
              <w:t>39</w:t>
            </w:r>
            <w:r w:rsidRPr="00FF7542">
              <w:rPr>
                <w:rFonts w:eastAsia="Times New Roman"/>
                <w:color w:val="000000"/>
                <w:lang w:eastAsia="en-GB"/>
              </w:rPr>
              <w:t xml:space="preserve">, </w:t>
            </w:r>
            <w:r w:rsidRPr="00FF7542">
              <w:rPr>
                <w:rFonts w:eastAsia="Times New Roman"/>
                <w:i/>
                <w:color w:val="000000"/>
                <w:lang w:eastAsia="en-GB"/>
              </w:rPr>
              <w:t>p</w:t>
            </w:r>
            <w:r w:rsidRPr="00FF7542">
              <w:rPr>
                <w:rFonts w:eastAsia="Times New Roman"/>
                <w:color w:val="000000"/>
                <w:lang w:eastAsia="en-GB"/>
              </w:rPr>
              <w:t xml:space="preserve"> = 0.</w:t>
            </w:r>
            <w:r>
              <w:rPr>
                <w:rFonts w:eastAsia="Times New Roman"/>
                <w:color w:val="000000"/>
                <w:lang w:eastAsia="en-GB"/>
              </w:rPr>
              <w:t>174</w:t>
            </w:r>
          </w:p>
        </w:tc>
        <w:tc>
          <w:tcPr>
            <w:tcW w:w="2693" w:type="dxa"/>
            <w:tcBorders>
              <w:top w:val="nil"/>
              <w:left w:val="nil"/>
              <w:bottom w:val="single" w:sz="4" w:space="0" w:color="auto"/>
              <w:right w:val="nil"/>
            </w:tcBorders>
            <w:shd w:val="clear" w:color="auto" w:fill="auto"/>
            <w:vAlign w:val="center"/>
            <w:hideMark/>
          </w:tcPr>
          <w:p w14:paraId="594FAE7D" w14:textId="77777777" w:rsidR="004671E1" w:rsidRPr="004A3584" w:rsidRDefault="004671E1" w:rsidP="00B4408D">
            <w:pPr>
              <w:spacing w:after="0" w:line="240" w:lineRule="auto"/>
              <w:jc w:val="center"/>
              <w:rPr>
                <w:rFonts w:eastAsia="Times New Roman"/>
                <w:color w:val="000000"/>
                <w:lang w:eastAsia="en-GB"/>
              </w:rPr>
            </w:pPr>
            <w:r w:rsidRPr="004A3584">
              <w:rPr>
                <w:rFonts w:eastAsia="Times New Roman"/>
                <w:color w:val="000000"/>
                <w:lang w:eastAsia="en-GB"/>
              </w:rPr>
              <w:t>Not statistically equivalent</w:t>
            </w:r>
            <w:r>
              <w:rPr>
                <w:rFonts w:eastAsia="Times New Roman"/>
                <w:color w:val="000000"/>
                <w:lang w:eastAsia="en-GB"/>
              </w:rPr>
              <w:t xml:space="preserve"> or statistically different</w:t>
            </w:r>
          </w:p>
        </w:tc>
      </w:tr>
    </w:tbl>
    <w:p w14:paraId="69E4313B" w14:textId="77777777" w:rsidR="004671E1" w:rsidRDefault="004671E1" w:rsidP="004671E1">
      <w:pPr>
        <w:spacing w:line="480" w:lineRule="auto"/>
        <w:rPr>
          <w:rFonts w:eastAsia="Calibri"/>
          <w:color w:val="000000"/>
        </w:rPr>
      </w:pPr>
    </w:p>
    <w:p w14:paraId="724199FE" w14:textId="77777777" w:rsidR="004671E1" w:rsidRDefault="004671E1" w:rsidP="004671E1">
      <w:pPr>
        <w:spacing w:line="480" w:lineRule="auto"/>
        <w:rPr>
          <w:rFonts w:eastAsia="Calibri"/>
          <w:color w:val="000000"/>
        </w:rPr>
      </w:pPr>
    </w:p>
    <w:p w14:paraId="59BDA540" w14:textId="77777777" w:rsidR="004671E1" w:rsidRDefault="004671E1" w:rsidP="004671E1">
      <w:pPr>
        <w:spacing w:line="480" w:lineRule="auto"/>
        <w:rPr>
          <w:rFonts w:eastAsia="Calibri"/>
          <w:color w:val="000000"/>
        </w:rPr>
      </w:pPr>
    </w:p>
    <w:p w14:paraId="5B796B61" w14:textId="77777777" w:rsidR="004671E1" w:rsidRDefault="004671E1" w:rsidP="004671E1">
      <w:pPr>
        <w:spacing w:line="480" w:lineRule="auto"/>
        <w:rPr>
          <w:rFonts w:eastAsia="Calibri"/>
          <w:color w:val="000000"/>
        </w:rPr>
      </w:pPr>
    </w:p>
    <w:p w14:paraId="5C194DFD" w14:textId="77777777" w:rsidR="004671E1" w:rsidRDefault="004671E1" w:rsidP="004671E1">
      <w:pPr>
        <w:spacing w:line="480" w:lineRule="auto"/>
        <w:rPr>
          <w:rFonts w:eastAsia="Calibri"/>
          <w:color w:val="000000"/>
        </w:rPr>
        <w:sectPr w:rsidR="004671E1" w:rsidSect="00D203E7">
          <w:pgSz w:w="16838" w:h="11906" w:orient="landscape"/>
          <w:pgMar w:top="1440" w:right="1440" w:bottom="1440" w:left="1440" w:header="708" w:footer="708" w:gutter="0"/>
          <w:cols w:space="708"/>
          <w:docGrid w:linePitch="360"/>
        </w:sectPr>
      </w:pPr>
    </w:p>
    <w:p w14:paraId="51D1D660" w14:textId="77777777" w:rsidR="004671E1" w:rsidRDefault="004671E1" w:rsidP="004671E1">
      <w:pPr>
        <w:pStyle w:val="Heading4"/>
      </w:pPr>
      <w:r>
        <w:lastRenderedPageBreak/>
        <w:t>Accuracy across all trials</w:t>
      </w:r>
    </w:p>
    <w:p w14:paraId="7A19F730" w14:textId="77777777" w:rsidR="004671E1" w:rsidRDefault="004671E1" w:rsidP="004671E1">
      <w:pPr>
        <w:rPr>
          <w:color w:val="000000" w:themeColor="text1"/>
        </w:rPr>
      </w:pPr>
      <w:r w:rsidRPr="00C048A4">
        <w:rPr>
          <w:color w:val="000000" w:themeColor="text1"/>
        </w:rPr>
        <w:t>For those who were classed as identifiers, the mean percent</w:t>
      </w:r>
      <w:r>
        <w:rPr>
          <w:color w:val="000000" w:themeColor="text1"/>
        </w:rPr>
        <w:t xml:space="preserve"> </w:t>
      </w:r>
      <w:r w:rsidRPr="00C048A4">
        <w:rPr>
          <w:color w:val="000000" w:themeColor="text1"/>
        </w:rPr>
        <w:t>of correctly solved problems across all trials were calculated.</w:t>
      </w:r>
      <w:r>
        <w:rPr>
          <w:color w:val="000000" w:themeColor="text1"/>
        </w:rPr>
        <w:t xml:space="preserve"> </w:t>
      </w:r>
      <w:r w:rsidRPr="00C048A4">
        <w:rPr>
          <w:color w:val="000000" w:themeColor="text1"/>
        </w:rPr>
        <w:t xml:space="preserve">A 3*2 mixed ANOVA with condition (left-prime, right-prime, </w:t>
      </w:r>
      <w:r>
        <w:rPr>
          <w:color w:val="000000" w:themeColor="text1"/>
        </w:rPr>
        <w:t>control</w:t>
      </w:r>
      <w:r w:rsidRPr="00C048A4">
        <w:rPr>
          <w:color w:val="000000" w:themeColor="text1"/>
        </w:rPr>
        <w:t xml:space="preserve">) and problem type (conducive, non-conducive) as between and within-subject factors </w:t>
      </w:r>
      <w:r>
        <w:rPr>
          <w:color w:val="000000" w:themeColor="text1"/>
        </w:rPr>
        <w:t>found</w:t>
      </w:r>
      <w:r w:rsidRPr="00C048A4">
        <w:rPr>
          <w:color w:val="000000" w:themeColor="text1"/>
        </w:rPr>
        <w:t xml:space="preserve"> a main effect of problem type, </w:t>
      </w:r>
      <w:r w:rsidRPr="00C048A4">
        <w:rPr>
          <w:i/>
          <w:color w:val="000000" w:themeColor="text1"/>
        </w:rPr>
        <w:t>F</w:t>
      </w:r>
      <w:r w:rsidRPr="00C048A4">
        <w:rPr>
          <w:color w:val="000000" w:themeColor="text1"/>
        </w:rPr>
        <w:t>(1, 5</w:t>
      </w:r>
      <w:r>
        <w:rPr>
          <w:color w:val="000000" w:themeColor="text1"/>
        </w:rPr>
        <w:t>4</w:t>
      </w:r>
      <w:r w:rsidRPr="00C048A4">
        <w:rPr>
          <w:color w:val="000000" w:themeColor="text1"/>
        </w:rPr>
        <w:t xml:space="preserve">) = </w:t>
      </w:r>
      <w:r>
        <w:rPr>
          <w:color w:val="000000" w:themeColor="text1"/>
        </w:rPr>
        <w:t>33.13</w:t>
      </w:r>
      <w:r w:rsidRPr="00C048A4">
        <w:rPr>
          <w:color w:val="000000" w:themeColor="text1"/>
        </w:rPr>
        <w:t xml:space="preserve">, </w:t>
      </w:r>
      <w:r w:rsidRPr="00C048A4">
        <w:rPr>
          <w:i/>
          <w:color w:val="000000" w:themeColor="text1"/>
        </w:rPr>
        <w:t>p</w:t>
      </w:r>
      <w:r w:rsidRPr="00C048A4">
        <w:rPr>
          <w:color w:val="000000" w:themeColor="text1"/>
        </w:rPr>
        <w:t xml:space="preserve">&lt;0.001, </w:t>
      </w:r>
      <w:r w:rsidRPr="00C048A4">
        <w:rPr>
          <w:color w:val="000000" w:themeColor="text1"/>
          <w:lang w:val="en-US"/>
        </w:rPr>
        <w:sym w:font="Symbol" w:char="F068"/>
      </w:r>
      <w:r w:rsidRPr="00C048A4">
        <w:rPr>
          <w:color w:val="000000" w:themeColor="text1"/>
          <w:vertAlign w:val="subscript"/>
          <w:lang w:val="en-US"/>
        </w:rPr>
        <w:t>p</w:t>
      </w:r>
      <w:r w:rsidRPr="00C048A4">
        <w:rPr>
          <w:color w:val="000000" w:themeColor="text1"/>
          <w:vertAlign w:val="superscript"/>
          <w:lang w:val="en-US"/>
        </w:rPr>
        <w:t>2</w:t>
      </w:r>
      <w:r w:rsidRPr="00C048A4">
        <w:rPr>
          <w:color w:val="000000" w:themeColor="text1"/>
          <w:lang w:val="en-US"/>
        </w:rPr>
        <w:t xml:space="preserve"> = </w:t>
      </w:r>
      <w:r w:rsidRPr="00C048A4">
        <w:rPr>
          <w:color w:val="000000" w:themeColor="text1"/>
        </w:rPr>
        <w:t>0.3</w:t>
      </w:r>
      <w:r>
        <w:rPr>
          <w:color w:val="000000" w:themeColor="text1"/>
        </w:rPr>
        <w:t>8</w:t>
      </w:r>
      <w:r w:rsidRPr="00C048A4">
        <w:rPr>
          <w:color w:val="000000" w:themeColor="text1"/>
        </w:rPr>
        <w:t>,</w:t>
      </w:r>
      <w:r>
        <w:rPr>
          <w:color w:val="000000" w:themeColor="text1"/>
        </w:rPr>
        <w:t xml:space="preserve"> where conducive problems were solved more accurately than non-conducive problems. There was</w:t>
      </w:r>
      <w:r w:rsidRPr="00C048A4">
        <w:rPr>
          <w:color w:val="000000" w:themeColor="text1"/>
        </w:rPr>
        <w:t xml:space="preserve"> no main effect of condition, </w:t>
      </w:r>
      <w:r w:rsidRPr="00C048A4">
        <w:rPr>
          <w:i/>
          <w:color w:val="000000" w:themeColor="text1"/>
        </w:rPr>
        <w:t>F</w:t>
      </w:r>
      <w:r w:rsidRPr="00C048A4">
        <w:rPr>
          <w:color w:val="000000" w:themeColor="text1"/>
        </w:rPr>
        <w:t>(2, 5</w:t>
      </w:r>
      <w:r>
        <w:rPr>
          <w:color w:val="000000" w:themeColor="text1"/>
        </w:rPr>
        <w:t>4</w:t>
      </w:r>
      <w:r w:rsidRPr="00C048A4">
        <w:rPr>
          <w:color w:val="000000" w:themeColor="text1"/>
        </w:rPr>
        <w:t>) = 0.</w:t>
      </w:r>
      <w:r>
        <w:rPr>
          <w:color w:val="000000" w:themeColor="text1"/>
        </w:rPr>
        <w:t>41</w:t>
      </w:r>
      <w:r w:rsidRPr="00C048A4">
        <w:rPr>
          <w:color w:val="000000" w:themeColor="text1"/>
        </w:rPr>
        <w:t xml:space="preserve">, </w:t>
      </w:r>
      <w:r w:rsidRPr="00C048A4">
        <w:rPr>
          <w:i/>
          <w:color w:val="000000" w:themeColor="text1"/>
        </w:rPr>
        <w:t xml:space="preserve">p = </w:t>
      </w:r>
      <w:r w:rsidRPr="00C048A4">
        <w:rPr>
          <w:color w:val="000000" w:themeColor="text1"/>
        </w:rPr>
        <w:t>0.</w:t>
      </w:r>
      <w:r>
        <w:rPr>
          <w:color w:val="000000" w:themeColor="text1"/>
        </w:rPr>
        <w:t>667</w:t>
      </w:r>
      <w:r w:rsidRPr="00C048A4">
        <w:rPr>
          <w:color w:val="000000" w:themeColor="text1"/>
        </w:rPr>
        <w:t xml:space="preserve">, </w:t>
      </w:r>
      <w:r w:rsidRPr="00C048A4">
        <w:rPr>
          <w:color w:val="000000" w:themeColor="text1"/>
          <w:lang w:val="en-US"/>
        </w:rPr>
        <w:sym w:font="Symbol" w:char="F068"/>
      </w:r>
      <w:r w:rsidRPr="00C048A4">
        <w:rPr>
          <w:color w:val="000000" w:themeColor="text1"/>
          <w:vertAlign w:val="subscript"/>
          <w:lang w:val="en-US"/>
        </w:rPr>
        <w:t>p</w:t>
      </w:r>
      <w:r w:rsidRPr="00C048A4">
        <w:rPr>
          <w:color w:val="000000" w:themeColor="text1"/>
          <w:vertAlign w:val="superscript"/>
          <w:lang w:val="en-US"/>
        </w:rPr>
        <w:t>2</w:t>
      </w:r>
      <w:r w:rsidRPr="00C048A4">
        <w:rPr>
          <w:color w:val="000000" w:themeColor="text1"/>
          <w:lang w:val="en-US"/>
        </w:rPr>
        <w:t xml:space="preserve"> = </w:t>
      </w:r>
      <w:r w:rsidRPr="00C048A4">
        <w:rPr>
          <w:color w:val="000000" w:themeColor="text1"/>
        </w:rPr>
        <w:t>0.0</w:t>
      </w:r>
      <w:r>
        <w:rPr>
          <w:color w:val="000000" w:themeColor="text1"/>
        </w:rPr>
        <w:t>1</w:t>
      </w:r>
      <w:r w:rsidRPr="00C048A4">
        <w:rPr>
          <w:color w:val="000000" w:themeColor="text1"/>
        </w:rPr>
        <w:t xml:space="preserve">, and no interaction between problem type and condition, </w:t>
      </w:r>
      <w:r w:rsidRPr="00C048A4">
        <w:rPr>
          <w:i/>
          <w:color w:val="000000" w:themeColor="text1"/>
        </w:rPr>
        <w:t>F</w:t>
      </w:r>
      <w:r w:rsidRPr="00C048A4">
        <w:rPr>
          <w:color w:val="000000" w:themeColor="text1"/>
        </w:rPr>
        <w:t>(2, 5</w:t>
      </w:r>
      <w:r>
        <w:rPr>
          <w:color w:val="000000" w:themeColor="text1"/>
        </w:rPr>
        <w:t>4</w:t>
      </w:r>
      <w:r w:rsidRPr="00C048A4">
        <w:rPr>
          <w:color w:val="000000" w:themeColor="text1"/>
        </w:rPr>
        <w:t xml:space="preserve">) = </w:t>
      </w:r>
      <w:r>
        <w:rPr>
          <w:color w:val="000000" w:themeColor="text1"/>
        </w:rPr>
        <w:t>0.19</w:t>
      </w:r>
      <w:r w:rsidRPr="00C048A4">
        <w:rPr>
          <w:color w:val="000000" w:themeColor="text1"/>
        </w:rPr>
        <w:t xml:space="preserve">, </w:t>
      </w:r>
      <w:r w:rsidRPr="00C048A4">
        <w:rPr>
          <w:i/>
          <w:color w:val="000000" w:themeColor="text1"/>
        </w:rPr>
        <w:t xml:space="preserve">p = </w:t>
      </w:r>
      <w:r w:rsidRPr="00C048A4">
        <w:rPr>
          <w:color w:val="000000" w:themeColor="text1"/>
        </w:rPr>
        <w:t>0.</w:t>
      </w:r>
      <w:r>
        <w:rPr>
          <w:color w:val="000000" w:themeColor="text1"/>
        </w:rPr>
        <w:t>826</w:t>
      </w:r>
      <w:r w:rsidRPr="00C048A4">
        <w:rPr>
          <w:color w:val="000000" w:themeColor="text1"/>
        </w:rPr>
        <w:t xml:space="preserve">, </w:t>
      </w:r>
      <w:r w:rsidRPr="00C048A4">
        <w:rPr>
          <w:color w:val="000000" w:themeColor="text1"/>
          <w:lang w:val="en-US"/>
        </w:rPr>
        <w:sym w:font="Symbol" w:char="F068"/>
      </w:r>
      <w:r w:rsidRPr="00C048A4">
        <w:rPr>
          <w:color w:val="000000" w:themeColor="text1"/>
          <w:vertAlign w:val="subscript"/>
          <w:lang w:val="en-US"/>
        </w:rPr>
        <w:t>p</w:t>
      </w:r>
      <w:r w:rsidRPr="00C048A4">
        <w:rPr>
          <w:color w:val="000000" w:themeColor="text1"/>
          <w:vertAlign w:val="superscript"/>
          <w:lang w:val="en-US"/>
        </w:rPr>
        <w:t>2</w:t>
      </w:r>
      <w:r w:rsidRPr="00C048A4">
        <w:rPr>
          <w:color w:val="000000" w:themeColor="text1"/>
          <w:lang w:val="en-US"/>
        </w:rPr>
        <w:t xml:space="preserve"> </w:t>
      </w:r>
      <w:r>
        <w:rPr>
          <w:color w:val="000000" w:themeColor="text1"/>
          <w:lang w:val="en-US"/>
        </w:rPr>
        <w:t>&lt;</w:t>
      </w:r>
      <w:r w:rsidRPr="00C048A4">
        <w:rPr>
          <w:color w:val="000000" w:themeColor="text1"/>
          <w:lang w:val="en-US"/>
        </w:rPr>
        <w:t xml:space="preserve"> </w:t>
      </w:r>
      <w:r w:rsidRPr="00C048A4">
        <w:rPr>
          <w:color w:val="000000" w:themeColor="text1"/>
        </w:rPr>
        <w:t>0.0</w:t>
      </w:r>
      <w:r>
        <w:rPr>
          <w:color w:val="000000" w:themeColor="text1"/>
        </w:rPr>
        <w:t>1</w:t>
      </w:r>
      <w:r w:rsidRPr="00C048A4">
        <w:rPr>
          <w:color w:val="000000" w:themeColor="text1"/>
        </w:rPr>
        <w:t>.</w:t>
      </w:r>
    </w:p>
    <w:p w14:paraId="512CF63B" w14:textId="77777777" w:rsidR="004671E1" w:rsidRDefault="004671E1" w:rsidP="004671E1">
      <w:pPr>
        <w:pStyle w:val="Heading4"/>
      </w:pPr>
      <w:r>
        <w:t xml:space="preserve">Accuracy for the trials after the </w:t>
      </w:r>
      <w:r w:rsidRPr="00F63862">
        <w:t>identification point</w:t>
      </w:r>
    </w:p>
    <w:p w14:paraId="44EF10C5" w14:textId="77777777" w:rsidR="004671E1" w:rsidRDefault="004671E1" w:rsidP="004671E1">
      <w:pPr>
        <w:rPr>
          <w:color w:val="000000" w:themeColor="text1"/>
        </w:rPr>
      </w:pPr>
      <w:r w:rsidRPr="00C048A4">
        <w:rPr>
          <w:color w:val="000000" w:themeColor="text1"/>
        </w:rPr>
        <w:t xml:space="preserve">For those who were classed as identifiers, </w:t>
      </w:r>
      <w:r>
        <w:rPr>
          <w:color w:val="000000" w:themeColor="text1"/>
        </w:rPr>
        <w:t>accuracy of the</w:t>
      </w:r>
      <w:r w:rsidRPr="00C048A4">
        <w:rPr>
          <w:color w:val="000000" w:themeColor="text1"/>
        </w:rPr>
        <w:t xml:space="preserve"> trials after the IP were calculated.</w:t>
      </w:r>
      <w:r>
        <w:rPr>
          <w:color w:val="000000" w:themeColor="text1"/>
        </w:rPr>
        <w:t xml:space="preserve"> </w:t>
      </w:r>
      <w:r w:rsidRPr="00C048A4">
        <w:rPr>
          <w:color w:val="000000" w:themeColor="text1"/>
        </w:rPr>
        <w:t xml:space="preserve">The data were analysed for </w:t>
      </w:r>
      <w:r>
        <w:rPr>
          <w:color w:val="000000" w:themeColor="text1"/>
        </w:rPr>
        <w:t xml:space="preserve">a) </w:t>
      </w:r>
      <w:r w:rsidRPr="00C048A4">
        <w:rPr>
          <w:color w:val="000000" w:themeColor="text1"/>
        </w:rPr>
        <w:t xml:space="preserve">statistical equivalence </w:t>
      </w:r>
      <w:r>
        <w:rPr>
          <w:color w:val="000000" w:themeColor="text1"/>
        </w:rPr>
        <w:t>and b) statistical difference, with adjusted alpha levels for the number of comparisons (0.05/6 = 0.008). Table 4 displays the result.</w:t>
      </w:r>
      <w:r w:rsidRPr="00A139EE">
        <w:rPr>
          <w:color w:val="000000" w:themeColor="text1"/>
        </w:rPr>
        <w:t xml:space="preserve"> </w:t>
      </w:r>
      <w:r>
        <w:rPr>
          <w:color w:val="000000" w:themeColor="text1"/>
        </w:rPr>
        <w:t>None of the comparisons were statistically equivalent (</w:t>
      </w:r>
      <w:r w:rsidRPr="003B5E56">
        <w:rPr>
          <w:i/>
          <w:color w:val="000000" w:themeColor="text1"/>
        </w:rPr>
        <w:t>p</w:t>
      </w:r>
      <w:r>
        <w:rPr>
          <w:color w:val="000000" w:themeColor="text1"/>
        </w:rPr>
        <w:t xml:space="preserve"> &gt; 0.008 for all comparisons) and none were significantly different.</w:t>
      </w:r>
    </w:p>
    <w:p w14:paraId="22633F84" w14:textId="77777777" w:rsidR="004671E1" w:rsidRDefault="004671E1" w:rsidP="004671E1">
      <w:pPr>
        <w:spacing w:line="480" w:lineRule="auto"/>
        <w:rPr>
          <w:rFonts w:eastAsia="Calibri"/>
          <w:color w:val="000000"/>
        </w:rPr>
      </w:pPr>
    </w:p>
    <w:p w14:paraId="54887EA6" w14:textId="77777777" w:rsidR="004671E1" w:rsidRDefault="004671E1" w:rsidP="004671E1">
      <w:pPr>
        <w:spacing w:line="480" w:lineRule="auto"/>
        <w:rPr>
          <w:rFonts w:eastAsia="Calibri"/>
          <w:color w:val="000000"/>
        </w:rPr>
      </w:pPr>
    </w:p>
    <w:p w14:paraId="136F7C07" w14:textId="77777777" w:rsidR="004671E1" w:rsidRDefault="004671E1" w:rsidP="004671E1">
      <w:pPr>
        <w:spacing w:line="480" w:lineRule="auto"/>
        <w:rPr>
          <w:rFonts w:eastAsia="Calibri"/>
          <w:color w:val="000000"/>
        </w:rPr>
        <w:sectPr w:rsidR="004671E1" w:rsidSect="00FA54B4">
          <w:pgSz w:w="11906" w:h="16838"/>
          <w:pgMar w:top="1440" w:right="1440" w:bottom="1440" w:left="1440" w:header="708" w:footer="708" w:gutter="0"/>
          <w:cols w:space="708"/>
          <w:docGrid w:linePitch="360"/>
        </w:sectPr>
      </w:pPr>
    </w:p>
    <w:p w14:paraId="36F5C43A" w14:textId="77777777" w:rsidR="004671E1" w:rsidRPr="004A3584" w:rsidRDefault="004671E1" w:rsidP="004671E1">
      <w:pPr>
        <w:spacing w:line="480" w:lineRule="auto"/>
      </w:pPr>
      <w:r>
        <w:rPr>
          <w:rFonts w:eastAsia="Calibri"/>
          <w:color w:val="000000"/>
        </w:rPr>
        <w:lastRenderedPageBreak/>
        <w:t xml:space="preserve">Table 4: Outcome of the equivalence tests and tests of statistical difference for </w:t>
      </w:r>
      <w:r w:rsidRPr="004A3584">
        <w:rPr>
          <w:rFonts w:eastAsia="Calibri"/>
          <w:color w:val="000000"/>
        </w:rPr>
        <w:t>solution accuracy (%) after the IP. The data are from the 17, 1</w:t>
      </w:r>
      <w:r>
        <w:rPr>
          <w:rFonts w:eastAsia="Calibri"/>
          <w:color w:val="000000"/>
        </w:rPr>
        <w:t>7</w:t>
      </w:r>
      <w:r w:rsidRPr="004A3584">
        <w:rPr>
          <w:rFonts w:eastAsia="Calibri"/>
          <w:color w:val="000000"/>
        </w:rPr>
        <w:t xml:space="preserve"> and 2</w:t>
      </w:r>
      <w:r>
        <w:rPr>
          <w:rFonts w:eastAsia="Calibri"/>
          <w:color w:val="000000"/>
        </w:rPr>
        <w:t>3</w:t>
      </w:r>
      <w:r w:rsidRPr="004A3584">
        <w:rPr>
          <w:rFonts w:eastAsia="Calibri"/>
          <w:color w:val="000000"/>
        </w:rPr>
        <w:t xml:space="preserve"> identifiers in the control, left-prime and right-prime conditions respectively</w:t>
      </w:r>
      <w:r>
        <w:rPr>
          <w:rStyle w:val="FootnoteReference"/>
          <w:rFonts w:eastAsia="Calibri"/>
          <w:color w:val="000000"/>
        </w:rPr>
        <w:footnoteReference w:id="2"/>
      </w:r>
      <w:r>
        <w:rPr>
          <w:rFonts w:eastAsia="Calibri"/>
          <w:color w:val="000000"/>
        </w:rPr>
        <w:t>.</w:t>
      </w:r>
    </w:p>
    <w:p w14:paraId="0D75BAF1" w14:textId="77777777" w:rsidR="004671E1" w:rsidRDefault="004671E1" w:rsidP="004671E1">
      <w:pPr>
        <w:spacing w:line="480" w:lineRule="auto"/>
        <w:rPr>
          <w:rFonts w:eastAsia="Calibri"/>
          <w:color w:val="000000"/>
        </w:rPr>
      </w:pPr>
    </w:p>
    <w:tbl>
      <w:tblPr>
        <w:tblW w:w="14616" w:type="dxa"/>
        <w:tblInd w:w="93" w:type="dxa"/>
        <w:tblLook w:val="04A0" w:firstRow="1" w:lastRow="0" w:firstColumn="1" w:lastColumn="0" w:noHBand="0" w:noVBand="1"/>
      </w:tblPr>
      <w:tblGrid>
        <w:gridCol w:w="1150"/>
        <w:gridCol w:w="2696"/>
        <w:gridCol w:w="3046"/>
        <w:gridCol w:w="2528"/>
        <w:gridCol w:w="2525"/>
        <w:gridCol w:w="2671"/>
      </w:tblGrid>
      <w:tr w:rsidR="004671E1" w:rsidRPr="004A3584" w14:paraId="091040CD" w14:textId="77777777" w:rsidTr="00B4408D">
        <w:trPr>
          <w:trHeight w:val="285"/>
        </w:trPr>
        <w:tc>
          <w:tcPr>
            <w:tcW w:w="1008" w:type="dxa"/>
            <w:tcBorders>
              <w:top w:val="nil"/>
              <w:left w:val="nil"/>
              <w:bottom w:val="single" w:sz="4" w:space="0" w:color="auto"/>
              <w:right w:val="nil"/>
            </w:tcBorders>
            <w:shd w:val="clear" w:color="auto" w:fill="auto"/>
            <w:vAlign w:val="center"/>
            <w:hideMark/>
          </w:tcPr>
          <w:p w14:paraId="7891692B" w14:textId="77777777" w:rsidR="004671E1" w:rsidRPr="004A3584" w:rsidRDefault="004671E1" w:rsidP="00B4408D">
            <w:pPr>
              <w:spacing w:after="0" w:line="240" w:lineRule="auto"/>
              <w:rPr>
                <w:rFonts w:eastAsia="Times New Roman"/>
                <w:color w:val="000000"/>
                <w:lang w:eastAsia="en-GB"/>
              </w:rPr>
            </w:pPr>
            <w:r w:rsidRPr="004A3584">
              <w:rPr>
                <w:rFonts w:eastAsia="Times New Roman"/>
                <w:color w:val="000000"/>
                <w:lang w:eastAsia="en-GB"/>
              </w:rPr>
              <w:t>Problem type</w:t>
            </w:r>
          </w:p>
        </w:tc>
        <w:tc>
          <w:tcPr>
            <w:tcW w:w="2723" w:type="dxa"/>
            <w:tcBorders>
              <w:top w:val="nil"/>
              <w:left w:val="nil"/>
              <w:bottom w:val="single" w:sz="4" w:space="0" w:color="auto"/>
              <w:right w:val="nil"/>
            </w:tcBorders>
            <w:shd w:val="clear" w:color="auto" w:fill="auto"/>
            <w:vAlign w:val="center"/>
            <w:hideMark/>
          </w:tcPr>
          <w:p w14:paraId="7D7C8A9B" w14:textId="77777777" w:rsidR="004671E1" w:rsidRPr="004A3584" w:rsidRDefault="004671E1" w:rsidP="00B4408D">
            <w:pPr>
              <w:spacing w:after="0" w:line="240" w:lineRule="auto"/>
              <w:rPr>
                <w:rFonts w:eastAsia="Times New Roman"/>
                <w:color w:val="000000"/>
                <w:lang w:eastAsia="en-GB"/>
              </w:rPr>
            </w:pPr>
            <w:r w:rsidRPr="004A3584">
              <w:rPr>
                <w:rFonts w:eastAsia="Times New Roman"/>
                <w:color w:val="000000"/>
                <w:lang w:eastAsia="en-GB"/>
              </w:rPr>
              <w:t>Comparison</w:t>
            </w:r>
          </w:p>
        </w:tc>
        <w:tc>
          <w:tcPr>
            <w:tcW w:w="3088" w:type="dxa"/>
            <w:tcBorders>
              <w:top w:val="nil"/>
              <w:left w:val="nil"/>
              <w:bottom w:val="single" w:sz="4" w:space="0" w:color="auto"/>
              <w:right w:val="nil"/>
            </w:tcBorders>
            <w:shd w:val="clear" w:color="auto" w:fill="auto"/>
            <w:vAlign w:val="center"/>
            <w:hideMark/>
          </w:tcPr>
          <w:p w14:paraId="2DDE6368" w14:textId="77777777" w:rsidR="004671E1" w:rsidRPr="004A3584" w:rsidRDefault="004671E1" w:rsidP="00B4408D">
            <w:pPr>
              <w:spacing w:after="0" w:line="240" w:lineRule="auto"/>
              <w:rPr>
                <w:rFonts w:eastAsia="Times New Roman"/>
                <w:color w:val="000000"/>
                <w:lang w:eastAsia="en-GB"/>
              </w:rPr>
            </w:pPr>
            <w:r w:rsidRPr="004A3584">
              <w:rPr>
                <w:rFonts w:eastAsia="Times New Roman"/>
                <w:color w:val="000000"/>
                <w:lang w:eastAsia="en-GB"/>
              </w:rPr>
              <w:t>Mean (SD)</w:t>
            </w:r>
          </w:p>
        </w:tc>
        <w:tc>
          <w:tcPr>
            <w:tcW w:w="2552" w:type="dxa"/>
            <w:tcBorders>
              <w:top w:val="nil"/>
              <w:left w:val="nil"/>
              <w:bottom w:val="single" w:sz="4" w:space="0" w:color="auto"/>
              <w:right w:val="nil"/>
            </w:tcBorders>
            <w:shd w:val="clear" w:color="auto" w:fill="auto"/>
            <w:vAlign w:val="center"/>
            <w:hideMark/>
          </w:tcPr>
          <w:p w14:paraId="47985370" w14:textId="77777777" w:rsidR="004671E1" w:rsidRPr="004A3584" w:rsidRDefault="004671E1" w:rsidP="00B4408D">
            <w:pPr>
              <w:spacing w:after="0" w:line="240" w:lineRule="auto"/>
              <w:rPr>
                <w:rFonts w:eastAsia="Times New Roman"/>
                <w:color w:val="000000"/>
                <w:lang w:eastAsia="en-GB"/>
              </w:rPr>
            </w:pPr>
            <w:r w:rsidRPr="004A3584">
              <w:rPr>
                <w:rFonts w:eastAsia="Times New Roman"/>
                <w:color w:val="000000"/>
                <w:lang w:eastAsia="en-GB"/>
              </w:rPr>
              <w:t>Equivalence test result</w:t>
            </w:r>
          </w:p>
        </w:tc>
        <w:tc>
          <w:tcPr>
            <w:tcW w:w="2551" w:type="dxa"/>
            <w:tcBorders>
              <w:top w:val="nil"/>
              <w:left w:val="nil"/>
              <w:bottom w:val="single" w:sz="4" w:space="0" w:color="auto"/>
              <w:right w:val="nil"/>
            </w:tcBorders>
          </w:tcPr>
          <w:p w14:paraId="39C5D48B" w14:textId="77777777" w:rsidR="004671E1" w:rsidRPr="004A3584" w:rsidRDefault="004671E1" w:rsidP="00B4408D">
            <w:pPr>
              <w:spacing w:after="0" w:line="240" w:lineRule="auto"/>
              <w:jc w:val="center"/>
              <w:rPr>
                <w:rFonts w:eastAsia="Times New Roman"/>
                <w:color w:val="000000"/>
                <w:lang w:eastAsia="en-GB"/>
              </w:rPr>
            </w:pPr>
            <w:r>
              <w:rPr>
                <w:rFonts w:eastAsia="Times New Roman"/>
                <w:color w:val="000000"/>
                <w:lang w:eastAsia="en-GB"/>
              </w:rPr>
              <w:t>Statistical difference result</w:t>
            </w:r>
          </w:p>
        </w:tc>
        <w:tc>
          <w:tcPr>
            <w:tcW w:w="2694" w:type="dxa"/>
            <w:tcBorders>
              <w:top w:val="nil"/>
              <w:left w:val="nil"/>
              <w:bottom w:val="single" w:sz="4" w:space="0" w:color="auto"/>
              <w:right w:val="nil"/>
            </w:tcBorders>
            <w:shd w:val="clear" w:color="auto" w:fill="auto"/>
            <w:vAlign w:val="center"/>
            <w:hideMark/>
          </w:tcPr>
          <w:p w14:paraId="75779EB3" w14:textId="77777777" w:rsidR="004671E1" w:rsidRPr="004A3584" w:rsidRDefault="004671E1" w:rsidP="00B4408D">
            <w:pPr>
              <w:spacing w:after="0" w:line="240" w:lineRule="auto"/>
              <w:jc w:val="center"/>
              <w:rPr>
                <w:rFonts w:eastAsia="Times New Roman"/>
                <w:color w:val="000000"/>
                <w:lang w:eastAsia="en-GB"/>
              </w:rPr>
            </w:pPr>
            <w:r w:rsidRPr="004A3584">
              <w:rPr>
                <w:rFonts w:eastAsia="Times New Roman"/>
                <w:color w:val="000000"/>
                <w:lang w:eastAsia="en-GB"/>
              </w:rPr>
              <w:t xml:space="preserve">Interpretation (with alpha adjusted to </w:t>
            </w:r>
            <w:r w:rsidRPr="004A3584">
              <w:rPr>
                <w:rFonts w:eastAsia="Times New Roman"/>
                <w:i/>
                <w:color w:val="000000"/>
                <w:lang w:eastAsia="en-GB"/>
              </w:rPr>
              <w:t>p</w:t>
            </w:r>
            <w:r w:rsidRPr="004A3584">
              <w:rPr>
                <w:rFonts w:eastAsia="Times New Roman"/>
                <w:color w:val="000000"/>
                <w:lang w:eastAsia="en-GB"/>
              </w:rPr>
              <w:t>&lt; 0.008)</w:t>
            </w:r>
          </w:p>
        </w:tc>
      </w:tr>
      <w:tr w:rsidR="004671E1" w:rsidRPr="004A3584" w14:paraId="47A02D5A" w14:textId="77777777" w:rsidTr="00B4408D">
        <w:trPr>
          <w:trHeight w:val="510"/>
        </w:trPr>
        <w:tc>
          <w:tcPr>
            <w:tcW w:w="1008" w:type="dxa"/>
            <w:vMerge w:val="restart"/>
            <w:tcBorders>
              <w:top w:val="nil"/>
              <w:left w:val="nil"/>
              <w:bottom w:val="nil"/>
              <w:right w:val="nil"/>
            </w:tcBorders>
            <w:shd w:val="clear" w:color="auto" w:fill="auto"/>
            <w:vAlign w:val="center"/>
            <w:hideMark/>
          </w:tcPr>
          <w:p w14:paraId="4F92B10B" w14:textId="77777777" w:rsidR="004671E1" w:rsidRPr="004A3584" w:rsidRDefault="004671E1" w:rsidP="00B4408D">
            <w:pPr>
              <w:spacing w:after="0" w:line="240" w:lineRule="auto"/>
              <w:rPr>
                <w:rFonts w:eastAsia="Times New Roman"/>
                <w:color w:val="000000"/>
                <w:lang w:eastAsia="en-GB"/>
              </w:rPr>
            </w:pPr>
            <w:r w:rsidRPr="004A3584">
              <w:rPr>
                <w:rFonts w:eastAsia="Times New Roman"/>
                <w:color w:val="000000"/>
                <w:lang w:eastAsia="en-GB"/>
              </w:rPr>
              <w:t>Conducive</w:t>
            </w:r>
          </w:p>
        </w:tc>
        <w:tc>
          <w:tcPr>
            <w:tcW w:w="2723" w:type="dxa"/>
            <w:tcBorders>
              <w:top w:val="nil"/>
              <w:left w:val="nil"/>
              <w:bottom w:val="nil"/>
              <w:right w:val="nil"/>
            </w:tcBorders>
            <w:shd w:val="clear" w:color="auto" w:fill="auto"/>
            <w:vAlign w:val="center"/>
            <w:hideMark/>
          </w:tcPr>
          <w:p w14:paraId="499ED228" w14:textId="77777777" w:rsidR="004671E1" w:rsidRPr="00FF7542" w:rsidRDefault="004671E1" w:rsidP="00B4408D">
            <w:pPr>
              <w:spacing w:after="0" w:line="240" w:lineRule="auto"/>
              <w:rPr>
                <w:rFonts w:eastAsia="Times New Roman"/>
                <w:color w:val="000000"/>
                <w:lang w:eastAsia="en-GB"/>
              </w:rPr>
            </w:pPr>
            <w:r w:rsidRPr="00FF7542">
              <w:rPr>
                <w:rFonts w:eastAsia="Times New Roman"/>
                <w:color w:val="000000"/>
                <w:lang w:eastAsia="en-GB"/>
              </w:rPr>
              <w:t>Control and left-prime</w:t>
            </w:r>
          </w:p>
        </w:tc>
        <w:tc>
          <w:tcPr>
            <w:tcW w:w="3088" w:type="dxa"/>
            <w:tcBorders>
              <w:top w:val="nil"/>
              <w:left w:val="nil"/>
              <w:bottom w:val="nil"/>
              <w:right w:val="nil"/>
            </w:tcBorders>
            <w:shd w:val="clear" w:color="auto" w:fill="auto"/>
            <w:vAlign w:val="center"/>
            <w:hideMark/>
          </w:tcPr>
          <w:p w14:paraId="6CF1163B" w14:textId="77777777" w:rsidR="004671E1" w:rsidRPr="00FF7542" w:rsidRDefault="004671E1" w:rsidP="00B4408D">
            <w:pPr>
              <w:spacing w:after="0" w:line="240" w:lineRule="auto"/>
              <w:rPr>
                <w:rFonts w:eastAsia="Times New Roman"/>
                <w:color w:val="000000"/>
                <w:lang w:eastAsia="en-GB"/>
              </w:rPr>
            </w:pPr>
            <w:r w:rsidRPr="00FF7542">
              <w:rPr>
                <w:rFonts w:eastAsia="Times New Roman"/>
                <w:color w:val="000000"/>
                <w:lang w:eastAsia="en-GB"/>
              </w:rPr>
              <w:t>92.35 (13.30) and 91.86 (10.33)</w:t>
            </w:r>
          </w:p>
        </w:tc>
        <w:tc>
          <w:tcPr>
            <w:tcW w:w="2552" w:type="dxa"/>
            <w:tcBorders>
              <w:top w:val="nil"/>
              <w:left w:val="nil"/>
              <w:bottom w:val="nil"/>
              <w:right w:val="nil"/>
            </w:tcBorders>
            <w:shd w:val="clear" w:color="auto" w:fill="auto"/>
            <w:vAlign w:val="center"/>
            <w:hideMark/>
          </w:tcPr>
          <w:p w14:paraId="77EEBD22"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 xml:space="preserve">(32) = 2.21, </w:t>
            </w:r>
            <w:r w:rsidRPr="00FF7542">
              <w:rPr>
                <w:rFonts w:eastAsia="Times New Roman"/>
                <w:i/>
                <w:color w:val="000000"/>
                <w:lang w:eastAsia="en-GB"/>
              </w:rPr>
              <w:t>p</w:t>
            </w:r>
            <w:r w:rsidRPr="00FF7542">
              <w:rPr>
                <w:rFonts w:eastAsia="Times New Roman"/>
                <w:color w:val="000000"/>
                <w:lang w:eastAsia="en-GB"/>
              </w:rPr>
              <w:t xml:space="preserve"> = 0.017</w:t>
            </w:r>
          </w:p>
        </w:tc>
        <w:tc>
          <w:tcPr>
            <w:tcW w:w="2551" w:type="dxa"/>
            <w:tcBorders>
              <w:top w:val="nil"/>
              <w:left w:val="nil"/>
              <w:bottom w:val="nil"/>
              <w:right w:val="nil"/>
            </w:tcBorders>
            <w:shd w:val="clear" w:color="auto" w:fill="auto"/>
            <w:vAlign w:val="center"/>
          </w:tcPr>
          <w:p w14:paraId="1CDAAA2E"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 xml:space="preserve">(32) = 0.12, </w:t>
            </w:r>
            <w:r w:rsidRPr="00FF7542">
              <w:rPr>
                <w:rFonts w:eastAsia="Times New Roman"/>
                <w:i/>
                <w:color w:val="000000"/>
                <w:lang w:eastAsia="en-GB"/>
              </w:rPr>
              <w:t>p</w:t>
            </w:r>
            <w:r w:rsidRPr="00FF7542">
              <w:rPr>
                <w:rFonts w:eastAsia="Times New Roman"/>
                <w:color w:val="000000"/>
                <w:lang w:eastAsia="en-GB"/>
              </w:rPr>
              <w:t xml:space="preserve"> = 0.904</w:t>
            </w:r>
          </w:p>
        </w:tc>
        <w:tc>
          <w:tcPr>
            <w:tcW w:w="2694" w:type="dxa"/>
            <w:tcBorders>
              <w:top w:val="nil"/>
              <w:left w:val="nil"/>
              <w:bottom w:val="nil"/>
              <w:right w:val="nil"/>
            </w:tcBorders>
            <w:shd w:val="clear" w:color="auto" w:fill="auto"/>
            <w:vAlign w:val="center"/>
            <w:hideMark/>
          </w:tcPr>
          <w:p w14:paraId="0BBF5EB0" w14:textId="77777777" w:rsidR="004671E1" w:rsidRPr="004A3584" w:rsidRDefault="004671E1" w:rsidP="00B4408D">
            <w:pPr>
              <w:spacing w:after="0" w:line="240" w:lineRule="auto"/>
              <w:jc w:val="center"/>
              <w:rPr>
                <w:rFonts w:eastAsia="Times New Roman"/>
                <w:color w:val="000000"/>
                <w:lang w:eastAsia="en-GB"/>
              </w:rPr>
            </w:pPr>
            <w:r w:rsidRPr="004A3584">
              <w:rPr>
                <w:rFonts w:eastAsia="Times New Roman"/>
                <w:color w:val="000000"/>
                <w:lang w:eastAsia="en-GB"/>
              </w:rPr>
              <w:t>Not statistically equivalent</w:t>
            </w:r>
            <w:r>
              <w:rPr>
                <w:rFonts w:eastAsia="Times New Roman"/>
                <w:color w:val="000000"/>
                <w:lang w:eastAsia="en-GB"/>
              </w:rPr>
              <w:t xml:space="preserve"> or statistically different</w:t>
            </w:r>
          </w:p>
        </w:tc>
      </w:tr>
      <w:tr w:rsidR="004671E1" w:rsidRPr="004A3584" w14:paraId="293D28B0" w14:textId="77777777" w:rsidTr="00B4408D">
        <w:trPr>
          <w:trHeight w:val="510"/>
        </w:trPr>
        <w:tc>
          <w:tcPr>
            <w:tcW w:w="1008" w:type="dxa"/>
            <w:vMerge/>
            <w:tcBorders>
              <w:top w:val="nil"/>
              <w:left w:val="nil"/>
              <w:bottom w:val="nil"/>
              <w:right w:val="nil"/>
            </w:tcBorders>
            <w:vAlign w:val="center"/>
            <w:hideMark/>
          </w:tcPr>
          <w:p w14:paraId="66F89E00" w14:textId="77777777" w:rsidR="004671E1" w:rsidRPr="004A3584" w:rsidRDefault="004671E1" w:rsidP="00B4408D">
            <w:pPr>
              <w:spacing w:after="0" w:line="240" w:lineRule="auto"/>
              <w:rPr>
                <w:rFonts w:eastAsia="Times New Roman"/>
                <w:color w:val="000000"/>
                <w:lang w:eastAsia="en-GB"/>
              </w:rPr>
            </w:pPr>
          </w:p>
        </w:tc>
        <w:tc>
          <w:tcPr>
            <w:tcW w:w="2723" w:type="dxa"/>
            <w:tcBorders>
              <w:top w:val="nil"/>
              <w:left w:val="nil"/>
              <w:right w:val="nil"/>
            </w:tcBorders>
            <w:shd w:val="clear" w:color="auto" w:fill="auto"/>
            <w:vAlign w:val="center"/>
            <w:hideMark/>
          </w:tcPr>
          <w:p w14:paraId="6AD24AB4" w14:textId="77777777" w:rsidR="004671E1" w:rsidRPr="00FF7542" w:rsidRDefault="004671E1" w:rsidP="00B4408D">
            <w:pPr>
              <w:spacing w:after="0" w:line="240" w:lineRule="auto"/>
              <w:rPr>
                <w:rFonts w:eastAsia="Times New Roman"/>
                <w:color w:val="000000"/>
                <w:lang w:eastAsia="en-GB"/>
              </w:rPr>
            </w:pPr>
            <w:r w:rsidRPr="00FF7542">
              <w:rPr>
                <w:rFonts w:eastAsia="Times New Roman"/>
                <w:color w:val="000000"/>
                <w:lang w:eastAsia="en-GB"/>
              </w:rPr>
              <w:t>Control and right-prime</w:t>
            </w:r>
          </w:p>
        </w:tc>
        <w:tc>
          <w:tcPr>
            <w:tcW w:w="3088" w:type="dxa"/>
            <w:tcBorders>
              <w:top w:val="nil"/>
              <w:left w:val="nil"/>
              <w:right w:val="nil"/>
            </w:tcBorders>
            <w:shd w:val="clear" w:color="auto" w:fill="auto"/>
            <w:vAlign w:val="center"/>
            <w:hideMark/>
          </w:tcPr>
          <w:p w14:paraId="2088BA07" w14:textId="77777777" w:rsidR="004671E1" w:rsidRPr="00FF7542" w:rsidRDefault="004671E1" w:rsidP="00B4408D">
            <w:pPr>
              <w:spacing w:after="0" w:line="240" w:lineRule="auto"/>
              <w:rPr>
                <w:rFonts w:eastAsia="Times New Roman"/>
                <w:color w:val="000000"/>
                <w:lang w:eastAsia="en-GB"/>
              </w:rPr>
            </w:pPr>
            <w:r w:rsidRPr="00FF7542">
              <w:rPr>
                <w:rFonts w:eastAsia="Times New Roman"/>
                <w:color w:val="000000"/>
                <w:lang w:eastAsia="en-GB"/>
              </w:rPr>
              <w:t>92.35 (13.30) and 97.</w:t>
            </w:r>
            <w:r>
              <w:rPr>
                <w:rFonts w:eastAsia="Times New Roman"/>
                <w:color w:val="000000"/>
                <w:lang w:eastAsia="en-GB"/>
              </w:rPr>
              <w:t>18</w:t>
            </w:r>
            <w:r w:rsidRPr="00FF7542">
              <w:rPr>
                <w:rFonts w:eastAsia="Times New Roman"/>
                <w:color w:val="000000"/>
                <w:lang w:eastAsia="en-GB"/>
              </w:rPr>
              <w:t xml:space="preserve"> (</w:t>
            </w:r>
            <w:r>
              <w:rPr>
                <w:rFonts w:eastAsia="Times New Roman"/>
                <w:color w:val="000000"/>
                <w:lang w:eastAsia="en-GB"/>
              </w:rPr>
              <w:t>4.62</w:t>
            </w:r>
            <w:r w:rsidRPr="00FF7542">
              <w:rPr>
                <w:rFonts w:eastAsia="Times New Roman"/>
                <w:color w:val="000000"/>
                <w:lang w:eastAsia="en-GB"/>
              </w:rPr>
              <w:t>)</w:t>
            </w:r>
          </w:p>
        </w:tc>
        <w:tc>
          <w:tcPr>
            <w:tcW w:w="2552" w:type="dxa"/>
            <w:tcBorders>
              <w:top w:val="nil"/>
              <w:left w:val="nil"/>
              <w:right w:val="nil"/>
            </w:tcBorders>
            <w:shd w:val="clear" w:color="auto" w:fill="auto"/>
            <w:vAlign w:val="center"/>
            <w:hideMark/>
          </w:tcPr>
          <w:p w14:paraId="385561E8"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(3</w:t>
            </w:r>
            <w:r>
              <w:rPr>
                <w:rFonts w:eastAsia="Times New Roman"/>
                <w:color w:val="000000"/>
                <w:lang w:eastAsia="en-GB"/>
              </w:rPr>
              <w:t>8</w:t>
            </w:r>
            <w:r w:rsidRPr="00FF7542">
              <w:rPr>
                <w:rFonts w:eastAsia="Times New Roman"/>
                <w:color w:val="000000"/>
                <w:lang w:eastAsia="en-GB"/>
              </w:rPr>
              <w:t>) = 0.</w:t>
            </w:r>
            <w:r>
              <w:rPr>
                <w:rFonts w:eastAsia="Times New Roman"/>
                <w:color w:val="000000"/>
                <w:lang w:eastAsia="en-GB"/>
              </w:rPr>
              <w:t>88</w:t>
            </w:r>
            <w:r w:rsidRPr="00FF7542">
              <w:rPr>
                <w:rFonts w:eastAsia="Times New Roman"/>
                <w:color w:val="000000"/>
                <w:lang w:eastAsia="en-GB"/>
              </w:rPr>
              <w:t xml:space="preserve">, </w:t>
            </w:r>
            <w:r w:rsidRPr="00FF7542">
              <w:rPr>
                <w:rFonts w:eastAsia="Times New Roman"/>
                <w:i/>
                <w:color w:val="000000"/>
                <w:lang w:eastAsia="en-GB"/>
              </w:rPr>
              <w:t>p</w:t>
            </w:r>
            <w:r w:rsidRPr="00FF7542">
              <w:rPr>
                <w:rFonts w:eastAsia="Times New Roman"/>
                <w:color w:val="000000"/>
                <w:lang w:eastAsia="en-GB"/>
              </w:rPr>
              <w:t xml:space="preserve"> = 0.</w:t>
            </w:r>
            <w:r>
              <w:rPr>
                <w:rFonts w:eastAsia="Times New Roman"/>
                <w:color w:val="000000"/>
                <w:lang w:eastAsia="en-GB"/>
              </w:rPr>
              <w:t>192</w:t>
            </w:r>
          </w:p>
        </w:tc>
        <w:tc>
          <w:tcPr>
            <w:tcW w:w="2551" w:type="dxa"/>
            <w:tcBorders>
              <w:top w:val="nil"/>
              <w:left w:val="nil"/>
              <w:right w:val="nil"/>
            </w:tcBorders>
            <w:shd w:val="clear" w:color="auto" w:fill="auto"/>
            <w:vAlign w:val="center"/>
          </w:tcPr>
          <w:p w14:paraId="3E99C012"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(3</w:t>
            </w:r>
            <w:r>
              <w:rPr>
                <w:rFonts w:eastAsia="Times New Roman"/>
                <w:color w:val="000000"/>
                <w:lang w:eastAsia="en-GB"/>
              </w:rPr>
              <w:t>8</w:t>
            </w:r>
            <w:r w:rsidRPr="00FF7542">
              <w:rPr>
                <w:rFonts w:eastAsia="Times New Roman"/>
                <w:color w:val="000000"/>
                <w:lang w:eastAsia="en-GB"/>
              </w:rPr>
              <w:t xml:space="preserve">) = </w:t>
            </w:r>
            <w:r>
              <w:rPr>
                <w:rFonts w:eastAsia="Times New Roman"/>
                <w:color w:val="000000"/>
                <w:lang w:eastAsia="en-GB"/>
              </w:rPr>
              <w:t>1.61</w:t>
            </w:r>
            <w:r w:rsidRPr="00FF7542">
              <w:rPr>
                <w:rFonts w:eastAsia="Times New Roman"/>
                <w:color w:val="000000"/>
                <w:lang w:eastAsia="en-GB"/>
              </w:rPr>
              <w:t xml:space="preserve">, </w:t>
            </w:r>
            <w:r w:rsidRPr="00FF7542">
              <w:rPr>
                <w:rFonts w:eastAsia="Times New Roman"/>
                <w:i/>
                <w:color w:val="000000"/>
                <w:lang w:eastAsia="en-GB"/>
              </w:rPr>
              <w:t>p</w:t>
            </w:r>
            <w:r w:rsidRPr="00FF7542">
              <w:rPr>
                <w:rFonts w:eastAsia="Times New Roman"/>
                <w:color w:val="000000"/>
                <w:lang w:eastAsia="en-GB"/>
              </w:rPr>
              <w:t xml:space="preserve"> = 0.</w:t>
            </w:r>
            <w:r>
              <w:rPr>
                <w:rFonts w:eastAsia="Times New Roman"/>
                <w:color w:val="000000"/>
                <w:lang w:eastAsia="en-GB"/>
              </w:rPr>
              <w:t>114</w:t>
            </w:r>
          </w:p>
        </w:tc>
        <w:tc>
          <w:tcPr>
            <w:tcW w:w="2694" w:type="dxa"/>
            <w:tcBorders>
              <w:top w:val="nil"/>
              <w:left w:val="nil"/>
              <w:right w:val="nil"/>
            </w:tcBorders>
            <w:shd w:val="clear" w:color="auto" w:fill="auto"/>
            <w:vAlign w:val="center"/>
            <w:hideMark/>
          </w:tcPr>
          <w:p w14:paraId="2B6A549F" w14:textId="77777777" w:rsidR="004671E1" w:rsidRPr="004A3584" w:rsidRDefault="004671E1" w:rsidP="00B4408D">
            <w:pPr>
              <w:spacing w:after="0" w:line="240" w:lineRule="auto"/>
              <w:jc w:val="center"/>
              <w:rPr>
                <w:rFonts w:eastAsia="Times New Roman"/>
                <w:color w:val="000000"/>
                <w:lang w:eastAsia="en-GB"/>
              </w:rPr>
            </w:pPr>
            <w:r w:rsidRPr="004A3584">
              <w:rPr>
                <w:rFonts w:eastAsia="Times New Roman"/>
                <w:color w:val="000000"/>
                <w:lang w:eastAsia="en-GB"/>
              </w:rPr>
              <w:t>Not statistically equivalent</w:t>
            </w:r>
            <w:r>
              <w:rPr>
                <w:rFonts w:eastAsia="Times New Roman"/>
                <w:color w:val="000000"/>
                <w:lang w:eastAsia="en-GB"/>
              </w:rPr>
              <w:t xml:space="preserve"> or statistically different</w:t>
            </w:r>
          </w:p>
        </w:tc>
      </w:tr>
      <w:tr w:rsidR="004671E1" w:rsidRPr="004A3584" w14:paraId="30FA6331" w14:textId="77777777" w:rsidTr="00B4408D">
        <w:trPr>
          <w:trHeight w:val="570"/>
        </w:trPr>
        <w:tc>
          <w:tcPr>
            <w:tcW w:w="1008" w:type="dxa"/>
            <w:vMerge/>
            <w:tcBorders>
              <w:top w:val="nil"/>
              <w:left w:val="nil"/>
              <w:bottom w:val="nil"/>
              <w:right w:val="nil"/>
            </w:tcBorders>
            <w:vAlign w:val="center"/>
            <w:hideMark/>
          </w:tcPr>
          <w:p w14:paraId="2A4EA202" w14:textId="77777777" w:rsidR="004671E1" w:rsidRPr="004A3584" w:rsidRDefault="004671E1" w:rsidP="00B4408D">
            <w:pPr>
              <w:spacing w:after="0" w:line="240" w:lineRule="auto"/>
              <w:rPr>
                <w:rFonts w:eastAsia="Times New Roman"/>
                <w:color w:val="000000"/>
                <w:lang w:eastAsia="en-GB"/>
              </w:rPr>
            </w:pPr>
          </w:p>
        </w:tc>
        <w:tc>
          <w:tcPr>
            <w:tcW w:w="2723" w:type="dxa"/>
            <w:tcBorders>
              <w:top w:val="nil"/>
              <w:left w:val="nil"/>
              <w:bottom w:val="single" w:sz="4" w:space="0" w:color="auto"/>
              <w:right w:val="nil"/>
            </w:tcBorders>
            <w:shd w:val="clear" w:color="auto" w:fill="auto"/>
            <w:vAlign w:val="center"/>
            <w:hideMark/>
          </w:tcPr>
          <w:p w14:paraId="25A9F7CD" w14:textId="77777777" w:rsidR="004671E1" w:rsidRPr="00FF7542" w:rsidRDefault="004671E1" w:rsidP="00B4408D">
            <w:pPr>
              <w:spacing w:after="0" w:line="240" w:lineRule="auto"/>
              <w:rPr>
                <w:rFonts w:eastAsia="Times New Roman"/>
                <w:color w:val="000000"/>
                <w:lang w:eastAsia="en-GB"/>
              </w:rPr>
            </w:pPr>
            <w:r w:rsidRPr="00FF7542">
              <w:rPr>
                <w:rFonts w:eastAsia="Times New Roman"/>
                <w:color w:val="000000"/>
                <w:lang w:eastAsia="en-GB"/>
              </w:rPr>
              <w:t>Left-prime and right-prime</w:t>
            </w:r>
          </w:p>
        </w:tc>
        <w:tc>
          <w:tcPr>
            <w:tcW w:w="3088" w:type="dxa"/>
            <w:tcBorders>
              <w:top w:val="nil"/>
              <w:left w:val="nil"/>
              <w:bottom w:val="single" w:sz="4" w:space="0" w:color="auto"/>
              <w:right w:val="nil"/>
            </w:tcBorders>
            <w:shd w:val="clear" w:color="auto" w:fill="auto"/>
            <w:vAlign w:val="center"/>
            <w:hideMark/>
          </w:tcPr>
          <w:p w14:paraId="04943B7C" w14:textId="77777777" w:rsidR="004671E1" w:rsidRPr="00FF7542" w:rsidRDefault="004671E1" w:rsidP="00B4408D">
            <w:pPr>
              <w:spacing w:after="0" w:line="240" w:lineRule="auto"/>
              <w:rPr>
                <w:rFonts w:eastAsia="Times New Roman"/>
                <w:color w:val="000000"/>
                <w:lang w:eastAsia="en-GB"/>
              </w:rPr>
            </w:pPr>
            <w:r w:rsidRPr="00FF7542">
              <w:rPr>
                <w:rFonts w:eastAsia="Times New Roman"/>
                <w:color w:val="000000"/>
                <w:lang w:eastAsia="en-GB"/>
              </w:rPr>
              <w:t>91.86 (10.33) and 97.</w:t>
            </w:r>
            <w:r>
              <w:rPr>
                <w:rFonts w:eastAsia="Times New Roman"/>
                <w:color w:val="000000"/>
                <w:lang w:eastAsia="en-GB"/>
              </w:rPr>
              <w:t>18</w:t>
            </w:r>
            <w:r w:rsidRPr="00FF7542">
              <w:rPr>
                <w:rFonts w:eastAsia="Times New Roman"/>
                <w:color w:val="000000"/>
                <w:lang w:eastAsia="en-GB"/>
              </w:rPr>
              <w:t xml:space="preserve"> (</w:t>
            </w:r>
            <w:r>
              <w:rPr>
                <w:rFonts w:eastAsia="Times New Roman"/>
                <w:color w:val="000000"/>
                <w:lang w:eastAsia="en-GB"/>
              </w:rPr>
              <w:t>4.62</w:t>
            </w:r>
            <w:r w:rsidRPr="00FF7542">
              <w:rPr>
                <w:rFonts w:eastAsia="Times New Roman"/>
                <w:color w:val="000000"/>
                <w:lang w:eastAsia="en-GB"/>
              </w:rPr>
              <w:t>)</w:t>
            </w:r>
          </w:p>
        </w:tc>
        <w:tc>
          <w:tcPr>
            <w:tcW w:w="2552" w:type="dxa"/>
            <w:tcBorders>
              <w:top w:val="nil"/>
              <w:left w:val="nil"/>
              <w:bottom w:val="single" w:sz="4" w:space="0" w:color="auto"/>
              <w:right w:val="nil"/>
            </w:tcBorders>
            <w:shd w:val="clear" w:color="auto" w:fill="auto"/>
            <w:vAlign w:val="center"/>
            <w:hideMark/>
          </w:tcPr>
          <w:p w14:paraId="45BAA684" w14:textId="77777777" w:rsidR="004671E1" w:rsidRPr="00FF7542" w:rsidRDefault="004671E1" w:rsidP="00B4408D">
            <w:pPr>
              <w:spacing w:after="0" w:line="240" w:lineRule="auto"/>
              <w:rPr>
                <w:rFonts w:eastAsia="Times New Roman"/>
                <w:color w:val="000000"/>
                <w:lang w:eastAsia="en-GB"/>
              </w:rPr>
            </w:pPr>
            <w:r w:rsidRPr="00CB7CE6">
              <w:rPr>
                <w:rFonts w:eastAsia="Times New Roman"/>
                <w:i/>
                <w:color w:val="000000"/>
                <w:lang w:eastAsia="en-GB"/>
              </w:rPr>
              <w:t>t</w:t>
            </w:r>
            <w:r w:rsidRPr="00CB7CE6">
              <w:rPr>
                <w:rFonts w:eastAsia="Times New Roman"/>
                <w:color w:val="000000"/>
                <w:lang w:eastAsia="en-GB"/>
              </w:rPr>
              <w:t xml:space="preserve">(20.75) = 0.40, </w:t>
            </w:r>
            <w:r w:rsidRPr="00CB7CE6">
              <w:rPr>
                <w:rFonts w:eastAsia="Times New Roman"/>
                <w:i/>
                <w:color w:val="000000"/>
                <w:lang w:eastAsia="en-GB"/>
              </w:rPr>
              <w:t>p</w:t>
            </w:r>
            <w:r w:rsidRPr="00CB7CE6">
              <w:rPr>
                <w:rFonts w:eastAsia="Times New Roman"/>
                <w:color w:val="000000"/>
                <w:lang w:eastAsia="en-GB"/>
              </w:rPr>
              <w:t xml:space="preserve"> = 0.346</w:t>
            </w:r>
          </w:p>
        </w:tc>
        <w:tc>
          <w:tcPr>
            <w:tcW w:w="2551" w:type="dxa"/>
            <w:tcBorders>
              <w:top w:val="nil"/>
              <w:left w:val="nil"/>
              <w:bottom w:val="single" w:sz="4" w:space="0" w:color="auto"/>
              <w:right w:val="nil"/>
            </w:tcBorders>
            <w:shd w:val="clear" w:color="auto" w:fill="auto"/>
            <w:vAlign w:val="center"/>
          </w:tcPr>
          <w:p w14:paraId="2492DEB6"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(3</w:t>
            </w:r>
            <w:r>
              <w:rPr>
                <w:rFonts w:eastAsia="Times New Roman"/>
                <w:color w:val="000000"/>
                <w:lang w:eastAsia="en-GB"/>
              </w:rPr>
              <w:t>8</w:t>
            </w:r>
            <w:r w:rsidRPr="00FF7542">
              <w:rPr>
                <w:rFonts w:eastAsia="Times New Roman"/>
                <w:color w:val="000000"/>
                <w:lang w:eastAsia="en-GB"/>
              </w:rPr>
              <w:t xml:space="preserve">) = </w:t>
            </w:r>
            <w:r>
              <w:rPr>
                <w:rFonts w:eastAsia="Times New Roman"/>
                <w:color w:val="000000"/>
                <w:lang w:eastAsia="en-GB"/>
              </w:rPr>
              <w:t>2.20</w:t>
            </w:r>
            <w:r w:rsidRPr="00FF7542">
              <w:rPr>
                <w:rFonts w:eastAsia="Times New Roman"/>
                <w:color w:val="000000"/>
                <w:lang w:eastAsia="en-GB"/>
              </w:rPr>
              <w:t xml:space="preserve">, </w:t>
            </w:r>
            <w:r w:rsidRPr="00FF7542">
              <w:rPr>
                <w:rFonts w:eastAsia="Times New Roman"/>
                <w:i/>
                <w:color w:val="000000"/>
                <w:lang w:eastAsia="en-GB"/>
              </w:rPr>
              <w:t>p</w:t>
            </w:r>
            <w:r w:rsidRPr="00FF7542">
              <w:rPr>
                <w:rFonts w:eastAsia="Times New Roman"/>
                <w:color w:val="000000"/>
                <w:lang w:eastAsia="en-GB"/>
              </w:rPr>
              <w:t xml:space="preserve"> = 0.0</w:t>
            </w:r>
            <w:r>
              <w:rPr>
                <w:rFonts w:eastAsia="Times New Roman"/>
                <w:color w:val="000000"/>
                <w:lang w:eastAsia="en-GB"/>
              </w:rPr>
              <w:t>34</w:t>
            </w:r>
          </w:p>
        </w:tc>
        <w:tc>
          <w:tcPr>
            <w:tcW w:w="2694" w:type="dxa"/>
            <w:tcBorders>
              <w:top w:val="nil"/>
              <w:left w:val="nil"/>
              <w:bottom w:val="single" w:sz="4" w:space="0" w:color="auto"/>
              <w:right w:val="nil"/>
            </w:tcBorders>
            <w:shd w:val="clear" w:color="auto" w:fill="auto"/>
            <w:vAlign w:val="center"/>
            <w:hideMark/>
          </w:tcPr>
          <w:p w14:paraId="3176ADE8" w14:textId="77777777" w:rsidR="004671E1" w:rsidRPr="004A3584" w:rsidRDefault="004671E1" w:rsidP="00B4408D">
            <w:pPr>
              <w:spacing w:after="0" w:line="240" w:lineRule="auto"/>
              <w:jc w:val="center"/>
              <w:rPr>
                <w:rFonts w:eastAsia="Times New Roman"/>
                <w:color w:val="000000"/>
                <w:lang w:eastAsia="en-GB"/>
              </w:rPr>
            </w:pPr>
            <w:r w:rsidRPr="004A3584">
              <w:rPr>
                <w:rFonts w:eastAsia="Times New Roman"/>
                <w:color w:val="000000"/>
                <w:lang w:eastAsia="en-GB"/>
              </w:rPr>
              <w:t>Not statistically equivalent</w:t>
            </w:r>
            <w:r>
              <w:rPr>
                <w:rFonts w:eastAsia="Times New Roman"/>
                <w:color w:val="000000"/>
                <w:lang w:eastAsia="en-GB"/>
              </w:rPr>
              <w:t xml:space="preserve"> or statistically different</w:t>
            </w:r>
          </w:p>
        </w:tc>
      </w:tr>
      <w:tr w:rsidR="004671E1" w:rsidRPr="004A3584" w14:paraId="3174D668" w14:textId="77777777" w:rsidTr="00B4408D">
        <w:trPr>
          <w:trHeight w:val="510"/>
        </w:trPr>
        <w:tc>
          <w:tcPr>
            <w:tcW w:w="1008" w:type="dxa"/>
            <w:vMerge w:val="restart"/>
            <w:tcBorders>
              <w:top w:val="nil"/>
              <w:left w:val="nil"/>
              <w:bottom w:val="single" w:sz="4" w:space="0" w:color="000000"/>
              <w:right w:val="nil"/>
            </w:tcBorders>
            <w:shd w:val="clear" w:color="auto" w:fill="auto"/>
            <w:vAlign w:val="center"/>
            <w:hideMark/>
          </w:tcPr>
          <w:p w14:paraId="10BC1456" w14:textId="77777777" w:rsidR="004671E1" w:rsidRPr="004A3584" w:rsidRDefault="004671E1" w:rsidP="00B4408D">
            <w:pPr>
              <w:spacing w:after="0" w:line="240" w:lineRule="auto"/>
              <w:rPr>
                <w:rFonts w:eastAsia="Times New Roman"/>
                <w:color w:val="000000"/>
                <w:lang w:eastAsia="en-GB"/>
              </w:rPr>
            </w:pPr>
            <w:r w:rsidRPr="004A3584">
              <w:rPr>
                <w:rFonts w:eastAsia="Times New Roman"/>
                <w:color w:val="000000"/>
                <w:lang w:eastAsia="en-GB"/>
              </w:rPr>
              <w:t>Non-conducive</w:t>
            </w:r>
          </w:p>
        </w:tc>
        <w:tc>
          <w:tcPr>
            <w:tcW w:w="2723" w:type="dxa"/>
            <w:tcBorders>
              <w:top w:val="single" w:sz="4" w:space="0" w:color="auto"/>
              <w:left w:val="nil"/>
              <w:bottom w:val="nil"/>
              <w:right w:val="nil"/>
            </w:tcBorders>
            <w:shd w:val="clear" w:color="auto" w:fill="auto"/>
            <w:vAlign w:val="center"/>
            <w:hideMark/>
          </w:tcPr>
          <w:p w14:paraId="1A64F04D" w14:textId="77777777" w:rsidR="004671E1" w:rsidRPr="00FF7542" w:rsidRDefault="004671E1" w:rsidP="00B4408D">
            <w:pPr>
              <w:spacing w:after="0" w:line="240" w:lineRule="auto"/>
              <w:rPr>
                <w:rFonts w:eastAsia="Times New Roman"/>
                <w:color w:val="000000"/>
                <w:lang w:eastAsia="en-GB"/>
              </w:rPr>
            </w:pPr>
            <w:r w:rsidRPr="00FF7542">
              <w:rPr>
                <w:rFonts w:eastAsia="Times New Roman"/>
                <w:color w:val="000000"/>
                <w:lang w:eastAsia="en-GB"/>
              </w:rPr>
              <w:t>Control and left-prime</w:t>
            </w:r>
          </w:p>
        </w:tc>
        <w:tc>
          <w:tcPr>
            <w:tcW w:w="3088" w:type="dxa"/>
            <w:tcBorders>
              <w:top w:val="single" w:sz="4" w:space="0" w:color="auto"/>
              <w:left w:val="nil"/>
              <w:bottom w:val="nil"/>
              <w:right w:val="nil"/>
            </w:tcBorders>
            <w:shd w:val="clear" w:color="auto" w:fill="auto"/>
            <w:vAlign w:val="center"/>
            <w:hideMark/>
          </w:tcPr>
          <w:p w14:paraId="2D637145" w14:textId="77777777" w:rsidR="004671E1" w:rsidRPr="00FF7542" w:rsidRDefault="004671E1" w:rsidP="00B4408D">
            <w:pPr>
              <w:spacing w:after="0" w:line="240" w:lineRule="auto"/>
              <w:rPr>
                <w:rFonts w:eastAsia="Times New Roman"/>
                <w:color w:val="000000"/>
                <w:lang w:eastAsia="en-GB"/>
              </w:rPr>
            </w:pPr>
            <w:r w:rsidRPr="00FF7542">
              <w:rPr>
                <w:rFonts w:eastAsia="Times New Roman"/>
                <w:color w:val="000000"/>
                <w:lang w:eastAsia="en-GB"/>
              </w:rPr>
              <w:t>83.86 (19.72) and 76.98 (25.61)</w:t>
            </w:r>
          </w:p>
        </w:tc>
        <w:tc>
          <w:tcPr>
            <w:tcW w:w="2552" w:type="dxa"/>
            <w:tcBorders>
              <w:top w:val="single" w:sz="4" w:space="0" w:color="auto"/>
              <w:left w:val="nil"/>
              <w:bottom w:val="nil"/>
              <w:right w:val="nil"/>
            </w:tcBorders>
            <w:shd w:val="clear" w:color="auto" w:fill="auto"/>
            <w:vAlign w:val="center"/>
            <w:hideMark/>
          </w:tcPr>
          <w:p w14:paraId="5AFD3FDA"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 xml:space="preserve">(32) = 1.45, </w:t>
            </w:r>
            <w:r w:rsidRPr="00FF7542">
              <w:rPr>
                <w:rFonts w:eastAsia="Times New Roman"/>
                <w:i/>
                <w:color w:val="000000"/>
                <w:lang w:eastAsia="en-GB"/>
              </w:rPr>
              <w:t>p</w:t>
            </w:r>
            <w:r w:rsidRPr="00FF7542">
              <w:rPr>
                <w:rFonts w:eastAsia="Times New Roman"/>
                <w:color w:val="000000"/>
                <w:lang w:eastAsia="en-GB"/>
              </w:rPr>
              <w:t xml:space="preserve"> = 0.078</w:t>
            </w:r>
          </w:p>
        </w:tc>
        <w:tc>
          <w:tcPr>
            <w:tcW w:w="2551" w:type="dxa"/>
            <w:tcBorders>
              <w:top w:val="single" w:sz="4" w:space="0" w:color="auto"/>
              <w:left w:val="nil"/>
              <w:bottom w:val="nil"/>
              <w:right w:val="nil"/>
            </w:tcBorders>
            <w:shd w:val="clear" w:color="auto" w:fill="auto"/>
            <w:vAlign w:val="center"/>
          </w:tcPr>
          <w:p w14:paraId="40877B97"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 xml:space="preserve">(32) = 0.88, </w:t>
            </w:r>
            <w:r w:rsidRPr="00FF7542">
              <w:rPr>
                <w:rFonts w:eastAsia="Times New Roman"/>
                <w:i/>
                <w:color w:val="000000"/>
                <w:lang w:eastAsia="en-GB"/>
              </w:rPr>
              <w:t>p</w:t>
            </w:r>
            <w:r w:rsidRPr="00FF7542">
              <w:rPr>
                <w:rFonts w:eastAsia="Times New Roman"/>
                <w:color w:val="000000"/>
                <w:lang w:eastAsia="en-GB"/>
              </w:rPr>
              <w:t xml:space="preserve"> = 0.387</w:t>
            </w:r>
          </w:p>
        </w:tc>
        <w:tc>
          <w:tcPr>
            <w:tcW w:w="2694" w:type="dxa"/>
            <w:tcBorders>
              <w:top w:val="single" w:sz="4" w:space="0" w:color="auto"/>
              <w:left w:val="nil"/>
              <w:bottom w:val="nil"/>
              <w:right w:val="nil"/>
            </w:tcBorders>
            <w:shd w:val="clear" w:color="auto" w:fill="auto"/>
            <w:vAlign w:val="center"/>
            <w:hideMark/>
          </w:tcPr>
          <w:p w14:paraId="289D3130" w14:textId="77777777" w:rsidR="004671E1" w:rsidRPr="004A3584" w:rsidRDefault="004671E1" w:rsidP="00B4408D">
            <w:pPr>
              <w:spacing w:after="0" w:line="240" w:lineRule="auto"/>
              <w:jc w:val="center"/>
              <w:rPr>
                <w:rFonts w:eastAsia="Times New Roman"/>
                <w:color w:val="000000"/>
                <w:lang w:eastAsia="en-GB"/>
              </w:rPr>
            </w:pPr>
            <w:r w:rsidRPr="004A3584">
              <w:rPr>
                <w:rFonts w:eastAsia="Times New Roman"/>
                <w:color w:val="000000"/>
                <w:lang w:eastAsia="en-GB"/>
              </w:rPr>
              <w:t>Not statistically equivalent</w:t>
            </w:r>
            <w:r>
              <w:rPr>
                <w:rFonts w:eastAsia="Times New Roman"/>
                <w:color w:val="000000"/>
                <w:lang w:eastAsia="en-GB"/>
              </w:rPr>
              <w:t xml:space="preserve"> or statistically different</w:t>
            </w:r>
          </w:p>
        </w:tc>
      </w:tr>
      <w:tr w:rsidR="004671E1" w:rsidRPr="004A3584" w14:paraId="253BF128" w14:textId="77777777" w:rsidTr="00B4408D">
        <w:trPr>
          <w:trHeight w:val="510"/>
        </w:trPr>
        <w:tc>
          <w:tcPr>
            <w:tcW w:w="1008" w:type="dxa"/>
            <w:vMerge/>
            <w:tcBorders>
              <w:top w:val="nil"/>
              <w:left w:val="nil"/>
              <w:bottom w:val="single" w:sz="4" w:space="0" w:color="000000"/>
              <w:right w:val="nil"/>
            </w:tcBorders>
            <w:vAlign w:val="center"/>
            <w:hideMark/>
          </w:tcPr>
          <w:p w14:paraId="6A5210B2" w14:textId="77777777" w:rsidR="004671E1" w:rsidRPr="004A3584" w:rsidRDefault="004671E1" w:rsidP="00B4408D">
            <w:pPr>
              <w:spacing w:after="0" w:line="240" w:lineRule="auto"/>
              <w:rPr>
                <w:rFonts w:eastAsia="Times New Roman"/>
                <w:color w:val="000000"/>
                <w:lang w:eastAsia="en-GB"/>
              </w:rPr>
            </w:pPr>
          </w:p>
        </w:tc>
        <w:tc>
          <w:tcPr>
            <w:tcW w:w="2723" w:type="dxa"/>
            <w:tcBorders>
              <w:top w:val="nil"/>
              <w:left w:val="nil"/>
              <w:bottom w:val="nil"/>
              <w:right w:val="nil"/>
            </w:tcBorders>
            <w:shd w:val="clear" w:color="auto" w:fill="auto"/>
            <w:vAlign w:val="center"/>
            <w:hideMark/>
          </w:tcPr>
          <w:p w14:paraId="6957705A" w14:textId="77777777" w:rsidR="004671E1" w:rsidRPr="00FF7542" w:rsidRDefault="004671E1" w:rsidP="00B4408D">
            <w:pPr>
              <w:spacing w:after="0" w:line="240" w:lineRule="auto"/>
              <w:rPr>
                <w:rFonts w:eastAsia="Times New Roman"/>
                <w:color w:val="000000"/>
                <w:lang w:eastAsia="en-GB"/>
              </w:rPr>
            </w:pPr>
            <w:r w:rsidRPr="00FF7542">
              <w:rPr>
                <w:rFonts w:eastAsia="Times New Roman"/>
                <w:color w:val="000000"/>
                <w:lang w:eastAsia="en-GB"/>
              </w:rPr>
              <w:t>Control and right-prime</w:t>
            </w:r>
          </w:p>
        </w:tc>
        <w:tc>
          <w:tcPr>
            <w:tcW w:w="3088" w:type="dxa"/>
            <w:tcBorders>
              <w:top w:val="nil"/>
              <w:left w:val="nil"/>
              <w:bottom w:val="nil"/>
              <w:right w:val="nil"/>
            </w:tcBorders>
            <w:shd w:val="clear" w:color="auto" w:fill="auto"/>
            <w:vAlign w:val="center"/>
            <w:hideMark/>
          </w:tcPr>
          <w:p w14:paraId="5A7E17EB" w14:textId="77777777" w:rsidR="004671E1" w:rsidRPr="00FF7542" w:rsidRDefault="004671E1" w:rsidP="00B4408D">
            <w:pPr>
              <w:spacing w:after="0" w:line="240" w:lineRule="auto"/>
              <w:rPr>
                <w:rFonts w:eastAsia="Times New Roman"/>
                <w:color w:val="000000"/>
                <w:lang w:eastAsia="en-GB"/>
              </w:rPr>
            </w:pPr>
            <w:r w:rsidRPr="00FF7542">
              <w:rPr>
                <w:rFonts w:eastAsia="Times New Roman"/>
                <w:color w:val="000000"/>
                <w:lang w:eastAsia="en-GB"/>
              </w:rPr>
              <w:t xml:space="preserve">83.86 (19.72) and </w:t>
            </w:r>
            <w:r>
              <w:rPr>
                <w:rFonts w:eastAsia="Times New Roman"/>
                <w:color w:val="000000"/>
                <w:lang w:eastAsia="en-GB"/>
              </w:rPr>
              <w:t>82.84 (13.46)</w:t>
            </w:r>
          </w:p>
        </w:tc>
        <w:tc>
          <w:tcPr>
            <w:tcW w:w="2552" w:type="dxa"/>
            <w:tcBorders>
              <w:top w:val="nil"/>
              <w:left w:val="nil"/>
              <w:bottom w:val="nil"/>
              <w:right w:val="nil"/>
            </w:tcBorders>
            <w:shd w:val="clear" w:color="auto" w:fill="auto"/>
            <w:vAlign w:val="center"/>
            <w:hideMark/>
          </w:tcPr>
          <w:p w14:paraId="32686970"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(3</w:t>
            </w:r>
            <w:r>
              <w:rPr>
                <w:rFonts w:eastAsia="Times New Roman"/>
                <w:color w:val="000000"/>
                <w:lang w:eastAsia="en-GB"/>
              </w:rPr>
              <w:t>8</w:t>
            </w:r>
            <w:r w:rsidRPr="00FF7542">
              <w:rPr>
                <w:rFonts w:eastAsia="Times New Roman"/>
                <w:color w:val="000000"/>
                <w:lang w:eastAsia="en-GB"/>
              </w:rPr>
              <w:t xml:space="preserve">) = </w:t>
            </w:r>
            <w:r>
              <w:rPr>
                <w:rFonts w:eastAsia="Times New Roman"/>
                <w:color w:val="000000"/>
                <w:lang w:eastAsia="en-GB"/>
              </w:rPr>
              <w:t>2.31</w:t>
            </w:r>
            <w:r w:rsidRPr="00FF7542">
              <w:rPr>
                <w:rFonts w:eastAsia="Times New Roman"/>
                <w:color w:val="000000"/>
                <w:lang w:eastAsia="en-GB"/>
              </w:rPr>
              <w:t xml:space="preserve">, </w:t>
            </w:r>
            <w:r w:rsidRPr="00FF7542">
              <w:rPr>
                <w:rFonts w:eastAsia="Times New Roman"/>
                <w:i/>
                <w:color w:val="000000"/>
                <w:lang w:eastAsia="en-GB"/>
              </w:rPr>
              <w:t>p</w:t>
            </w:r>
            <w:r w:rsidRPr="00FF7542">
              <w:rPr>
                <w:rFonts w:eastAsia="Times New Roman"/>
                <w:color w:val="000000"/>
                <w:lang w:eastAsia="en-GB"/>
              </w:rPr>
              <w:t xml:space="preserve"> = 0.0</w:t>
            </w:r>
            <w:r>
              <w:rPr>
                <w:rFonts w:eastAsia="Times New Roman"/>
                <w:color w:val="000000"/>
                <w:lang w:eastAsia="en-GB"/>
              </w:rPr>
              <w:t>13</w:t>
            </w:r>
          </w:p>
        </w:tc>
        <w:tc>
          <w:tcPr>
            <w:tcW w:w="2551" w:type="dxa"/>
            <w:tcBorders>
              <w:top w:val="nil"/>
              <w:left w:val="nil"/>
              <w:bottom w:val="nil"/>
              <w:right w:val="nil"/>
            </w:tcBorders>
            <w:shd w:val="clear" w:color="auto" w:fill="auto"/>
            <w:vAlign w:val="center"/>
          </w:tcPr>
          <w:p w14:paraId="6AA1CA12"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(3</w:t>
            </w:r>
            <w:r>
              <w:rPr>
                <w:rFonts w:eastAsia="Times New Roman"/>
                <w:color w:val="000000"/>
                <w:lang w:eastAsia="en-GB"/>
              </w:rPr>
              <w:t>8</w:t>
            </w:r>
            <w:r w:rsidRPr="00FF7542">
              <w:rPr>
                <w:rFonts w:eastAsia="Times New Roman"/>
                <w:color w:val="000000"/>
                <w:lang w:eastAsia="en-GB"/>
              </w:rPr>
              <w:t>) = 0.</w:t>
            </w:r>
            <w:r>
              <w:rPr>
                <w:rFonts w:eastAsia="Times New Roman"/>
                <w:color w:val="000000"/>
                <w:lang w:eastAsia="en-GB"/>
              </w:rPr>
              <w:t>19</w:t>
            </w:r>
            <w:r w:rsidRPr="00FF7542">
              <w:rPr>
                <w:rFonts w:eastAsia="Times New Roman"/>
                <w:color w:val="000000"/>
                <w:lang w:eastAsia="en-GB"/>
              </w:rPr>
              <w:t xml:space="preserve">, </w:t>
            </w:r>
            <w:r w:rsidRPr="00FF7542">
              <w:rPr>
                <w:rFonts w:eastAsia="Times New Roman"/>
                <w:i/>
                <w:color w:val="000000"/>
                <w:lang w:eastAsia="en-GB"/>
              </w:rPr>
              <w:t>p</w:t>
            </w:r>
            <w:r w:rsidRPr="00FF7542">
              <w:rPr>
                <w:rFonts w:eastAsia="Times New Roman"/>
                <w:color w:val="000000"/>
                <w:lang w:eastAsia="en-GB"/>
              </w:rPr>
              <w:t xml:space="preserve"> = 0.</w:t>
            </w:r>
            <w:r>
              <w:rPr>
                <w:rFonts w:eastAsia="Times New Roman"/>
                <w:color w:val="000000"/>
                <w:lang w:eastAsia="en-GB"/>
              </w:rPr>
              <w:t>847</w:t>
            </w:r>
          </w:p>
        </w:tc>
        <w:tc>
          <w:tcPr>
            <w:tcW w:w="2694" w:type="dxa"/>
            <w:tcBorders>
              <w:top w:val="nil"/>
              <w:left w:val="nil"/>
              <w:bottom w:val="nil"/>
              <w:right w:val="nil"/>
            </w:tcBorders>
            <w:shd w:val="clear" w:color="auto" w:fill="auto"/>
            <w:vAlign w:val="center"/>
            <w:hideMark/>
          </w:tcPr>
          <w:p w14:paraId="5BD21351" w14:textId="77777777" w:rsidR="004671E1" w:rsidRPr="004A3584" w:rsidRDefault="004671E1" w:rsidP="00B4408D">
            <w:pPr>
              <w:spacing w:after="0" w:line="240" w:lineRule="auto"/>
              <w:jc w:val="center"/>
              <w:rPr>
                <w:rFonts w:eastAsia="Times New Roman"/>
                <w:color w:val="000000"/>
                <w:lang w:eastAsia="en-GB"/>
              </w:rPr>
            </w:pPr>
            <w:r w:rsidRPr="004A3584">
              <w:rPr>
                <w:rFonts w:eastAsia="Times New Roman"/>
                <w:color w:val="000000"/>
                <w:lang w:eastAsia="en-GB"/>
              </w:rPr>
              <w:t>Not statistically equivalent</w:t>
            </w:r>
            <w:r>
              <w:rPr>
                <w:rFonts w:eastAsia="Times New Roman"/>
                <w:color w:val="000000"/>
                <w:lang w:eastAsia="en-GB"/>
              </w:rPr>
              <w:t xml:space="preserve"> or statistically different</w:t>
            </w:r>
          </w:p>
        </w:tc>
      </w:tr>
      <w:tr w:rsidR="004671E1" w:rsidRPr="004A3584" w14:paraId="57D311C2" w14:textId="77777777" w:rsidTr="00B4408D">
        <w:trPr>
          <w:trHeight w:val="525"/>
        </w:trPr>
        <w:tc>
          <w:tcPr>
            <w:tcW w:w="1008" w:type="dxa"/>
            <w:vMerge/>
            <w:tcBorders>
              <w:top w:val="nil"/>
              <w:left w:val="nil"/>
              <w:bottom w:val="single" w:sz="4" w:space="0" w:color="000000"/>
              <w:right w:val="nil"/>
            </w:tcBorders>
            <w:vAlign w:val="center"/>
            <w:hideMark/>
          </w:tcPr>
          <w:p w14:paraId="079F4022" w14:textId="77777777" w:rsidR="004671E1" w:rsidRPr="004A3584" w:rsidRDefault="004671E1" w:rsidP="00B4408D">
            <w:pPr>
              <w:spacing w:after="0" w:line="240" w:lineRule="auto"/>
              <w:rPr>
                <w:rFonts w:eastAsia="Times New Roman"/>
                <w:color w:val="000000"/>
                <w:lang w:eastAsia="en-GB"/>
              </w:rPr>
            </w:pPr>
          </w:p>
        </w:tc>
        <w:tc>
          <w:tcPr>
            <w:tcW w:w="2723" w:type="dxa"/>
            <w:tcBorders>
              <w:top w:val="nil"/>
              <w:left w:val="nil"/>
              <w:bottom w:val="single" w:sz="4" w:space="0" w:color="auto"/>
              <w:right w:val="nil"/>
            </w:tcBorders>
            <w:shd w:val="clear" w:color="auto" w:fill="auto"/>
            <w:vAlign w:val="center"/>
            <w:hideMark/>
          </w:tcPr>
          <w:p w14:paraId="036C1F76" w14:textId="77777777" w:rsidR="004671E1" w:rsidRPr="00FF7542" w:rsidRDefault="004671E1" w:rsidP="00B4408D">
            <w:pPr>
              <w:spacing w:after="0" w:line="240" w:lineRule="auto"/>
              <w:rPr>
                <w:rFonts w:eastAsia="Times New Roman"/>
                <w:color w:val="000000"/>
                <w:lang w:eastAsia="en-GB"/>
              </w:rPr>
            </w:pPr>
            <w:r w:rsidRPr="00FF7542">
              <w:rPr>
                <w:rFonts w:eastAsia="Times New Roman"/>
                <w:color w:val="000000"/>
                <w:lang w:eastAsia="en-GB"/>
              </w:rPr>
              <w:t>Left-prime and right-prime</w:t>
            </w:r>
          </w:p>
        </w:tc>
        <w:tc>
          <w:tcPr>
            <w:tcW w:w="3088" w:type="dxa"/>
            <w:tcBorders>
              <w:top w:val="nil"/>
              <w:left w:val="nil"/>
              <w:bottom w:val="single" w:sz="4" w:space="0" w:color="auto"/>
              <w:right w:val="nil"/>
            </w:tcBorders>
            <w:shd w:val="clear" w:color="auto" w:fill="auto"/>
            <w:vAlign w:val="center"/>
            <w:hideMark/>
          </w:tcPr>
          <w:p w14:paraId="65FFB3CD" w14:textId="77777777" w:rsidR="004671E1" w:rsidRPr="00FF7542" w:rsidRDefault="004671E1" w:rsidP="00B4408D">
            <w:pPr>
              <w:spacing w:after="0" w:line="240" w:lineRule="auto"/>
              <w:rPr>
                <w:rFonts w:eastAsia="Times New Roman"/>
                <w:color w:val="000000"/>
                <w:lang w:eastAsia="en-GB"/>
              </w:rPr>
            </w:pPr>
            <w:r w:rsidRPr="00FF7542">
              <w:rPr>
                <w:rFonts w:eastAsia="Times New Roman"/>
                <w:color w:val="000000"/>
                <w:lang w:eastAsia="en-GB"/>
              </w:rPr>
              <w:t xml:space="preserve">76.98 (25.61) and </w:t>
            </w:r>
            <w:r>
              <w:rPr>
                <w:rFonts w:eastAsia="Times New Roman"/>
                <w:color w:val="000000"/>
                <w:lang w:eastAsia="en-GB"/>
              </w:rPr>
              <w:t>82.84 (13.46)</w:t>
            </w:r>
          </w:p>
        </w:tc>
        <w:tc>
          <w:tcPr>
            <w:tcW w:w="2552" w:type="dxa"/>
            <w:tcBorders>
              <w:top w:val="nil"/>
              <w:left w:val="nil"/>
              <w:bottom w:val="single" w:sz="4" w:space="0" w:color="auto"/>
              <w:right w:val="nil"/>
            </w:tcBorders>
            <w:shd w:val="clear" w:color="auto" w:fill="auto"/>
            <w:vAlign w:val="center"/>
            <w:hideMark/>
          </w:tcPr>
          <w:p w14:paraId="1DA1B9AF"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(3</w:t>
            </w:r>
            <w:r>
              <w:rPr>
                <w:rFonts w:eastAsia="Times New Roman"/>
                <w:color w:val="000000"/>
                <w:lang w:eastAsia="en-GB"/>
              </w:rPr>
              <w:t>8</w:t>
            </w:r>
            <w:r w:rsidRPr="00FF7542">
              <w:rPr>
                <w:rFonts w:eastAsia="Times New Roman"/>
                <w:color w:val="000000"/>
                <w:lang w:eastAsia="en-GB"/>
              </w:rPr>
              <w:t>) = 1.</w:t>
            </w:r>
            <w:r>
              <w:rPr>
                <w:rFonts w:eastAsia="Times New Roman"/>
                <w:color w:val="000000"/>
                <w:lang w:eastAsia="en-GB"/>
              </w:rPr>
              <w:t>56</w:t>
            </w:r>
            <w:r w:rsidRPr="00FF7542">
              <w:rPr>
                <w:rFonts w:eastAsia="Times New Roman"/>
                <w:color w:val="000000"/>
                <w:lang w:eastAsia="en-GB"/>
              </w:rPr>
              <w:t xml:space="preserve">, </w:t>
            </w:r>
            <w:r w:rsidRPr="00FF7542">
              <w:rPr>
                <w:rFonts w:eastAsia="Times New Roman"/>
                <w:i/>
                <w:color w:val="000000"/>
                <w:lang w:eastAsia="en-GB"/>
              </w:rPr>
              <w:t>p</w:t>
            </w:r>
            <w:r w:rsidRPr="00FF7542">
              <w:rPr>
                <w:rFonts w:eastAsia="Times New Roman"/>
                <w:color w:val="000000"/>
                <w:lang w:eastAsia="en-GB"/>
              </w:rPr>
              <w:t xml:space="preserve"> = 0.</w:t>
            </w:r>
            <w:r>
              <w:rPr>
                <w:rFonts w:eastAsia="Times New Roman"/>
                <w:color w:val="000000"/>
                <w:lang w:eastAsia="en-GB"/>
              </w:rPr>
              <w:t>063</w:t>
            </w:r>
          </w:p>
        </w:tc>
        <w:tc>
          <w:tcPr>
            <w:tcW w:w="2551" w:type="dxa"/>
            <w:tcBorders>
              <w:top w:val="nil"/>
              <w:left w:val="nil"/>
              <w:bottom w:val="single" w:sz="4" w:space="0" w:color="auto"/>
              <w:right w:val="nil"/>
            </w:tcBorders>
            <w:shd w:val="clear" w:color="auto" w:fill="auto"/>
            <w:vAlign w:val="center"/>
          </w:tcPr>
          <w:p w14:paraId="605D2BDD" w14:textId="77777777" w:rsidR="004671E1" w:rsidRPr="00FF7542" w:rsidRDefault="004671E1" w:rsidP="00B4408D">
            <w:pPr>
              <w:spacing w:after="0" w:line="240" w:lineRule="auto"/>
              <w:rPr>
                <w:rFonts w:eastAsia="Times New Roman"/>
                <w:color w:val="000000"/>
                <w:lang w:eastAsia="en-GB"/>
              </w:rPr>
            </w:pPr>
            <w:r w:rsidRPr="00FF7542">
              <w:rPr>
                <w:rFonts w:eastAsia="Times New Roman"/>
                <w:i/>
                <w:color w:val="000000"/>
                <w:lang w:eastAsia="en-GB"/>
              </w:rPr>
              <w:t>t</w:t>
            </w:r>
            <w:r w:rsidRPr="00FF7542">
              <w:rPr>
                <w:rFonts w:eastAsia="Times New Roman"/>
                <w:color w:val="000000"/>
                <w:lang w:eastAsia="en-GB"/>
              </w:rPr>
              <w:t>(3</w:t>
            </w:r>
            <w:r>
              <w:rPr>
                <w:rFonts w:eastAsia="Times New Roman"/>
                <w:color w:val="000000"/>
                <w:lang w:eastAsia="en-GB"/>
              </w:rPr>
              <w:t>8</w:t>
            </w:r>
            <w:r w:rsidRPr="00FF7542">
              <w:rPr>
                <w:rFonts w:eastAsia="Times New Roman"/>
                <w:color w:val="000000"/>
                <w:lang w:eastAsia="en-GB"/>
              </w:rPr>
              <w:t xml:space="preserve">) = </w:t>
            </w:r>
            <w:r>
              <w:rPr>
                <w:rFonts w:eastAsia="Times New Roman"/>
                <w:color w:val="000000"/>
                <w:lang w:eastAsia="en-GB"/>
              </w:rPr>
              <w:t>0.94</w:t>
            </w:r>
            <w:r w:rsidRPr="00FF7542">
              <w:rPr>
                <w:rFonts w:eastAsia="Times New Roman"/>
                <w:color w:val="000000"/>
                <w:lang w:eastAsia="en-GB"/>
              </w:rPr>
              <w:t xml:space="preserve">, </w:t>
            </w:r>
            <w:r w:rsidRPr="00FF7542">
              <w:rPr>
                <w:rFonts w:eastAsia="Times New Roman"/>
                <w:i/>
                <w:color w:val="000000"/>
                <w:lang w:eastAsia="en-GB"/>
              </w:rPr>
              <w:t>p</w:t>
            </w:r>
            <w:r w:rsidRPr="00FF7542">
              <w:rPr>
                <w:rFonts w:eastAsia="Times New Roman"/>
                <w:color w:val="000000"/>
                <w:lang w:eastAsia="en-GB"/>
              </w:rPr>
              <w:t xml:space="preserve"> = 0.</w:t>
            </w:r>
            <w:r>
              <w:rPr>
                <w:rFonts w:eastAsia="Times New Roman"/>
                <w:color w:val="000000"/>
                <w:lang w:eastAsia="en-GB"/>
              </w:rPr>
              <w:t>354</w:t>
            </w:r>
          </w:p>
        </w:tc>
        <w:tc>
          <w:tcPr>
            <w:tcW w:w="2694" w:type="dxa"/>
            <w:tcBorders>
              <w:top w:val="nil"/>
              <w:left w:val="nil"/>
              <w:bottom w:val="single" w:sz="4" w:space="0" w:color="auto"/>
              <w:right w:val="nil"/>
            </w:tcBorders>
            <w:shd w:val="clear" w:color="auto" w:fill="auto"/>
            <w:vAlign w:val="center"/>
            <w:hideMark/>
          </w:tcPr>
          <w:p w14:paraId="7168AD73" w14:textId="77777777" w:rsidR="004671E1" w:rsidRPr="004A3584" w:rsidRDefault="004671E1" w:rsidP="00B4408D">
            <w:pPr>
              <w:spacing w:after="0" w:line="240" w:lineRule="auto"/>
              <w:jc w:val="center"/>
              <w:rPr>
                <w:rFonts w:eastAsia="Times New Roman"/>
                <w:color w:val="000000"/>
                <w:lang w:eastAsia="en-GB"/>
              </w:rPr>
            </w:pPr>
            <w:r w:rsidRPr="004A3584">
              <w:rPr>
                <w:rFonts w:eastAsia="Times New Roman"/>
                <w:color w:val="000000"/>
                <w:lang w:eastAsia="en-GB"/>
              </w:rPr>
              <w:t>Not statistically equivalent</w:t>
            </w:r>
            <w:r>
              <w:rPr>
                <w:rFonts w:eastAsia="Times New Roman"/>
                <w:color w:val="000000"/>
                <w:lang w:eastAsia="en-GB"/>
              </w:rPr>
              <w:t xml:space="preserve"> or statistically different</w:t>
            </w:r>
          </w:p>
        </w:tc>
      </w:tr>
    </w:tbl>
    <w:p w14:paraId="575D186A" w14:textId="77777777" w:rsidR="004671E1" w:rsidRDefault="004671E1" w:rsidP="004671E1">
      <w:pPr>
        <w:spacing w:line="480" w:lineRule="auto"/>
        <w:rPr>
          <w:rFonts w:eastAsia="Calibri"/>
          <w:color w:val="000000"/>
        </w:rPr>
      </w:pPr>
    </w:p>
    <w:p w14:paraId="297E8BA7" w14:textId="77777777" w:rsidR="004671E1" w:rsidRDefault="004671E1" w:rsidP="004671E1">
      <w:pPr>
        <w:spacing w:line="480" w:lineRule="auto"/>
        <w:rPr>
          <w:rFonts w:eastAsia="Calibri"/>
          <w:color w:val="000000"/>
        </w:rPr>
      </w:pPr>
    </w:p>
    <w:p w14:paraId="76C043C8" w14:textId="77777777" w:rsidR="004671E1" w:rsidRPr="004A3584" w:rsidRDefault="004671E1" w:rsidP="004671E1">
      <w:pPr>
        <w:spacing w:line="480" w:lineRule="auto"/>
        <w:rPr>
          <w:rFonts w:eastAsia="Calibri"/>
          <w:color w:val="000000"/>
        </w:rPr>
      </w:pPr>
    </w:p>
    <w:p w14:paraId="48F53FC0" w14:textId="77777777" w:rsidR="004671E1" w:rsidRDefault="004671E1" w:rsidP="004671E1">
      <w:pPr>
        <w:rPr>
          <w:b/>
          <w:i/>
        </w:rPr>
        <w:sectPr w:rsidR="004671E1" w:rsidSect="00FA54B4">
          <w:pgSz w:w="16838" w:h="11906" w:orient="landscape"/>
          <w:pgMar w:top="1440" w:right="1440" w:bottom="1440" w:left="1440" w:header="708" w:footer="708" w:gutter="0"/>
          <w:cols w:space="708"/>
          <w:docGrid w:linePitch="360"/>
        </w:sectPr>
      </w:pPr>
    </w:p>
    <w:p w14:paraId="039B7867" w14:textId="77777777" w:rsidR="004671E1" w:rsidRPr="00035271" w:rsidRDefault="004671E1" w:rsidP="004671E1">
      <w:pPr>
        <w:pStyle w:val="Heading3"/>
      </w:pPr>
      <w:r w:rsidRPr="00035271">
        <w:lastRenderedPageBreak/>
        <w:t>Study 2</w:t>
      </w:r>
    </w:p>
    <w:p w14:paraId="7E66BE1D" w14:textId="77777777" w:rsidR="004671E1" w:rsidRDefault="004671E1" w:rsidP="004671E1">
      <w:pPr>
        <w:pStyle w:val="Heading4"/>
      </w:pPr>
      <w:r>
        <w:t>False alarms and misses</w:t>
      </w:r>
    </w:p>
    <w:p w14:paraId="46984F4D" w14:textId="77777777" w:rsidR="004671E1" w:rsidRPr="00035271" w:rsidRDefault="004671E1" w:rsidP="004671E1">
      <w:r w:rsidRPr="00035271">
        <w:t xml:space="preserve">There were 4 false alarms </w:t>
      </w:r>
      <w:r>
        <w:t xml:space="preserve">and 6 misses </w:t>
      </w:r>
      <w:r w:rsidRPr="00035271">
        <w:t>with the new metric, compared to 13</w:t>
      </w:r>
      <w:r>
        <w:t xml:space="preserve"> false alarms and one miss</w:t>
      </w:r>
      <w:r w:rsidRPr="00035271">
        <w:t xml:space="preserve"> with the </w:t>
      </w:r>
      <w:r>
        <w:t>original</w:t>
      </w:r>
      <w:r w:rsidRPr="00035271">
        <w:t xml:space="preserve"> metric. </w:t>
      </w:r>
    </w:p>
    <w:p w14:paraId="5C27250C" w14:textId="77777777" w:rsidR="004671E1" w:rsidRDefault="004671E1" w:rsidP="004671E1">
      <w:pPr>
        <w:pStyle w:val="Heading4"/>
      </w:pPr>
      <w:r>
        <w:t>Number of identifiers</w:t>
      </w:r>
    </w:p>
    <w:p w14:paraId="64C522A9" w14:textId="77777777" w:rsidR="004671E1" w:rsidRPr="00035271" w:rsidRDefault="004671E1" w:rsidP="004671E1">
      <w:r w:rsidRPr="00035271">
        <w:t>Using the new metric, there were 50 iden</w:t>
      </w:r>
      <w:r>
        <w:t xml:space="preserve">tifiers and 58 non-identifiers. </w:t>
      </w:r>
      <w:r w:rsidRPr="00035271">
        <w:t xml:space="preserve">Table </w:t>
      </w:r>
      <w:r>
        <w:t>5</w:t>
      </w:r>
      <w:r w:rsidRPr="00035271">
        <w:t xml:space="preserve"> displays the number of identifiers and non-identifiers using the new metric, compared to the old metric. </w:t>
      </w:r>
    </w:p>
    <w:p w14:paraId="79CF9D69" w14:textId="77777777" w:rsidR="004671E1" w:rsidRDefault="004671E1" w:rsidP="004671E1">
      <w:pPr>
        <w:rPr>
          <w:b/>
        </w:rPr>
      </w:pPr>
    </w:p>
    <w:p w14:paraId="2CD6B431" w14:textId="77777777" w:rsidR="004671E1" w:rsidRDefault="004671E1" w:rsidP="004671E1">
      <w:r>
        <w:t>Table 5: Number of identifiers and non-identifiers of a shortcut using the new metric and the original metric in each of the three conditions of Study 2.</w:t>
      </w:r>
    </w:p>
    <w:tbl>
      <w:tblPr>
        <w:tblW w:w="9310" w:type="dxa"/>
        <w:jc w:val="center"/>
        <w:tblLayout w:type="fixed"/>
        <w:tblCellMar>
          <w:top w:w="15" w:type="dxa"/>
          <w:bottom w:w="15" w:type="dxa"/>
        </w:tblCellMar>
        <w:tblLook w:val="04A0" w:firstRow="1" w:lastRow="0" w:firstColumn="1" w:lastColumn="0" w:noHBand="0" w:noVBand="1"/>
      </w:tblPr>
      <w:tblGrid>
        <w:gridCol w:w="1275"/>
        <w:gridCol w:w="7"/>
        <w:gridCol w:w="64"/>
        <w:gridCol w:w="917"/>
        <w:gridCol w:w="20"/>
        <w:gridCol w:w="974"/>
        <w:gridCol w:w="28"/>
        <w:gridCol w:w="1003"/>
        <w:gridCol w:w="954"/>
        <w:gridCol w:w="48"/>
        <w:gridCol w:w="799"/>
        <w:gridCol w:w="204"/>
        <w:gridCol w:w="933"/>
        <w:gridCol w:w="69"/>
        <w:gridCol w:w="1007"/>
        <w:gridCol w:w="1008"/>
      </w:tblGrid>
      <w:tr w:rsidR="004671E1" w:rsidRPr="00C048A4" w14:paraId="0C379AEA" w14:textId="77777777" w:rsidTr="00B4408D">
        <w:trPr>
          <w:trHeight w:val="454"/>
          <w:jc w:val="center"/>
        </w:trPr>
        <w:tc>
          <w:tcPr>
            <w:tcW w:w="1346" w:type="dxa"/>
            <w:gridSpan w:val="3"/>
            <w:tcBorders>
              <w:top w:val="nil"/>
              <w:left w:val="nil"/>
              <w:bottom w:val="single" w:sz="4" w:space="0" w:color="auto"/>
              <w:right w:val="nil"/>
            </w:tcBorders>
            <w:noWrap/>
            <w:vAlign w:val="center"/>
            <w:hideMark/>
          </w:tcPr>
          <w:p w14:paraId="43CB76C5"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917" w:type="dxa"/>
            <w:tcBorders>
              <w:top w:val="nil"/>
              <w:left w:val="nil"/>
              <w:bottom w:val="single" w:sz="4" w:space="0" w:color="auto"/>
              <w:right w:val="nil"/>
            </w:tcBorders>
            <w:vAlign w:val="center"/>
          </w:tcPr>
          <w:p w14:paraId="6F983B88"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2025" w:type="dxa"/>
            <w:gridSpan w:val="4"/>
            <w:tcBorders>
              <w:top w:val="nil"/>
              <w:left w:val="nil"/>
              <w:bottom w:val="single" w:sz="4" w:space="0" w:color="auto"/>
              <w:right w:val="nil"/>
            </w:tcBorders>
            <w:vAlign w:val="center"/>
          </w:tcPr>
          <w:p w14:paraId="3E30B3B0"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1801" w:type="dxa"/>
            <w:gridSpan w:val="3"/>
            <w:tcBorders>
              <w:top w:val="nil"/>
              <w:left w:val="nil"/>
              <w:bottom w:val="single" w:sz="4" w:space="0" w:color="auto"/>
              <w:right w:val="nil"/>
            </w:tcBorders>
            <w:noWrap/>
            <w:vAlign w:val="center"/>
            <w:hideMark/>
          </w:tcPr>
          <w:p w14:paraId="6D6A3456"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Condition</w:t>
            </w:r>
          </w:p>
        </w:tc>
        <w:tc>
          <w:tcPr>
            <w:tcW w:w="1137" w:type="dxa"/>
            <w:gridSpan w:val="2"/>
            <w:tcBorders>
              <w:top w:val="nil"/>
              <w:left w:val="nil"/>
              <w:bottom w:val="single" w:sz="4" w:space="0" w:color="auto"/>
              <w:right w:val="nil"/>
            </w:tcBorders>
            <w:vAlign w:val="center"/>
          </w:tcPr>
          <w:p w14:paraId="1E66B96F"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1076" w:type="dxa"/>
            <w:gridSpan w:val="2"/>
            <w:tcBorders>
              <w:top w:val="nil"/>
              <w:left w:val="nil"/>
              <w:bottom w:val="single" w:sz="4" w:space="0" w:color="auto"/>
              <w:right w:val="nil"/>
            </w:tcBorders>
            <w:vAlign w:val="center"/>
          </w:tcPr>
          <w:p w14:paraId="65E4AA45"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1008" w:type="dxa"/>
            <w:tcBorders>
              <w:top w:val="nil"/>
              <w:left w:val="nil"/>
              <w:bottom w:val="single" w:sz="4" w:space="0" w:color="auto"/>
              <w:right w:val="nil"/>
            </w:tcBorders>
            <w:vAlign w:val="center"/>
          </w:tcPr>
          <w:p w14:paraId="1064F5D5"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r>
      <w:tr w:rsidR="004671E1" w:rsidRPr="00C048A4" w14:paraId="64910A70" w14:textId="77777777" w:rsidTr="00B4408D">
        <w:trPr>
          <w:trHeight w:val="454"/>
          <w:jc w:val="center"/>
        </w:trPr>
        <w:tc>
          <w:tcPr>
            <w:tcW w:w="1275" w:type="dxa"/>
            <w:tcBorders>
              <w:top w:val="single" w:sz="4" w:space="0" w:color="auto"/>
            </w:tcBorders>
            <w:noWrap/>
            <w:vAlign w:val="center"/>
            <w:hideMark/>
          </w:tcPr>
          <w:p w14:paraId="4C3EAEC4"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1982" w:type="dxa"/>
            <w:gridSpan w:val="5"/>
            <w:tcBorders>
              <w:top w:val="single" w:sz="4" w:space="0" w:color="auto"/>
            </w:tcBorders>
            <w:noWrap/>
            <w:vAlign w:val="center"/>
            <w:hideMark/>
          </w:tcPr>
          <w:p w14:paraId="1BC3720B"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Left-prime</w:t>
            </w:r>
          </w:p>
        </w:tc>
        <w:tc>
          <w:tcPr>
            <w:tcW w:w="1985" w:type="dxa"/>
            <w:gridSpan w:val="3"/>
            <w:tcBorders>
              <w:top w:val="single" w:sz="4" w:space="0" w:color="auto"/>
            </w:tcBorders>
            <w:noWrap/>
            <w:vAlign w:val="center"/>
            <w:hideMark/>
          </w:tcPr>
          <w:p w14:paraId="33FAC57F"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Control</w:t>
            </w:r>
          </w:p>
        </w:tc>
        <w:tc>
          <w:tcPr>
            <w:tcW w:w="1984" w:type="dxa"/>
            <w:gridSpan w:val="4"/>
            <w:tcBorders>
              <w:top w:val="single" w:sz="4" w:space="0" w:color="auto"/>
            </w:tcBorders>
            <w:noWrap/>
            <w:vAlign w:val="center"/>
            <w:hideMark/>
          </w:tcPr>
          <w:p w14:paraId="36776723"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Right-prime</w:t>
            </w:r>
          </w:p>
        </w:tc>
        <w:tc>
          <w:tcPr>
            <w:tcW w:w="2084" w:type="dxa"/>
            <w:gridSpan w:val="3"/>
            <w:tcBorders>
              <w:top w:val="single" w:sz="4" w:space="0" w:color="auto"/>
            </w:tcBorders>
            <w:vAlign w:val="center"/>
          </w:tcPr>
          <w:p w14:paraId="1DBC86EE"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Total</w:t>
            </w:r>
          </w:p>
        </w:tc>
      </w:tr>
      <w:tr w:rsidR="004671E1" w:rsidRPr="00C048A4" w14:paraId="29594F0F" w14:textId="77777777" w:rsidTr="00B4408D">
        <w:trPr>
          <w:trHeight w:val="454"/>
          <w:jc w:val="center"/>
        </w:trPr>
        <w:tc>
          <w:tcPr>
            <w:tcW w:w="1282" w:type="dxa"/>
            <w:gridSpan w:val="2"/>
            <w:tcBorders>
              <w:bottom w:val="single" w:sz="4" w:space="0" w:color="auto"/>
            </w:tcBorders>
            <w:noWrap/>
            <w:vAlign w:val="center"/>
          </w:tcPr>
          <w:p w14:paraId="2B4A4A73"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1001" w:type="dxa"/>
            <w:gridSpan w:val="3"/>
            <w:tcBorders>
              <w:bottom w:val="single" w:sz="4" w:space="0" w:color="auto"/>
            </w:tcBorders>
            <w:noWrap/>
            <w:vAlign w:val="center"/>
          </w:tcPr>
          <w:p w14:paraId="5C16D67F"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Original metric</w:t>
            </w:r>
          </w:p>
        </w:tc>
        <w:tc>
          <w:tcPr>
            <w:tcW w:w="1002" w:type="dxa"/>
            <w:gridSpan w:val="2"/>
            <w:tcBorders>
              <w:bottom w:val="single" w:sz="4" w:space="0" w:color="auto"/>
            </w:tcBorders>
            <w:vAlign w:val="center"/>
          </w:tcPr>
          <w:p w14:paraId="732FB33B"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New metric</w:t>
            </w:r>
          </w:p>
        </w:tc>
        <w:tc>
          <w:tcPr>
            <w:tcW w:w="1003" w:type="dxa"/>
            <w:tcBorders>
              <w:bottom w:val="single" w:sz="4" w:space="0" w:color="auto"/>
            </w:tcBorders>
            <w:noWrap/>
            <w:vAlign w:val="center"/>
          </w:tcPr>
          <w:p w14:paraId="07FBCA42"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Original metric</w:t>
            </w:r>
          </w:p>
        </w:tc>
        <w:tc>
          <w:tcPr>
            <w:tcW w:w="1002" w:type="dxa"/>
            <w:gridSpan w:val="2"/>
            <w:tcBorders>
              <w:bottom w:val="single" w:sz="4" w:space="0" w:color="auto"/>
            </w:tcBorders>
            <w:vAlign w:val="center"/>
          </w:tcPr>
          <w:p w14:paraId="618B0823"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New metric</w:t>
            </w:r>
          </w:p>
        </w:tc>
        <w:tc>
          <w:tcPr>
            <w:tcW w:w="1003" w:type="dxa"/>
            <w:gridSpan w:val="2"/>
            <w:tcBorders>
              <w:bottom w:val="single" w:sz="4" w:space="0" w:color="auto"/>
            </w:tcBorders>
            <w:noWrap/>
            <w:vAlign w:val="center"/>
          </w:tcPr>
          <w:p w14:paraId="2DC40F77"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Original metric</w:t>
            </w:r>
          </w:p>
        </w:tc>
        <w:tc>
          <w:tcPr>
            <w:tcW w:w="1002" w:type="dxa"/>
            <w:gridSpan w:val="2"/>
            <w:tcBorders>
              <w:bottom w:val="single" w:sz="4" w:space="0" w:color="auto"/>
            </w:tcBorders>
            <w:vAlign w:val="center"/>
          </w:tcPr>
          <w:p w14:paraId="55921F85"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New metric</w:t>
            </w:r>
          </w:p>
        </w:tc>
        <w:tc>
          <w:tcPr>
            <w:tcW w:w="1007" w:type="dxa"/>
            <w:tcBorders>
              <w:bottom w:val="single" w:sz="4" w:space="0" w:color="auto"/>
            </w:tcBorders>
            <w:vAlign w:val="center"/>
          </w:tcPr>
          <w:p w14:paraId="61D0229B"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Original metric</w:t>
            </w:r>
          </w:p>
        </w:tc>
        <w:tc>
          <w:tcPr>
            <w:tcW w:w="1008" w:type="dxa"/>
            <w:tcBorders>
              <w:bottom w:val="single" w:sz="4" w:space="0" w:color="auto"/>
            </w:tcBorders>
            <w:vAlign w:val="center"/>
          </w:tcPr>
          <w:p w14:paraId="08CC86BA"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New metric</w:t>
            </w:r>
          </w:p>
        </w:tc>
      </w:tr>
      <w:tr w:rsidR="004671E1" w:rsidRPr="00C048A4" w14:paraId="7D5FAC4D" w14:textId="77777777" w:rsidTr="00B4408D">
        <w:trPr>
          <w:trHeight w:val="454"/>
          <w:jc w:val="center"/>
        </w:trPr>
        <w:tc>
          <w:tcPr>
            <w:tcW w:w="1282" w:type="dxa"/>
            <w:gridSpan w:val="2"/>
            <w:tcBorders>
              <w:top w:val="single" w:sz="4" w:space="0" w:color="auto"/>
            </w:tcBorders>
            <w:noWrap/>
            <w:vAlign w:val="center"/>
            <w:hideMark/>
          </w:tcPr>
          <w:p w14:paraId="623AC2D8"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Identifier</w:t>
            </w:r>
          </w:p>
        </w:tc>
        <w:tc>
          <w:tcPr>
            <w:tcW w:w="1001" w:type="dxa"/>
            <w:gridSpan w:val="3"/>
            <w:tcBorders>
              <w:top w:val="single" w:sz="4" w:space="0" w:color="auto"/>
            </w:tcBorders>
            <w:noWrap/>
            <w:vAlign w:val="center"/>
          </w:tcPr>
          <w:p w14:paraId="0351D4DB"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18</w:t>
            </w:r>
          </w:p>
        </w:tc>
        <w:tc>
          <w:tcPr>
            <w:tcW w:w="1002" w:type="dxa"/>
            <w:gridSpan w:val="2"/>
            <w:tcBorders>
              <w:top w:val="single" w:sz="4" w:space="0" w:color="auto"/>
            </w:tcBorders>
            <w:vAlign w:val="center"/>
          </w:tcPr>
          <w:p w14:paraId="755F76C0"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16</w:t>
            </w:r>
          </w:p>
        </w:tc>
        <w:tc>
          <w:tcPr>
            <w:tcW w:w="1003" w:type="dxa"/>
            <w:tcBorders>
              <w:top w:val="single" w:sz="4" w:space="0" w:color="auto"/>
            </w:tcBorders>
            <w:noWrap/>
            <w:vAlign w:val="center"/>
          </w:tcPr>
          <w:p w14:paraId="6A5B8F7F"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17</w:t>
            </w:r>
          </w:p>
        </w:tc>
        <w:tc>
          <w:tcPr>
            <w:tcW w:w="1002" w:type="dxa"/>
            <w:gridSpan w:val="2"/>
            <w:tcBorders>
              <w:top w:val="single" w:sz="4" w:space="0" w:color="auto"/>
            </w:tcBorders>
            <w:vAlign w:val="center"/>
          </w:tcPr>
          <w:p w14:paraId="559CF3B2"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14</w:t>
            </w:r>
          </w:p>
        </w:tc>
        <w:tc>
          <w:tcPr>
            <w:tcW w:w="1003" w:type="dxa"/>
            <w:gridSpan w:val="2"/>
            <w:tcBorders>
              <w:top w:val="single" w:sz="4" w:space="0" w:color="auto"/>
            </w:tcBorders>
            <w:noWrap/>
            <w:vAlign w:val="center"/>
          </w:tcPr>
          <w:p w14:paraId="013DD779"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20</w:t>
            </w:r>
          </w:p>
        </w:tc>
        <w:tc>
          <w:tcPr>
            <w:tcW w:w="1002" w:type="dxa"/>
            <w:gridSpan w:val="2"/>
            <w:tcBorders>
              <w:top w:val="single" w:sz="4" w:space="0" w:color="auto"/>
            </w:tcBorders>
            <w:vAlign w:val="center"/>
          </w:tcPr>
          <w:p w14:paraId="3C7FEE56"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20</w:t>
            </w:r>
          </w:p>
        </w:tc>
        <w:tc>
          <w:tcPr>
            <w:tcW w:w="1007" w:type="dxa"/>
            <w:tcBorders>
              <w:top w:val="single" w:sz="4" w:space="0" w:color="auto"/>
            </w:tcBorders>
            <w:vAlign w:val="center"/>
          </w:tcPr>
          <w:p w14:paraId="12E7279F"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55</w:t>
            </w:r>
          </w:p>
        </w:tc>
        <w:tc>
          <w:tcPr>
            <w:tcW w:w="1008" w:type="dxa"/>
            <w:tcBorders>
              <w:top w:val="single" w:sz="4" w:space="0" w:color="auto"/>
            </w:tcBorders>
            <w:vAlign w:val="center"/>
          </w:tcPr>
          <w:p w14:paraId="48E7BD8D"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50</w:t>
            </w:r>
          </w:p>
        </w:tc>
      </w:tr>
      <w:tr w:rsidR="004671E1" w:rsidRPr="00C048A4" w14:paraId="39528489" w14:textId="77777777" w:rsidTr="00B4408D">
        <w:trPr>
          <w:trHeight w:val="454"/>
          <w:jc w:val="center"/>
        </w:trPr>
        <w:tc>
          <w:tcPr>
            <w:tcW w:w="1282" w:type="dxa"/>
            <w:gridSpan w:val="2"/>
            <w:noWrap/>
            <w:vAlign w:val="center"/>
            <w:hideMark/>
          </w:tcPr>
          <w:p w14:paraId="5A61FD42"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Non-identifier</w:t>
            </w:r>
          </w:p>
        </w:tc>
        <w:tc>
          <w:tcPr>
            <w:tcW w:w="1001" w:type="dxa"/>
            <w:gridSpan w:val="3"/>
            <w:noWrap/>
            <w:vAlign w:val="center"/>
          </w:tcPr>
          <w:p w14:paraId="7C3DAD68"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18</w:t>
            </w:r>
          </w:p>
        </w:tc>
        <w:tc>
          <w:tcPr>
            <w:tcW w:w="1002" w:type="dxa"/>
            <w:gridSpan w:val="2"/>
            <w:vAlign w:val="center"/>
          </w:tcPr>
          <w:p w14:paraId="65326637"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20</w:t>
            </w:r>
          </w:p>
        </w:tc>
        <w:tc>
          <w:tcPr>
            <w:tcW w:w="1003" w:type="dxa"/>
            <w:noWrap/>
            <w:vAlign w:val="center"/>
          </w:tcPr>
          <w:p w14:paraId="59883A80"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19</w:t>
            </w:r>
          </w:p>
        </w:tc>
        <w:tc>
          <w:tcPr>
            <w:tcW w:w="1002" w:type="dxa"/>
            <w:gridSpan w:val="2"/>
            <w:vAlign w:val="center"/>
          </w:tcPr>
          <w:p w14:paraId="5A391744"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22</w:t>
            </w:r>
          </w:p>
        </w:tc>
        <w:tc>
          <w:tcPr>
            <w:tcW w:w="1003" w:type="dxa"/>
            <w:gridSpan w:val="2"/>
            <w:noWrap/>
            <w:vAlign w:val="center"/>
          </w:tcPr>
          <w:p w14:paraId="5B3E7294"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16</w:t>
            </w:r>
          </w:p>
        </w:tc>
        <w:tc>
          <w:tcPr>
            <w:tcW w:w="1002" w:type="dxa"/>
            <w:gridSpan w:val="2"/>
            <w:vAlign w:val="center"/>
          </w:tcPr>
          <w:p w14:paraId="05BE80AB"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16</w:t>
            </w:r>
          </w:p>
        </w:tc>
        <w:tc>
          <w:tcPr>
            <w:tcW w:w="1007" w:type="dxa"/>
            <w:vAlign w:val="center"/>
          </w:tcPr>
          <w:p w14:paraId="785ADEFC"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53</w:t>
            </w:r>
          </w:p>
        </w:tc>
        <w:tc>
          <w:tcPr>
            <w:tcW w:w="1008" w:type="dxa"/>
            <w:vAlign w:val="center"/>
          </w:tcPr>
          <w:p w14:paraId="51295298"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58</w:t>
            </w:r>
          </w:p>
        </w:tc>
      </w:tr>
      <w:tr w:rsidR="004671E1" w:rsidRPr="00C048A4" w14:paraId="752AA713" w14:textId="77777777" w:rsidTr="00B4408D">
        <w:trPr>
          <w:trHeight w:val="454"/>
          <w:jc w:val="center"/>
        </w:trPr>
        <w:tc>
          <w:tcPr>
            <w:tcW w:w="1282" w:type="dxa"/>
            <w:gridSpan w:val="2"/>
            <w:tcBorders>
              <w:bottom w:val="single" w:sz="4" w:space="0" w:color="auto"/>
            </w:tcBorders>
            <w:noWrap/>
            <w:vAlign w:val="center"/>
          </w:tcPr>
          <w:p w14:paraId="2DB34427"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Total</w:t>
            </w:r>
          </w:p>
        </w:tc>
        <w:tc>
          <w:tcPr>
            <w:tcW w:w="1001" w:type="dxa"/>
            <w:gridSpan w:val="3"/>
            <w:tcBorders>
              <w:bottom w:val="single" w:sz="4" w:space="0" w:color="auto"/>
            </w:tcBorders>
            <w:noWrap/>
            <w:vAlign w:val="center"/>
          </w:tcPr>
          <w:p w14:paraId="514A517A"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36</w:t>
            </w:r>
          </w:p>
        </w:tc>
        <w:tc>
          <w:tcPr>
            <w:tcW w:w="1002" w:type="dxa"/>
            <w:gridSpan w:val="2"/>
            <w:tcBorders>
              <w:bottom w:val="single" w:sz="4" w:space="0" w:color="auto"/>
            </w:tcBorders>
            <w:vAlign w:val="center"/>
          </w:tcPr>
          <w:p w14:paraId="2B248FD6"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36</w:t>
            </w:r>
          </w:p>
        </w:tc>
        <w:tc>
          <w:tcPr>
            <w:tcW w:w="1003" w:type="dxa"/>
            <w:tcBorders>
              <w:bottom w:val="single" w:sz="4" w:space="0" w:color="auto"/>
            </w:tcBorders>
            <w:noWrap/>
            <w:vAlign w:val="center"/>
          </w:tcPr>
          <w:p w14:paraId="34AEC867"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36</w:t>
            </w:r>
          </w:p>
        </w:tc>
        <w:tc>
          <w:tcPr>
            <w:tcW w:w="1002" w:type="dxa"/>
            <w:gridSpan w:val="2"/>
            <w:tcBorders>
              <w:bottom w:val="single" w:sz="4" w:space="0" w:color="auto"/>
            </w:tcBorders>
            <w:vAlign w:val="center"/>
          </w:tcPr>
          <w:p w14:paraId="304AF215"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36</w:t>
            </w:r>
          </w:p>
        </w:tc>
        <w:tc>
          <w:tcPr>
            <w:tcW w:w="1003" w:type="dxa"/>
            <w:gridSpan w:val="2"/>
            <w:tcBorders>
              <w:bottom w:val="single" w:sz="4" w:space="0" w:color="auto"/>
            </w:tcBorders>
            <w:noWrap/>
            <w:vAlign w:val="center"/>
          </w:tcPr>
          <w:p w14:paraId="4635E13A"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36</w:t>
            </w:r>
          </w:p>
        </w:tc>
        <w:tc>
          <w:tcPr>
            <w:tcW w:w="1002" w:type="dxa"/>
            <w:gridSpan w:val="2"/>
            <w:tcBorders>
              <w:bottom w:val="single" w:sz="4" w:space="0" w:color="auto"/>
            </w:tcBorders>
            <w:vAlign w:val="center"/>
          </w:tcPr>
          <w:p w14:paraId="1C0E407E"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36</w:t>
            </w:r>
          </w:p>
        </w:tc>
        <w:tc>
          <w:tcPr>
            <w:tcW w:w="1007" w:type="dxa"/>
            <w:tcBorders>
              <w:bottom w:val="single" w:sz="4" w:space="0" w:color="auto"/>
            </w:tcBorders>
            <w:vAlign w:val="center"/>
          </w:tcPr>
          <w:p w14:paraId="69CCF41E"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108</w:t>
            </w:r>
          </w:p>
        </w:tc>
        <w:tc>
          <w:tcPr>
            <w:tcW w:w="1008" w:type="dxa"/>
            <w:tcBorders>
              <w:bottom w:val="single" w:sz="4" w:space="0" w:color="auto"/>
            </w:tcBorders>
            <w:vAlign w:val="center"/>
          </w:tcPr>
          <w:p w14:paraId="76BE14A3"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108</w:t>
            </w:r>
          </w:p>
        </w:tc>
      </w:tr>
    </w:tbl>
    <w:p w14:paraId="00587978" w14:textId="77777777" w:rsidR="004671E1" w:rsidRDefault="004671E1" w:rsidP="004671E1">
      <w:pPr>
        <w:rPr>
          <w:b/>
        </w:rPr>
      </w:pPr>
    </w:p>
    <w:p w14:paraId="5D38A3EB" w14:textId="77777777" w:rsidR="004671E1" w:rsidRDefault="004671E1" w:rsidP="004671E1">
      <w:r w:rsidRPr="00035271">
        <w:t xml:space="preserve">The relative frequency of identifiers to non-identifiers was not significantly different across the three conditions, </w:t>
      </w:r>
      <w:r w:rsidRPr="00D55970">
        <w:rPr>
          <w:i/>
        </w:rPr>
        <w:t>x</w:t>
      </w:r>
      <w:r w:rsidRPr="00D55970">
        <w:rPr>
          <w:i/>
          <w:vertAlign w:val="superscript"/>
        </w:rPr>
        <w:t>2</w:t>
      </w:r>
      <w:r w:rsidRPr="00035271">
        <w:t xml:space="preserve">(2) = 2.09, </w:t>
      </w:r>
      <w:r w:rsidRPr="00D55970">
        <w:rPr>
          <w:i/>
        </w:rPr>
        <w:t>p</w:t>
      </w:r>
      <w:r w:rsidRPr="00035271">
        <w:t xml:space="preserve"> = 0.352, Cramer’s V = 0.14.</w:t>
      </w:r>
    </w:p>
    <w:p w14:paraId="60F55878" w14:textId="77777777" w:rsidR="004671E1" w:rsidRDefault="004671E1" w:rsidP="004671E1">
      <w:pPr>
        <w:pStyle w:val="Heading4"/>
      </w:pPr>
      <w:r>
        <w:t>Number of early identifiers</w:t>
      </w:r>
    </w:p>
    <w:p w14:paraId="3F4FE39D" w14:textId="77777777" w:rsidR="004671E1" w:rsidRDefault="004671E1" w:rsidP="004671E1">
      <w:r w:rsidRPr="00035271">
        <w:t xml:space="preserve">Table </w:t>
      </w:r>
      <w:r>
        <w:t>6</w:t>
      </w:r>
      <w:r w:rsidRPr="00035271">
        <w:t xml:space="preserve"> displays the number of</w:t>
      </w:r>
      <w:r>
        <w:t xml:space="preserve"> early</w:t>
      </w:r>
      <w:r w:rsidRPr="00035271">
        <w:t xml:space="preserve"> identifiers and non-</w:t>
      </w:r>
      <w:r>
        <w:t xml:space="preserve">early </w:t>
      </w:r>
      <w:r w:rsidRPr="00035271">
        <w:t>identifiers using the new metric, compared to the o</w:t>
      </w:r>
      <w:r>
        <w:t>riginal</w:t>
      </w:r>
      <w:r w:rsidRPr="00035271">
        <w:t xml:space="preserve"> metric. </w:t>
      </w:r>
    </w:p>
    <w:p w14:paraId="76DBC6B6" w14:textId="77777777" w:rsidR="004671E1" w:rsidRDefault="004671E1" w:rsidP="004671E1">
      <w:pPr>
        <w:rPr>
          <w:b/>
        </w:rPr>
      </w:pPr>
    </w:p>
    <w:p w14:paraId="68633BA9" w14:textId="77777777" w:rsidR="004671E1" w:rsidRDefault="004671E1" w:rsidP="004671E1">
      <w:pPr>
        <w:rPr>
          <w:b/>
        </w:rPr>
      </w:pPr>
      <w:r w:rsidRPr="00D55970">
        <w:t>Table 6</w:t>
      </w:r>
      <w:r>
        <w:t>:</w:t>
      </w:r>
      <w:r>
        <w:rPr>
          <w:b/>
        </w:rPr>
        <w:t xml:space="preserve"> </w:t>
      </w:r>
      <w:r>
        <w:t>Number of early identifiers and non-early identifiers of a shortcut using the new metric and the original metric in each of the three conditions of Study 2.</w:t>
      </w:r>
    </w:p>
    <w:tbl>
      <w:tblPr>
        <w:tblW w:w="9310" w:type="dxa"/>
        <w:jc w:val="center"/>
        <w:tblLayout w:type="fixed"/>
        <w:tblCellMar>
          <w:top w:w="15" w:type="dxa"/>
          <w:bottom w:w="15" w:type="dxa"/>
        </w:tblCellMar>
        <w:tblLook w:val="04A0" w:firstRow="1" w:lastRow="0" w:firstColumn="1" w:lastColumn="0" w:noHBand="0" w:noVBand="1"/>
      </w:tblPr>
      <w:tblGrid>
        <w:gridCol w:w="1275"/>
        <w:gridCol w:w="7"/>
        <w:gridCol w:w="64"/>
        <w:gridCol w:w="917"/>
        <w:gridCol w:w="20"/>
        <w:gridCol w:w="974"/>
        <w:gridCol w:w="28"/>
        <w:gridCol w:w="1003"/>
        <w:gridCol w:w="954"/>
        <w:gridCol w:w="48"/>
        <w:gridCol w:w="799"/>
        <w:gridCol w:w="204"/>
        <w:gridCol w:w="933"/>
        <w:gridCol w:w="69"/>
        <w:gridCol w:w="1007"/>
        <w:gridCol w:w="1008"/>
      </w:tblGrid>
      <w:tr w:rsidR="004671E1" w:rsidRPr="00C048A4" w14:paraId="05B5811C" w14:textId="77777777" w:rsidTr="00B4408D">
        <w:trPr>
          <w:trHeight w:val="454"/>
          <w:jc w:val="center"/>
        </w:trPr>
        <w:tc>
          <w:tcPr>
            <w:tcW w:w="1346" w:type="dxa"/>
            <w:gridSpan w:val="3"/>
            <w:tcBorders>
              <w:top w:val="nil"/>
              <w:left w:val="nil"/>
              <w:bottom w:val="single" w:sz="4" w:space="0" w:color="auto"/>
              <w:right w:val="nil"/>
            </w:tcBorders>
            <w:noWrap/>
            <w:vAlign w:val="center"/>
            <w:hideMark/>
          </w:tcPr>
          <w:p w14:paraId="41F4B2DD"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917" w:type="dxa"/>
            <w:tcBorders>
              <w:top w:val="nil"/>
              <w:left w:val="nil"/>
              <w:bottom w:val="single" w:sz="4" w:space="0" w:color="auto"/>
              <w:right w:val="nil"/>
            </w:tcBorders>
            <w:vAlign w:val="center"/>
          </w:tcPr>
          <w:p w14:paraId="637E9469"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2025" w:type="dxa"/>
            <w:gridSpan w:val="4"/>
            <w:tcBorders>
              <w:top w:val="nil"/>
              <w:left w:val="nil"/>
              <w:bottom w:val="single" w:sz="4" w:space="0" w:color="auto"/>
              <w:right w:val="nil"/>
            </w:tcBorders>
            <w:vAlign w:val="center"/>
          </w:tcPr>
          <w:p w14:paraId="0A106EF8"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1801" w:type="dxa"/>
            <w:gridSpan w:val="3"/>
            <w:tcBorders>
              <w:top w:val="nil"/>
              <w:left w:val="nil"/>
              <w:bottom w:val="single" w:sz="4" w:space="0" w:color="auto"/>
              <w:right w:val="nil"/>
            </w:tcBorders>
            <w:noWrap/>
            <w:vAlign w:val="center"/>
            <w:hideMark/>
          </w:tcPr>
          <w:p w14:paraId="337DC602"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Condition</w:t>
            </w:r>
          </w:p>
        </w:tc>
        <w:tc>
          <w:tcPr>
            <w:tcW w:w="1137" w:type="dxa"/>
            <w:gridSpan w:val="2"/>
            <w:tcBorders>
              <w:top w:val="nil"/>
              <w:left w:val="nil"/>
              <w:bottom w:val="single" w:sz="4" w:space="0" w:color="auto"/>
              <w:right w:val="nil"/>
            </w:tcBorders>
            <w:vAlign w:val="center"/>
          </w:tcPr>
          <w:p w14:paraId="7B22111E"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1076" w:type="dxa"/>
            <w:gridSpan w:val="2"/>
            <w:tcBorders>
              <w:top w:val="nil"/>
              <w:left w:val="nil"/>
              <w:bottom w:val="single" w:sz="4" w:space="0" w:color="auto"/>
              <w:right w:val="nil"/>
            </w:tcBorders>
            <w:vAlign w:val="center"/>
          </w:tcPr>
          <w:p w14:paraId="64F7964B"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1008" w:type="dxa"/>
            <w:tcBorders>
              <w:top w:val="nil"/>
              <w:left w:val="nil"/>
              <w:bottom w:val="single" w:sz="4" w:space="0" w:color="auto"/>
              <w:right w:val="nil"/>
            </w:tcBorders>
            <w:vAlign w:val="center"/>
          </w:tcPr>
          <w:p w14:paraId="094DB8C1"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r>
      <w:tr w:rsidR="004671E1" w:rsidRPr="00C048A4" w14:paraId="3074C539" w14:textId="77777777" w:rsidTr="00B4408D">
        <w:trPr>
          <w:trHeight w:val="454"/>
          <w:jc w:val="center"/>
        </w:trPr>
        <w:tc>
          <w:tcPr>
            <w:tcW w:w="1275" w:type="dxa"/>
            <w:tcBorders>
              <w:top w:val="single" w:sz="4" w:space="0" w:color="auto"/>
            </w:tcBorders>
            <w:noWrap/>
            <w:vAlign w:val="center"/>
            <w:hideMark/>
          </w:tcPr>
          <w:p w14:paraId="1F26BD1B"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1982" w:type="dxa"/>
            <w:gridSpan w:val="5"/>
            <w:tcBorders>
              <w:top w:val="single" w:sz="4" w:space="0" w:color="auto"/>
            </w:tcBorders>
            <w:noWrap/>
            <w:vAlign w:val="center"/>
            <w:hideMark/>
          </w:tcPr>
          <w:p w14:paraId="2C31758C"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Left-prime</w:t>
            </w:r>
          </w:p>
        </w:tc>
        <w:tc>
          <w:tcPr>
            <w:tcW w:w="1985" w:type="dxa"/>
            <w:gridSpan w:val="3"/>
            <w:tcBorders>
              <w:top w:val="single" w:sz="4" w:space="0" w:color="auto"/>
            </w:tcBorders>
            <w:noWrap/>
            <w:vAlign w:val="center"/>
            <w:hideMark/>
          </w:tcPr>
          <w:p w14:paraId="0077534E"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Control</w:t>
            </w:r>
          </w:p>
        </w:tc>
        <w:tc>
          <w:tcPr>
            <w:tcW w:w="1984" w:type="dxa"/>
            <w:gridSpan w:val="4"/>
            <w:tcBorders>
              <w:top w:val="single" w:sz="4" w:space="0" w:color="auto"/>
            </w:tcBorders>
            <w:noWrap/>
            <w:vAlign w:val="center"/>
            <w:hideMark/>
          </w:tcPr>
          <w:p w14:paraId="7CC389D6"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Right-prime</w:t>
            </w:r>
          </w:p>
        </w:tc>
        <w:tc>
          <w:tcPr>
            <w:tcW w:w="2084" w:type="dxa"/>
            <w:gridSpan w:val="3"/>
            <w:tcBorders>
              <w:top w:val="single" w:sz="4" w:space="0" w:color="auto"/>
            </w:tcBorders>
            <w:vAlign w:val="center"/>
          </w:tcPr>
          <w:p w14:paraId="748BC0EA"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Total</w:t>
            </w:r>
          </w:p>
        </w:tc>
      </w:tr>
      <w:tr w:rsidR="004671E1" w:rsidRPr="00C048A4" w14:paraId="14F7877B" w14:textId="77777777" w:rsidTr="00B4408D">
        <w:trPr>
          <w:trHeight w:val="454"/>
          <w:jc w:val="center"/>
        </w:trPr>
        <w:tc>
          <w:tcPr>
            <w:tcW w:w="1282" w:type="dxa"/>
            <w:gridSpan w:val="2"/>
            <w:tcBorders>
              <w:bottom w:val="single" w:sz="4" w:space="0" w:color="auto"/>
            </w:tcBorders>
            <w:noWrap/>
            <w:vAlign w:val="center"/>
          </w:tcPr>
          <w:p w14:paraId="0ABEEB0F"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p>
        </w:tc>
        <w:tc>
          <w:tcPr>
            <w:tcW w:w="1001" w:type="dxa"/>
            <w:gridSpan w:val="3"/>
            <w:tcBorders>
              <w:bottom w:val="single" w:sz="4" w:space="0" w:color="auto"/>
            </w:tcBorders>
            <w:noWrap/>
            <w:vAlign w:val="center"/>
          </w:tcPr>
          <w:p w14:paraId="594C5FA3"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Original metric</w:t>
            </w:r>
          </w:p>
        </w:tc>
        <w:tc>
          <w:tcPr>
            <w:tcW w:w="1002" w:type="dxa"/>
            <w:gridSpan w:val="2"/>
            <w:tcBorders>
              <w:bottom w:val="single" w:sz="4" w:space="0" w:color="auto"/>
            </w:tcBorders>
            <w:vAlign w:val="center"/>
          </w:tcPr>
          <w:p w14:paraId="61FDCB1A"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New metric</w:t>
            </w:r>
          </w:p>
        </w:tc>
        <w:tc>
          <w:tcPr>
            <w:tcW w:w="1003" w:type="dxa"/>
            <w:tcBorders>
              <w:bottom w:val="single" w:sz="4" w:space="0" w:color="auto"/>
            </w:tcBorders>
            <w:noWrap/>
            <w:vAlign w:val="center"/>
          </w:tcPr>
          <w:p w14:paraId="60658AF2"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Original metric</w:t>
            </w:r>
          </w:p>
        </w:tc>
        <w:tc>
          <w:tcPr>
            <w:tcW w:w="1002" w:type="dxa"/>
            <w:gridSpan w:val="2"/>
            <w:tcBorders>
              <w:bottom w:val="single" w:sz="4" w:space="0" w:color="auto"/>
            </w:tcBorders>
            <w:vAlign w:val="center"/>
          </w:tcPr>
          <w:p w14:paraId="32905256"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New metric</w:t>
            </w:r>
          </w:p>
        </w:tc>
        <w:tc>
          <w:tcPr>
            <w:tcW w:w="1003" w:type="dxa"/>
            <w:gridSpan w:val="2"/>
            <w:tcBorders>
              <w:bottom w:val="single" w:sz="4" w:space="0" w:color="auto"/>
            </w:tcBorders>
            <w:noWrap/>
            <w:vAlign w:val="center"/>
          </w:tcPr>
          <w:p w14:paraId="65B380B6"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Original metric</w:t>
            </w:r>
          </w:p>
        </w:tc>
        <w:tc>
          <w:tcPr>
            <w:tcW w:w="1002" w:type="dxa"/>
            <w:gridSpan w:val="2"/>
            <w:tcBorders>
              <w:bottom w:val="single" w:sz="4" w:space="0" w:color="auto"/>
            </w:tcBorders>
            <w:vAlign w:val="center"/>
          </w:tcPr>
          <w:p w14:paraId="325DAD4B"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New metric</w:t>
            </w:r>
          </w:p>
        </w:tc>
        <w:tc>
          <w:tcPr>
            <w:tcW w:w="1007" w:type="dxa"/>
            <w:tcBorders>
              <w:bottom w:val="single" w:sz="4" w:space="0" w:color="auto"/>
            </w:tcBorders>
            <w:vAlign w:val="center"/>
          </w:tcPr>
          <w:p w14:paraId="4ECDF4A8"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Original metric</w:t>
            </w:r>
          </w:p>
        </w:tc>
        <w:tc>
          <w:tcPr>
            <w:tcW w:w="1008" w:type="dxa"/>
            <w:tcBorders>
              <w:bottom w:val="single" w:sz="4" w:space="0" w:color="auto"/>
            </w:tcBorders>
            <w:vAlign w:val="center"/>
          </w:tcPr>
          <w:p w14:paraId="4E2FA5C6"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New metric</w:t>
            </w:r>
          </w:p>
        </w:tc>
      </w:tr>
      <w:tr w:rsidR="004671E1" w:rsidRPr="00C048A4" w14:paraId="59928901" w14:textId="77777777" w:rsidTr="00B4408D">
        <w:trPr>
          <w:trHeight w:val="454"/>
          <w:jc w:val="center"/>
        </w:trPr>
        <w:tc>
          <w:tcPr>
            <w:tcW w:w="1282" w:type="dxa"/>
            <w:gridSpan w:val="2"/>
            <w:tcBorders>
              <w:top w:val="single" w:sz="4" w:space="0" w:color="auto"/>
            </w:tcBorders>
            <w:noWrap/>
            <w:vAlign w:val="center"/>
            <w:hideMark/>
          </w:tcPr>
          <w:p w14:paraId="77153865"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Early i</w:t>
            </w:r>
            <w:r w:rsidRPr="00C048A4">
              <w:rPr>
                <w:rFonts w:eastAsia="Times New Roman" w:cs="Times New Roman"/>
                <w:color w:val="000000" w:themeColor="text1"/>
                <w:lang w:eastAsia="en-GB"/>
              </w:rPr>
              <w:t>dentifier</w:t>
            </w:r>
          </w:p>
        </w:tc>
        <w:tc>
          <w:tcPr>
            <w:tcW w:w="1001" w:type="dxa"/>
            <w:gridSpan w:val="3"/>
            <w:tcBorders>
              <w:top w:val="single" w:sz="4" w:space="0" w:color="auto"/>
            </w:tcBorders>
            <w:noWrap/>
            <w:vAlign w:val="center"/>
          </w:tcPr>
          <w:p w14:paraId="04217C2C"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w:t>
            </w:r>
          </w:p>
        </w:tc>
        <w:tc>
          <w:tcPr>
            <w:tcW w:w="1002" w:type="dxa"/>
            <w:gridSpan w:val="2"/>
            <w:tcBorders>
              <w:top w:val="single" w:sz="4" w:space="0" w:color="auto"/>
            </w:tcBorders>
            <w:vAlign w:val="center"/>
          </w:tcPr>
          <w:p w14:paraId="13A552AB"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2</w:t>
            </w:r>
          </w:p>
        </w:tc>
        <w:tc>
          <w:tcPr>
            <w:tcW w:w="1003" w:type="dxa"/>
            <w:tcBorders>
              <w:top w:val="single" w:sz="4" w:space="0" w:color="auto"/>
            </w:tcBorders>
            <w:noWrap/>
            <w:vAlign w:val="center"/>
          </w:tcPr>
          <w:p w14:paraId="486123D1"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5</w:t>
            </w:r>
          </w:p>
        </w:tc>
        <w:tc>
          <w:tcPr>
            <w:tcW w:w="1002" w:type="dxa"/>
            <w:gridSpan w:val="2"/>
            <w:tcBorders>
              <w:top w:val="single" w:sz="4" w:space="0" w:color="auto"/>
            </w:tcBorders>
            <w:vAlign w:val="center"/>
          </w:tcPr>
          <w:p w14:paraId="51A7DD85"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4</w:t>
            </w:r>
          </w:p>
        </w:tc>
        <w:tc>
          <w:tcPr>
            <w:tcW w:w="1003" w:type="dxa"/>
            <w:gridSpan w:val="2"/>
            <w:tcBorders>
              <w:top w:val="single" w:sz="4" w:space="0" w:color="auto"/>
            </w:tcBorders>
            <w:noWrap/>
            <w:vAlign w:val="center"/>
          </w:tcPr>
          <w:p w14:paraId="2FEA13EE"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5</w:t>
            </w:r>
          </w:p>
        </w:tc>
        <w:tc>
          <w:tcPr>
            <w:tcW w:w="1002" w:type="dxa"/>
            <w:gridSpan w:val="2"/>
            <w:tcBorders>
              <w:top w:val="single" w:sz="4" w:space="0" w:color="auto"/>
            </w:tcBorders>
            <w:vAlign w:val="center"/>
          </w:tcPr>
          <w:p w14:paraId="420B586B"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4</w:t>
            </w:r>
          </w:p>
        </w:tc>
        <w:tc>
          <w:tcPr>
            <w:tcW w:w="1007" w:type="dxa"/>
            <w:tcBorders>
              <w:top w:val="single" w:sz="4" w:space="0" w:color="auto"/>
            </w:tcBorders>
            <w:vAlign w:val="center"/>
          </w:tcPr>
          <w:p w14:paraId="484BDB3C"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13</w:t>
            </w:r>
          </w:p>
        </w:tc>
        <w:tc>
          <w:tcPr>
            <w:tcW w:w="1008" w:type="dxa"/>
            <w:tcBorders>
              <w:top w:val="single" w:sz="4" w:space="0" w:color="auto"/>
            </w:tcBorders>
            <w:vAlign w:val="center"/>
          </w:tcPr>
          <w:p w14:paraId="212668E3"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10</w:t>
            </w:r>
          </w:p>
        </w:tc>
      </w:tr>
      <w:tr w:rsidR="004671E1" w:rsidRPr="00C048A4" w14:paraId="6E88996D" w14:textId="77777777" w:rsidTr="00B4408D">
        <w:trPr>
          <w:trHeight w:val="454"/>
          <w:jc w:val="center"/>
        </w:trPr>
        <w:tc>
          <w:tcPr>
            <w:tcW w:w="1282" w:type="dxa"/>
            <w:gridSpan w:val="2"/>
            <w:noWrap/>
            <w:vAlign w:val="center"/>
            <w:hideMark/>
          </w:tcPr>
          <w:p w14:paraId="659EE292"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Non</w:t>
            </w:r>
            <w:r>
              <w:rPr>
                <w:rFonts w:eastAsia="Times New Roman" w:cs="Times New Roman"/>
                <w:color w:val="000000" w:themeColor="text1"/>
                <w:lang w:eastAsia="en-GB"/>
              </w:rPr>
              <w:t xml:space="preserve"> early-</w:t>
            </w:r>
            <w:r w:rsidRPr="00C048A4">
              <w:rPr>
                <w:rFonts w:eastAsia="Times New Roman" w:cs="Times New Roman"/>
                <w:color w:val="000000" w:themeColor="text1"/>
                <w:lang w:eastAsia="en-GB"/>
              </w:rPr>
              <w:t>identifier</w:t>
            </w:r>
          </w:p>
        </w:tc>
        <w:tc>
          <w:tcPr>
            <w:tcW w:w="1001" w:type="dxa"/>
            <w:gridSpan w:val="3"/>
            <w:noWrap/>
            <w:vAlign w:val="center"/>
          </w:tcPr>
          <w:p w14:paraId="1B66FADF"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33</w:t>
            </w:r>
          </w:p>
        </w:tc>
        <w:tc>
          <w:tcPr>
            <w:tcW w:w="1002" w:type="dxa"/>
            <w:gridSpan w:val="2"/>
            <w:vAlign w:val="center"/>
          </w:tcPr>
          <w:p w14:paraId="58B2EBD7"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34</w:t>
            </w:r>
          </w:p>
        </w:tc>
        <w:tc>
          <w:tcPr>
            <w:tcW w:w="1003" w:type="dxa"/>
            <w:noWrap/>
            <w:vAlign w:val="center"/>
          </w:tcPr>
          <w:p w14:paraId="630E8519"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31</w:t>
            </w:r>
          </w:p>
        </w:tc>
        <w:tc>
          <w:tcPr>
            <w:tcW w:w="1002" w:type="dxa"/>
            <w:gridSpan w:val="2"/>
            <w:vAlign w:val="center"/>
          </w:tcPr>
          <w:p w14:paraId="3F1502CC"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32</w:t>
            </w:r>
          </w:p>
        </w:tc>
        <w:tc>
          <w:tcPr>
            <w:tcW w:w="1003" w:type="dxa"/>
            <w:gridSpan w:val="2"/>
            <w:noWrap/>
            <w:vAlign w:val="center"/>
          </w:tcPr>
          <w:p w14:paraId="24192979"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31</w:t>
            </w:r>
          </w:p>
        </w:tc>
        <w:tc>
          <w:tcPr>
            <w:tcW w:w="1002" w:type="dxa"/>
            <w:gridSpan w:val="2"/>
            <w:vAlign w:val="center"/>
          </w:tcPr>
          <w:p w14:paraId="7458C6DE"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32</w:t>
            </w:r>
          </w:p>
        </w:tc>
        <w:tc>
          <w:tcPr>
            <w:tcW w:w="1007" w:type="dxa"/>
            <w:vAlign w:val="center"/>
          </w:tcPr>
          <w:p w14:paraId="0CD23088"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95</w:t>
            </w:r>
          </w:p>
        </w:tc>
        <w:tc>
          <w:tcPr>
            <w:tcW w:w="1008" w:type="dxa"/>
            <w:vAlign w:val="center"/>
          </w:tcPr>
          <w:p w14:paraId="769C8AE0"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98</w:t>
            </w:r>
          </w:p>
        </w:tc>
      </w:tr>
      <w:tr w:rsidR="004671E1" w:rsidRPr="00C048A4" w14:paraId="501EAD39" w14:textId="77777777" w:rsidTr="00B4408D">
        <w:trPr>
          <w:trHeight w:val="454"/>
          <w:jc w:val="center"/>
        </w:trPr>
        <w:tc>
          <w:tcPr>
            <w:tcW w:w="1282" w:type="dxa"/>
            <w:gridSpan w:val="2"/>
            <w:tcBorders>
              <w:bottom w:val="single" w:sz="4" w:space="0" w:color="auto"/>
            </w:tcBorders>
            <w:noWrap/>
            <w:vAlign w:val="center"/>
          </w:tcPr>
          <w:p w14:paraId="0972D3BA"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Total</w:t>
            </w:r>
          </w:p>
        </w:tc>
        <w:tc>
          <w:tcPr>
            <w:tcW w:w="1001" w:type="dxa"/>
            <w:gridSpan w:val="3"/>
            <w:tcBorders>
              <w:bottom w:val="single" w:sz="4" w:space="0" w:color="auto"/>
            </w:tcBorders>
            <w:noWrap/>
            <w:vAlign w:val="center"/>
          </w:tcPr>
          <w:p w14:paraId="1531340E"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36</w:t>
            </w:r>
          </w:p>
        </w:tc>
        <w:tc>
          <w:tcPr>
            <w:tcW w:w="1002" w:type="dxa"/>
            <w:gridSpan w:val="2"/>
            <w:tcBorders>
              <w:bottom w:val="single" w:sz="4" w:space="0" w:color="auto"/>
            </w:tcBorders>
            <w:vAlign w:val="center"/>
          </w:tcPr>
          <w:p w14:paraId="1BA6BA61"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36</w:t>
            </w:r>
          </w:p>
        </w:tc>
        <w:tc>
          <w:tcPr>
            <w:tcW w:w="1003" w:type="dxa"/>
            <w:tcBorders>
              <w:bottom w:val="single" w:sz="4" w:space="0" w:color="auto"/>
            </w:tcBorders>
            <w:noWrap/>
            <w:vAlign w:val="center"/>
          </w:tcPr>
          <w:p w14:paraId="6648E50A"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36</w:t>
            </w:r>
          </w:p>
        </w:tc>
        <w:tc>
          <w:tcPr>
            <w:tcW w:w="1002" w:type="dxa"/>
            <w:gridSpan w:val="2"/>
            <w:tcBorders>
              <w:bottom w:val="single" w:sz="4" w:space="0" w:color="auto"/>
            </w:tcBorders>
            <w:vAlign w:val="center"/>
          </w:tcPr>
          <w:p w14:paraId="1587AD9E"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36</w:t>
            </w:r>
          </w:p>
        </w:tc>
        <w:tc>
          <w:tcPr>
            <w:tcW w:w="1003" w:type="dxa"/>
            <w:gridSpan w:val="2"/>
            <w:tcBorders>
              <w:bottom w:val="single" w:sz="4" w:space="0" w:color="auto"/>
            </w:tcBorders>
            <w:noWrap/>
            <w:vAlign w:val="center"/>
          </w:tcPr>
          <w:p w14:paraId="111C38FA"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36</w:t>
            </w:r>
          </w:p>
        </w:tc>
        <w:tc>
          <w:tcPr>
            <w:tcW w:w="1002" w:type="dxa"/>
            <w:gridSpan w:val="2"/>
            <w:tcBorders>
              <w:bottom w:val="single" w:sz="4" w:space="0" w:color="auto"/>
            </w:tcBorders>
            <w:vAlign w:val="center"/>
          </w:tcPr>
          <w:p w14:paraId="02C2999A"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36</w:t>
            </w:r>
          </w:p>
        </w:tc>
        <w:tc>
          <w:tcPr>
            <w:tcW w:w="1007" w:type="dxa"/>
            <w:tcBorders>
              <w:bottom w:val="single" w:sz="4" w:space="0" w:color="auto"/>
            </w:tcBorders>
            <w:vAlign w:val="center"/>
          </w:tcPr>
          <w:p w14:paraId="7E8B670F"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108</w:t>
            </w:r>
          </w:p>
        </w:tc>
        <w:tc>
          <w:tcPr>
            <w:tcW w:w="1008" w:type="dxa"/>
            <w:tcBorders>
              <w:bottom w:val="single" w:sz="4" w:space="0" w:color="auto"/>
            </w:tcBorders>
            <w:vAlign w:val="center"/>
          </w:tcPr>
          <w:p w14:paraId="44FD9A8B" w14:textId="77777777" w:rsidR="004671E1" w:rsidRPr="00C048A4" w:rsidRDefault="004671E1" w:rsidP="00B4408D">
            <w:pPr>
              <w:spacing w:afterLines="20" w:after="48"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108</w:t>
            </w:r>
          </w:p>
        </w:tc>
      </w:tr>
    </w:tbl>
    <w:p w14:paraId="43E83EAC" w14:textId="77777777" w:rsidR="004671E1" w:rsidRDefault="004671E1" w:rsidP="004671E1">
      <w:pPr>
        <w:rPr>
          <w:b/>
        </w:rPr>
      </w:pPr>
      <w:r w:rsidRPr="00035271">
        <w:lastRenderedPageBreak/>
        <w:t xml:space="preserve">The relative frequency of </w:t>
      </w:r>
      <w:r>
        <w:t xml:space="preserve">early identifiers to non-early </w:t>
      </w:r>
      <w:r w:rsidRPr="00035271">
        <w:t xml:space="preserve">identifiers was not significantly different across the three conditions, </w:t>
      </w:r>
      <w:r w:rsidRPr="00D55970">
        <w:rPr>
          <w:i/>
        </w:rPr>
        <w:t>x</w:t>
      </w:r>
      <w:r w:rsidRPr="00D55970">
        <w:rPr>
          <w:i/>
          <w:vertAlign w:val="superscript"/>
        </w:rPr>
        <w:t>2</w:t>
      </w:r>
      <w:r w:rsidRPr="00035271">
        <w:t xml:space="preserve">(2) = 0.882, </w:t>
      </w:r>
      <w:r w:rsidRPr="00D55970">
        <w:rPr>
          <w:i/>
        </w:rPr>
        <w:t>p</w:t>
      </w:r>
      <w:r w:rsidRPr="00035271">
        <w:t xml:space="preserve"> = 0.644, Cramer’s V = 0.09.</w:t>
      </w:r>
    </w:p>
    <w:p w14:paraId="3FB91397" w14:textId="77777777" w:rsidR="004671E1" w:rsidRDefault="004671E1" w:rsidP="004671E1">
      <w:pPr>
        <w:pStyle w:val="Heading4"/>
      </w:pPr>
      <w:r>
        <w:t>Percent of conducive trials after the identification point</w:t>
      </w:r>
    </w:p>
    <w:p w14:paraId="3A317028" w14:textId="77777777" w:rsidR="004671E1" w:rsidRDefault="004671E1" w:rsidP="004671E1">
      <w:pPr>
        <w:rPr>
          <w:color w:val="000000" w:themeColor="text1"/>
          <w:lang w:val="en-US"/>
        </w:rPr>
      </w:pPr>
      <w:r w:rsidRPr="00EF0790">
        <w:rPr>
          <w:color w:val="000000" w:themeColor="text1"/>
          <w:lang w:val="en-US"/>
        </w:rPr>
        <w:t xml:space="preserve">The new metric changed the trial number of identification for </w:t>
      </w:r>
      <w:r>
        <w:rPr>
          <w:color w:val="000000" w:themeColor="text1"/>
          <w:lang w:val="en-US"/>
        </w:rPr>
        <w:t>31</w:t>
      </w:r>
      <w:r w:rsidRPr="00EF0790">
        <w:rPr>
          <w:color w:val="000000" w:themeColor="text1"/>
          <w:lang w:val="en-US"/>
        </w:rPr>
        <w:t xml:space="preserve"> of the </w:t>
      </w:r>
      <w:r>
        <w:rPr>
          <w:color w:val="000000" w:themeColor="text1"/>
          <w:lang w:val="en-US"/>
        </w:rPr>
        <w:t>50</w:t>
      </w:r>
      <w:r w:rsidRPr="00EF0790">
        <w:rPr>
          <w:color w:val="000000" w:themeColor="text1"/>
          <w:lang w:val="en-US"/>
        </w:rPr>
        <w:t xml:space="preserve"> identifiers. For 2</w:t>
      </w:r>
      <w:r>
        <w:rPr>
          <w:color w:val="000000" w:themeColor="text1"/>
          <w:lang w:val="en-US"/>
        </w:rPr>
        <w:t>3</w:t>
      </w:r>
      <w:r w:rsidRPr="00EF0790">
        <w:rPr>
          <w:color w:val="000000" w:themeColor="text1"/>
          <w:lang w:val="en-US"/>
        </w:rPr>
        <w:t xml:space="preserve"> of these individuals, the new metric made their trial number later than their trial number according to the original metric. The mean difference in the trial number of identification between the new and original metric was ±3.</w:t>
      </w:r>
      <w:r>
        <w:rPr>
          <w:color w:val="000000" w:themeColor="text1"/>
          <w:lang w:val="en-US"/>
        </w:rPr>
        <w:t>90</w:t>
      </w:r>
      <w:r w:rsidRPr="00EF0790">
        <w:rPr>
          <w:color w:val="000000" w:themeColor="text1"/>
          <w:lang w:val="en-US"/>
        </w:rPr>
        <w:t xml:space="preserve"> (SD = </w:t>
      </w:r>
      <w:r>
        <w:rPr>
          <w:color w:val="000000" w:themeColor="text1"/>
          <w:lang w:val="en-US"/>
        </w:rPr>
        <w:t>3.39</w:t>
      </w:r>
      <w:r w:rsidRPr="00EF0790">
        <w:rPr>
          <w:color w:val="000000" w:themeColor="text1"/>
          <w:lang w:val="en-US"/>
        </w:rPr>
        <w:t xml:space="preserve">, range = 1 – </w:t>
      </w:r>
      <w:r>
        <w:rPr>
          <w:color w:val="000000" w:themeColor="text1"/>
          <w:lang w:val="en-US"/>
        </w:rPr>
        <w:t>11</w:t>
      </w:r>
      <w:r w:rsidRPr="00EF0790">
        <w:rPr>
          <w:color w:val="000000" w:themeColor="text1"/>
          <w:lang w:val="en-US"/>
        </w:rPr>
        <w:t>).</w:t>
      </w:r>
      <w:r>
        <w:rPr>
          <w:color w:val="000000" w:themeColor="text1"/>
          <w:lang w:val="en-US"/>
        </w:rPr>
        <w:t xml:space="preserve"> </w:t>
      </w:r>
    </w:p>
    <w:p w14:paraId="15A88261" w14:textId="3ED8D7C4" w:rsidR="004671E1" w:rsidRDefault="004671E1" w:rsidP="004671E1">
      <w:pPr>
        <w:rPr>
          <w:color w:val="000000" w:themeColor="text1"/>
          <w:lang w:val="en-US"/>
        </w:rPr>
      </w:pPr>
      <w:r>
        <w:rPr>
          <w:color w:val="000000" w:themeColor="text1"/>
          <w:lang w:val="en-US"/>
        </w:rPr>
        <w:t>As detailed in our manuscript</w:t>
      </w:r>
      <w:r w:rsidR="00624B80">
        <w:rPr>
          <w:color w:val="000000" w:themeColor="text1"/>
          <w:lang w:val="en-US"/>
        </w:rPr>
        <w:t xml:space="preserve">, </w:t>
      </w:r>
      <w:r>
        <w:rPr>
          <w:color w:val="000000" w:themeColor="text1"/>
          <w:lang w:val="en-US"/>
        </w:rPr>
        <w:t>the trial number of identification was converted into the percent of trials remaining after the identification point. Table 7 compares the percent of conducive trials after identification point using the original and new metric.</w:t>
      </w:r>
    </w:p>
    <w:p w14:paraId="7C9E8087" w14:textId="77777777" w:rsidR="004671E1" w:rsidRDefault="004671E1" w:rsidP="004671E1">
      <w:pPr>
        <w:rPr>
          <w:color w:val="000000" w:themeColor="text1"/>
        </w:rPr>
      </w:pPr>
    </w:p>
    <w:p w14:paraId="67B5AB35" w14:textId="77777777" w:rsidR="004671E1" w:rsidRDefault="004671E1" w:rsidP="004671E1">
      <w:pPr>
        <w:rPr>
          <w:color w:val="000000" w:themeColor="text1"/>
          <w:lang w:val="en-US"/>
        </w:rPr>
      </w:pPr>
      <w:r>
        <w:rPr>
          <w:color w:val="000000" w:themeColor="text1"/>
          <w:lang w:val="en-US"/>
        </w:rPr>
        <w:t>Table 7: Mean (SD) trial number of identification using the new metric and original metric in each of the three conditions of Study 1.</w:t>
      </w:r>
    </w:p>
    <w:tbl>
      <w:tblPr>
        <w:tblW w:w="9026" w:type="dxa"/>
        <w:jc w:val="center"/>
        <w:tblLayout w:type="fixed"/>
        <w:tblCellMar>
          <w:top w:w="15" w:type="dxa"/>
          <w:bottom w:w="15" w:type="dxa"/>
        </w:tblCellMar>
        <w:tblLook w:val="04A0" w:firstRow="1" w:lastRow="0" w:firstColumn="1" w:lastColumn="0" w:noHBand="0" w:noVBand="1"/>
      </w:tblPr>
      <w:tblGrid>
        <w:gridCol w:w="1289"/>
        <w:gridCol w:w="129"/>
        <w:gridCol w:w="1160"/>
        <w:gridCol w:w="1290"/>
        <w:gridCol w:w="1289"/>
        <w:gridCol w:w="1290"/>
        <w:gridCol w:w="1289"/>
        <w:gridCol w:w="1290"/>
      </w:tblGrid>
      <w:tr w:rsidR="004671E1" w:rsidRPr="00C048A4" w14:paraId="4C6B7A54" w14:textId="77777777" w:rsidTr="00B4408D">
        <w:trPr>
          <w:trHeight w:val="454"/>
          <w:jc w:val="center"/>
        </w:trPr>
        <w:tc>
          <w:tcPr>
            <w:tcW w:w="1418" w:type="dxa"/>
            <w:gridSpan w:val="2"/>
            <w:tcBorders>
              <w:top w:val="nil"/>
              <w:left w:val="nil"/>
              <w:bottom w:val="single" w:sz="4" w:space="0" w:color="auto"/>
              <w:right w:val="nil"/>
            </w:tcBorders>
            <w:noWrap/>
            <w:vAlign w:val="bottom"/>
            <w:hideMark/>
          </w:tcPr>
          <w:p w14:paraId="3F760D4F" w14:textId="77777777" w:rsidR="004671E1" w:rsidRPr="00C048A4" w:rsidRDefault="004671E1" w:rsidP="00B4408D">
            <w:pPr>
              <w:spacing w:after="0" w:line="240" w:lineRule="auto"/>
              <w:jc w:val="center"/>
              <w:rPr>
                <w:rFonts w:eastAsia="Times New Roman" w:cs="Times New Roman"/>
                <w:color w:val="000000" w:themeColor="text1"/>
                <w:lang w:eastAsia="en-GB"/>
              </w:rPr>
            </w:pPr>
          </w:p>
        </w:tc>
        <w:tc>
          <w:tcPr>
            <w:tcW w:w="7608" w:type="dxa"/>
            <w:gridSpan w:val="6"/>
            <w:tcBorders>
              <w:top w:val="nil"/>
              <w:left w:val="nil"/>
              <w:bottom w:val="single" w:sz="4" w:space="0" w:color="auto"/>
              <w:right w:val="nil"/>
            </w:tcBorders>
          </w:tcPr>
          <w:p w14:paraId="2EE96F9C" w14:textId="77777777" w:rsidR="004671E1" w:rsidRPr="00C048A4" w:rsidRDefault="004671E1" w:rsidP="00B4408D">
            <w:pPr>
              <w:spacing w:after="0"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Condition</w:t>
            </w:r>
          </w:p>
        </w:tc>
      </w:tr>
      <w:tr w:rsidR="004671E1" w:rsidRPr="00C048A4" w14:paraId="24A1433C" w14:textId="77777777" w:rsidTr="00B4408D">
        <w:trPr>
          <w:trHeight w:val="454"/>
          <w:jc w:val="center"/>
        </w:trPr>
        <w:tc>
          <w:tcPr>
            <w:tcW w:w="1289" w:type="dxa"/>
            <w:tcBorders>
              <w:top w:val="single" w:sz="4" w:space="0" w:color="auto"/>
            </w:tcBorders>
            <w:noWrap/>
            <w:vAlign w:val="center"/>
            <w:hideMark/>
          </w:tcPr>
          <w:p w14:paraId="5240CD5E" w14:textId="77777777" w:rsidR="004671E1" w:rsidRPr="00C048A4" w:rsidRDefault="004671E1" w:rsidP="00B4408D">
            <w:pPr>
              <w:spacing w:after="0" w:line="240" w:lineRule="auto"/>
              <w:jc w:val="center"/>
              <w:rPr>
                <w:rFonts w:eastAsia="Times New Roman" w:cs="Times New Roman"/>
                <w:color w:val="000000" w:themeColor="text1"/>
                <w:lang w:eastAsia="en-GB"/>
              </w:rPr>
            </w:pPr>
          </w:p>
        </w:tc>
        <w:tc>
          <w:tcPr>
            <w:tcW w:w="2579" w:type="dxa"/>
            <w:gridSpan w:val="3"/>
            <w:tcBorders>
              <w:top w:val="single" w:sz="4" w:space="0" w:color="auto"/>
            </w:tcBorders>
            <w:noWrap/>
            <w:vAlign w:val="center"/>
            <w:hideMark/>
          </w:tcPr>
          <w:p w14:paraId="1B137BB9" w14:textId="77777777" w:rsidR="004671E1" w:rsidRDefault="004671E1" w:rsidP="00B4408D">
            <w:pPr>
              <w:spacing w:after="0"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Left-prime</w:t>
            </w:r>
          </w:p>
        </w:tc>
        <w:tc>
          <w:tcPr>
            <w:tcW w:w="2579" w:type="dxa"/>
            <w:gridSpan w:val="2"/>
            <w:tcBorders>
              <w:top w:val="single" w:sz="4" w:space="0" w:color="auto"/>
            </w:tcBorders>
            <w:noWrap/>
            <w:vAlign w:val="center"/>
            <w:hideMark/>
          </w:tcPr>
          <w:p w14:paraId="557E2340" w14:textId="77777777" w:rsidR="004671E1" w:rsidRPr="00C048A4"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Control</w:t>
            </w:r>
          </w:p>
        </w:tc>
        <w:tc>
          <w:tcPr>
            <w:tcW w:w="2579" w:type="dxa"/>
            <w:gridSpan w:val="2"/>
            <w:tcBorders>
              <w:top w:val="single" w:sz="4" w:space="0" w:color="auto"/>
            </w:tcBorders>
            <w:noWrap/>
            <w:vAlign w:val="center"/>
            <w:hideMark/>
          </w:tcPr>
          <w:p w14:paraId="631B2D2F" w14:textId="77777777" w:rsidR="004671E1" w:rsidRPr="00C048A4" w:rsidRDefault="004671E1" w:rsidP="00B4408D">
            <w:pPr>
              <w:spacing w:after="0" w:line="240" w:lineRule="auto"/>
              <w:jc w:val="center"/>
              <w:rPr>
                <w:rFonts w:eastAsia="Times New Roman" w:cs="Times New Roman"/>
                <w:color w:val="000000" w:themeColor="text1"/>
                <w:lang w:eastAsia="en-GB"/>
              </w:rPr>
            </w:pPr>
            <w:r w:rsidRPr="00C048A4">
              <w:rPr>
                <w:rFonts w:eastAsia="Times New Roman" w:cs="Times New Roman"/>
                <w:color w:val="000000" w:themeColor="text1"/>
                <w:lang w:eastAsia="en-GB"/>
              </w:rPr>
              <w:t>Right-prime</w:t>
            </w:r>
          </w:p>
        </w:tc>
      </w:tr>
      <w:tr w:rsidR="004671E1" w:rsidRPr="00C048A4" w14:paraId="2BBB07E2" w14:textId="77777777" w:rsidTr="00B4408D">
        <w:trPr>
          <w:trHeight w:val="454"/>
          <w:jc w:val="center"/>
        </w:trPr>
        <w:tc>
          <w:tcPr>
            <w:tcW w:w="1289" w:type="dxa"/>
            <w:tcBorders>
              <w:bottom w:val="single" w:sz="4" w:space="0" w:color="auto"/>
            </w:tcBorders>
            <w:noWrap/>
            <w:vAlign w:val="center"/>
          </w:tcPr>
          <w:p w14:paraId="599D227F" w14:textId="77777777" w:rsidR="004671E1" w:rsidRPr="00C048A4" w:rsidRDefault="004671E1" w:rsidP="00B4408D">
            <w:pPr>
              <w:spacing w:after="0" w:line="240" w:lineRule="auto"/>
              <w:jc w:val="center"/>
              <w:rPr>
                <w:rFonts w:eastAsia="Times New Roman" w:cs="Times New Roman"/>
                <w:color w:val="000000" w:themeColor="text1"/>
                <w:lang w:eastAsia="en-GB"/>
              </w:rPr>
            </w:pPr>
          </w:p>
        </w:tc>
        <w:tc>
          <w:tcPr>
            <w:tcW w:w="1289" w:type="dxa"/>
            <w:gridSpan w:val="2"/>
            <w:tcBorders>
              <w:bottom w:val="single" w:sz="4" w:space="0" w:color="auto"/>
            </w:tcBorders>
            <w:noWrap/>
            <w:vAlign w:val="center"/>
          </w:tcPr>
          <w:p w14:paraId="7C4149D6" w14:textId="77777777" w:rsidR="004671E1" w:rsidRPr="00C048A4"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Original metric</w:t>
            </w:r>
          </w:p>
        </w:tc>
        <w:tc>
          <w:tcPr>
            <w:tcW w:w="1290" w:type="dxa"/>
            <w:tcBorders>
              <w:bottom w:val="single" w:sz="4" w:space="0" w:color="auto"/>
            </w:tcBorders>
            <w:vAlign w:val="center"/>
          </w:tcPr>
          <w:p w14:paraId="6FBA7F90" w14:textId="77777777" w:rsidR="004671E1"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New metric</w:t>
            </w:r>
          </w:p>
        </w:tc>
        <w:tc>
          <w:tcPr>
            <w:tcW w:w="1289" w:type="dxa"/>
            <w:tcBorders>
              <w:bottom w:val="single" w:sz="4" w:space="0" w:color="auto"/>
            </w:tcBorders>
            <w:noWrap/>
            <w:vAlign w:val="center"/>
          </w:tcPr>
          <w:p w14:paraId="60BCBC02" w14:textId="77777777" w:rsidR="004671E1"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Original metric</w:t>
            </w:r>
          </w:p>
        </w:tc>
        <w:tc>
          <w:tcPr>
            <w:tcW w:w="1290" w:type="dxa"/>
            <w:tcBorders>
              <w:bottom w:val="single" w:sz="4" w:space="0" w:color="auto"/>
            </w:tcBorders>
            <w:vAlign w:val="center"/>
          </w:tcPr>
          <w:p w14:paraId="43858CF1" w14:textId="77777777" w:rsidR="004671E1" w:rsidRPr="00C048A4"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New metric</w:t>
            </w:r>
          </w:p>
        </w:tc>
        <w:tc>
          <w:tcPr>
            <w:tcW w:w="1289" w:type="dxa"/>
            <w:tcBorders>
              <w:bottom w:val="single" w:sz="4" w:space="0" w:color="auto"/>
            </w:tcBorders>
            <w:noWrap/>
            <w:vAlign w:val="center"/>
          </w:tcPr>
          <w:p w14:paraId="757CC8D2" w14:textId="77777777" w:rsidR="004671E1" w:rsidRPr="00C048A4"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Original metric</w:t>
            </w:r>
          </w:p>
        </w:tc>
        <w:tc>
          <w:tcPr>
            <w:tcW w:w="1290" w:type="dxa"/>
            <w:tcBorders>
              <w:bottom w:val="single" w:sz="4" w:space="0" w:color="auto"/>
            </w:tcBorders>
            <w:vAlign w:val="center"/>
          </w:tcPr>
          <w:p w14:paraId="4F31273C" w14:textId="77777777" w:rsidR="004671E1" w:rsidRPr="00C048A4"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New metric</w:t>
            </w:r>
          </w:p>
        </w:tc>
      </w:tr>
      <w:tr w:rsidR="004671E1" w:rsidRPr="00C048A4" w14:paraId="4863C738" w14:textId="77777777" w:rsidTr="00B4408D">
        <w:trPr>
          <w:trHeight w:val="680"/>
          <w:jc w:val="center"/>
        </w:trPr>
        <w:tc>
          <w:tcPr>
            <w:tcW w:w="1289" w:type="dxa"/>
            <w:tcBorders>
              <w:top w:val="single" w:sz="4" w:space="0" w:color="auto"/>
              <w:bottom w:val="single" w:sz="4" w:space="0" w:color="auto"/>
            </w:tcBorders>
            <w:noWrap/>
            <w:vAlign w:val="center"/>
            <w:hideMark/>
          </w:tcPr>
          <w:p w14:paraId="412A2FD6" w14:textId="77777777" w:rsidR="004671E1" w:rsidRPr="00C048A4"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Percent of trials after the IP</w:t>
            </w:r>
          </w:p>
        </w:tc>
        <w:tc>
          <w:tcPr>
            <w:tcW w:w="1289" w:type="dxa"/>
            <w:gridSpan w:val="2"/>
            <w:tcBorders>
              <w:top w:val="single" w:sz="4" w:space="0" w:color="auto"/>
              <w:bottom w:val="single" w:sz="4" w:space="0" w:color="auto"/>
            </w:tcBorders>
            <w:noWrap/>
            <w:vAlign w:val="center"/>
          </w:tcPr>
          <w:p w14:paraId="0A79EA34" w14:textId="77777777" w:rsidR="004671E1" w:rsidRPr="00C048A4" w:rsidRDefault="004671E1" w:rsidP="00B4408D">
            <w:pPr>
              <w:spacing w:after="0" w:line="240" w:lineRule="auto"/>
              <w:jc w:val="center"/>
              <w:rPr>
                <w:rFonts w:eastAsia="Times New Roman" w:cs="Times New Roman"/>
                <w:color w:val="000000" w:themeColor="text1"/>
                <w:lang w:eastAsia="en-GB"/>
              </w:rPr>
            </w:pPr>
            <w:r w:rsidRPr="00921010">
              <w:rPr>
                <w:rFonts w:eastAsia="Times New Roman" w:cs="Times New Roman"/>
                <w:color w:val="000000" w:themeColor="text1"/>
                <w:lang w:eastAsia="en-GB"/>
              </w:rPr>
              <w:t>40.53 (42.58)</w:t>
            </w:r>
          </w:p>
        </w:tc>
        <w:tc>
          <w:tcPr>
            <w:tcW w:w="1290" w:type="dxa"/>
            <w:tcBorders>
              <w:top w:val="single" w:sz="4" w:space="0" w:color="auto"/>
              <w:bottom w:val="single" w:sz="4" w:space="0" w:color="auto"/>
            </w:tcBorders>
            <w:vAlign w:val="center"/>
          </w:tcPr>
          <w:p w14:paraId="021A8EFB" w14:textId="77777777" w:rsidR="004671E1" w:rsidRPr="00C048A4"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34.09 (40.34)</w:t>
            </w:r>
          </w:p>
        </w:tc>
        <w:tc>
          <w:tcPr>
            <w:tcW w:w="1289" w:type="dxa"/>
            <w:tcBorders>
              <w:top w:val="single" w:sz="4" w:space="0" w:color="auto"/>
              <w:bottom w:val="single" w:sz="4" w:space="0" w:color="auto"/>
            </w:tcBorders>
            <w:noWrap/>
            <w:vAlign w:val="center"/>
          </w:tcPr>
          <w:p w14:paraId="4FEBEE9A" w14:textId="77777777" w:rsidR="004671E1" w:rsidRPr="00C048A4" w:rsidRDefault="004671E1" w:rsidP="00B4408D">
            <w:pPr>
              <w:spacing w:after="0" w:line="240" w:lineRule="auto"/>
              <w:jc w:val="center"/>
              <w:rPr>
                <w:rFonts w:eastAsia="Times New Roman" w:cs="Times New Roman"/>
                <w:color w:val="000000" w:themeColor="text1"/>
                <w:lang w:eastAsia="en-GB"/>
              </w:rPr>
            </w:pPr>
            <w:r w:rsidRPr="00921010">
              <w:rPr>
                <w:rFonts w:eastAsia="Times New Roman" w:cs="Times New Roman"/>
                <w:color w:val="000000" w:themeColor="text1"/>
                <w:lang w:eastAsia="en-GB"/>
              </w:rPr>
              <w:t>36.24 (41.92)</w:t>
            </w:r>
          </w:p>
        </w:tc>
        <w:tc>
          <w:tcPr>
            <w:tcW w:w="1290" w:type="dxa"/>
            <w:tcBorders>
              <w:top w:val="single" w:sz="4" w:space="0" w:color="auto"/>
              <w:bottom w:val="single" w:sz="4" w:space="0" w:color="auto"/>
            </w:tcBorders>
            <w:vAlign w:val="center"/>
          </w:tcPr>
          <w:p w14:paraId="292D655D" w14:textId="77777777" w:rsidR="004671E1" w:rsidRPr="00C048A4"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32.95 (42.69)</w:t>
            </w:r>
          </w:p>
        </w:tc>
        <w:tc>
          <w:tcPr>
            <w:tcW w:w="1289" w:type="dxa"/>
            <w:tcBorders>
              <w:top w:val="single" w:sz="4" w:space="0" w:color="auto"/>
              <w:bottom w:val="single" w:sz="4" w:space="0" w:color="auto"/>
            </w:tcBorders>
            <w:noWrap/>
            <w:vAlign w:val="center"/>
          </w:tcPr>
          <w:p w14:paraId="4D965BFA" w14:textId="77777777" w:rsidR="004671E1" w:rsidRPr="00C048A4" w:rsidRDefault="004671E1" w:rsidP="00B4408D">
            <w:pPr>
              <w:spacing w:after="0" w:line="240" w:lineRule="auto"/>
              <w:jc w:val="center"/>
              <w:rPr>
                <w:rFonts w:eastAsia="Times New Roman" w:cs="Times New Roman"/>
                <w:color w:val="000000" w:themeColor="text1"/>
                <w:lang w:eastAsia="en-GB"/>
              </w:rPr>
            </w:pPr>
            <w:r w:rsidRPr="00921010">
              <w:rPr>
                <w:rFonts w:eastAsia="Times New Roman" w:cs="Times New Roman"/>
                <w:color w:val="000000" w:themeColor="text1"/>
                <w:lang w:eastAsia="en-GB"/>
              </w:rPr>
              <w:t>44.07 (41.95)</w:t>
            </w:r>
          </w:p>
        </w:tc>
        <w:tc>
          <w:tcPr>
            <w:tcW w:w="1290" w:type="dxa"/>
            <w:tcBorders>
              <w:top w:val="single" w:sz="4" w:space="0" w:color="auto"/>
              <w:bottom w:val="single" w:sz="4" w:space="0" w:color="auto"/>
            </w:tcBorders>
            <w:vAlign w:val="center"/>
          </w:tcPr>
          <w:p w14:paraId="1C5372B2" w14:textId="77777777" w:rsidR="004671E1" w:rsidRPr="00C048A4" w:rsidRDefault="004671E1" w:rsidP="00B4408D">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38.76 (39.81)</w:t>
            </w:r>
          </w:p>
        </w:tc>
      </w:tr>
    </w:tbl>
    <w:p w14:paraId="36DE7DCB" w14:textId="77777777" w:rsidR="004671E1" w:rsidRDefault="004671E1" w:rsidP="004671E1">
      <w:pPr>
        <w:rPr>
          <w:b/>
        </w:rPr>
      </w:pPr>
    </w:p>
    <w:p w14:paraId="108CB568" w14:textId="77777777" w:rsidR="004671E1" w:rsidRDefault="004671E1" w:rsidP="004671E1">
      <w:pPr>
        <w:rPr>
          <w:color w:val="000000" w:themeColor="text1"/>
          <w:lang w:val="en-US"/>
        </w:rPr>
      </w:pPr>
      <w:r>
        <w:rPr>
          <w:color w:val="000000" w:themeColor="text1"/>
        </w:rPr>
        <w:t xml:space="preserve">The data were not normally distributed, and a Kruskal-Wallis test using all participants’ data (identifiers and non-identifiers) found no significant difference between the conditions, </w:t>
      </w:r>
      <w:r w:rsidRPr="00C048A4">
        <w:rPr>
          <w:i/>
          <w:iCs/>
          <w:color w:val="000000" w:themeColor="text1"/>
        </w:rPr>
        <w:t>X</w:t>
      </w:r>
      <w:r w:rsidRPr="00C048A4">
        <w:rPr>
          <w:color w:val="000000" w:themeColor="text1"/>
          <w:vertAlign w:val="superscript"/>
        </w:rPr>
        <w:t>2</w:t>
      </w:r>
      <w:r w:rsidRPr="00C048A4">
        <w:rPr>
          <w:color w:val="000000" w:themeColor="text1"/>
        </w:rPr>
        <w:t>(2) = 0.</w:t>
      </w:r>
      <w:r>
        <w:rPr>
          <w:color w:val="000000" w:themeColor="text1"/>
        </w:rPr>
        <w:t>68</w:t>
      </w:r>
      <w:r w:rsidRPr="00C048A4">
        <w:rPr>
          <w:color w:val="000000" w:themeColor="text1"/>
        </w:rPr>
        <w:t xml:space="preserve">, </w:t>
      </w:r>
      <w:r w:rsidRPr="00C048A4">
        <w:rPr>
          <w:i/>
          <w:color w:val="000000" w:themeColor="text1"/>
        </w:rPr>
        <w:t xml:space="preserve">p </w:t>
      </w:r>
      <w:r w:rsidRPr="00C048A4">
        <w:rPr>
          <w:color w:val="000000" w:themeColor="text1"/>
        </w:rPr>
        <w:t>= 0.</w:t>
      </w:r>
      <w:r>
        <w:rPr>
          <w:color w:val="000000" w:themeColor="text1"/>
        </w:rPr>
        <w:t>713</w:t>
      </w:r>
      <w:r w:rsidRPr="00C048A4">
        <w:rPr>
          <w:color w:val="000000" w:themeColor="text1"/>
          <w:lang w:val="en-US"/>
        </w:rPr>
        <w:t>.</w:t>
      </w:r>
      <w:r>
        <w:rPr>
          <w:color w:val="000000" w:themeColor="text1"/>
          <w:lang w:val="en-US"/>
        </w:rPr>
        <w:t xml:space="preserve"> </w:t>
      </w:r>
    </w:p>
    <w:p w14:paraId="01181666" w14:textId="77777777" w:rsidR="004671E1" w:rsidRDefault="004671E1" w:rsidP="004671E1">
      <w:pPr>
        <w:pStyle w:val="Heading4"/>
      </w:pPr>
      <w:r>
        <w:t>Reaction time and accuracy for all of the trials</w:t>
      </w:r>
    </w:p>
    <w:p w14:paraId="142002B3" w14:textId="10C7F946" w:rsidR="004671E1" w:rsidRPr="00D22068" w:rsidRDefault="004671E1" w:rsidP="004671E1">
      <w:r>
        <w:t>This analysis is unaltered by the criteria of the metric. Therefore, the outcome is identical to what is reported in our manuscript</w:t>
      </w:r>
      <w:r w:rsidR="001116B4">
        <w:t>.</w:t>
      </w:r>
    </w:p>
    <w:p w14:paraId="2B1456FC" w14:textId="77777777" w:rsidR="004671E1" w:rsidRPr="000B117E" w:rsidRDefault="004671E1" w:rsidP="004671E1">
      <w:pPr>
        <w:rPr>
          <w:b/>
        </w:rPr>
      </w:pPr>
    </w:p>
    <w:p w14:paraId="4659CB3D" w14:textId="77777777" w:rsidR="004671E1" w:rsidRDefault="004671E1" w:rsidP="004671E1">
      <w:pPr>
        <w:rPr>
          <w:b/>
          <w:u w:val="single"/>
        </w:rPr>
      </w:pPr>
      <w:r>
        <w:rPr>
          <w:b/>
          <w:u w:val="single"/>
        </w:rPr>
        <w:br w:type="page"/>
      </w:r>
    </w:p>
    <w:p w14:paraId="7DD6C281" w14:textId="7224786A" w:rsidR="004671E1" w:rsidRPr="008338A1" w:rsidRDefault="008338A1" w:rsidP="008338A1">
      <w:pPr>
        <w:pStyle w:val="Heading2"/>
      </w:pPr>
      <w:r>
        <w:lastRenderedPageBreak/>
        <w:t xml:space="preserve">Analysis 1.2: </w:t>
      </w:r>
      <w:r w:rsidR="004671E1" w:rsidRPr="008338A1">
        <w:t>Comparison of the 99.9% confidence interval at the mid-way and end of the trials</w:t>
      </w:r>
    </w:p>
    <w:p w14:paraId="32F0C134" w14:textId="77777777" w:rsidR="004671E1" w:rsidRDefault="004671E1" w:rsidP="004671E1">
      <w:r>
        <w:t xml:space="preserve">The aim of our second analysis was to assess the stability of the confidence interval generated by the original metric in our manuscript. </w:t>
      </w:r>
    </w:p>
    <w:p w14:paraId="5930C8EC" w14:textId="77777777" w:rsidR="004671E1" w:rsidRPr="003064E4" w:rsidRDefault="004671E1" w:rsidP="004671E1">
      <w:r w:rsidRPr="003064E4">
        <w:t xml:space="preserve">The plots below depict the conducive median (black), the non-conducive mean (red) and the 99.9% confidence interval (blue) </w:t>
      </w:r>
      <w:r>
        <w:t>of</w:t>
      </w:r>
      <w:r w:rsidRPr="003064E4">
        <w:t xml:space="preserve"> </w:t>
      </w:r>
      <w:r>
        <w:t>3</w:t>
      </w:r>
      <w:r w:rsidRPr="003064E4">
        <w:t xml:space="preserve"> identifiers</w:t>
      </w:r>
      <w:r>
        <w:t xml:space="preserve"> (left panels)</w:t>
      </w:r>
      <w:r w:rsidRPr="003064E4">
        <w:t xml:space="preserve"> and </w:t>
      </w:r>
      <w:r>
        <w:t>3</w:t>
      </w:r>
      <w:r w:rsidRPr="003064E4">
        <w:t xml:space="preserve"> non-identifiers</w:t>
      </w:r>
      <w:r>
        <w:t xml:space="preserve"> (right panels)</w:t>
      </w:r>
      <w:r w:rsidRPr="003064E4">
        <w:t>.</w:t>
      </w:r>
    </w:p>
    <w:p w14:paraId="3F98E831" w14:textId="77777777" w:rsidR="004671E1" w:rsidRDefault="004671E1" w:rsidP="004671E1">
      <w:pPr>
        <w:rPr>
          <w:b/>
        </w:rPr>
      </w:pPr>
      <w:r w:rsidRPr="000B117E">
        <w:rPr>
          <w:b/>
        </w:rPr>
        <w:t xml:space="preserve"> </w:t>
      </w:r>
      <w:r>
        <w:rPr>
          <w:b/>
          <w:noProof/>
          <w:lang w:eastAsia="en-GB"/>
        </w:rPr>
        <w:drawing>
          <wp:inline distT="0" distB="0" distL="0" distR="0" wp14:anchorId="1E0A1AF9" wp14:editId="04B99721">
            <wp:extent cx="2520000" cy="1929600"/>
            <wp:effectExtent l="0" t="0" r="0" b="0"/>
            <wp:docPr id="4" name="Picture 4" descr="C:\Users\maje\Google Drive\PhD_unicomp\Current work\Experiment 5\Graphs\Exports\816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je\Google Drive\PhD_unicomp\Current work\Experiment 5\Graphs\Exports\816_le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1929600"/>
                    </a:xfrm>
                    <a:prstGeom prst="rect">
                      <a:avLst/>
                    </a:prstGeom>
                    <a:noFill/>
                    <a:ln>
                      <a:noFill/>
                    </a:ln>
                  </pic:spPr>
                </pic:pic>
              </a:graphicData>
            </a:graphic>
          </wp:inline>
        </w:drawing>
      </w:r>
      <w:r>
        <w:rPr>
          <w:b/>
          <w:noProof/>
          <w:lang w:eastAsia="en-GB"/>
        </w:rPr>
        <w:drawing>
          <wp:inline distT="0" distB="0" distL="0" distR="0" wp14:anchorId="5EE78A34" wp14:editId="73ADD616">
            <wp:extent cx="2520000" cy="1929600"/>
            <wp:effectExtent l="0" t="0" r="0" b="0"/>
            <wp:docPr id="8" name="Picture 8" descr="C:\Users\maje\Google Drive\PhD_unicomp\Current work\Experiment 5\Graphs\Exports\902_neu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je\Google Drive\PhD_unicomp\Current work\Experiment 5\Graphs\Exports\902_neutr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000" cy="1929600"/>
                    </a:xfrm>
                    <a:prstGeom prst="rect">
                      <a:avLst/>
                    </a:prstGeom>
                    <a:noFill/>
                    <a:ln>
                      <a:noFill/>
                    </a:ln>
                  </pic:spPr>
                </pic:pic>
              </a:graphicData>
            </a:graphic>
          </wp:inline>
        </w:drawing>
      </w:r>
    </w:p>
    <w:p w14:paraId="68106D33" w14:textId="77777777" w:rsidR="004671E1" w:rsidRDefault="004671E1" w:rsidP="004671E1">
      <w:pPr>
        <w:rPr>
          <w:b/>
        </w:rPr>
      </w:pPr>
      <w:r>
        <w:rPr>
          <w:b/>
          <w:noProof/>
          <w:lang w:eastAsia="en-GB"/>
        </w:rPr>
        <w:drawing>
          <wp:inline distT="0" distB="0" distL="0" distR="0" wp14:anchorId="6EFB0B17" wp14:editId="2FE5705C">
            <wp:extent cx="2520000" cy="1929600"/>
            <wp:effectExtent l="0" t="0" r="0" b="0"/>
            <wp:docPr id="2" name="Picture 2" descr="C:\Users\maje\Google Drive\PhD_unicomp\Current work\Experiment 5\Graphs\Exports\848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e\Google Drive\PhD_unicomp\Current work\Experiment 5\Graphs\Exports\848_righ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929600"/>
                    </a:xfrm>
                    <a:prstGeom prst="rect">
                      <a:avLst/>
                    </a:prstGeom>
                    <a:noFill/>
                    <a:ln>
                      <a:noFill/>
                    </a:ln>
                  </pic:spPr>
                </pic:pic>
              </a:graphicData>
            </a:graphic>
          </wp:inline>
        </w:drawing>
      </w:r>
      <w:r>
        <w:rPr>
          <w:b/>
          <w:noProof/>
          <w:lang w:eastAsia="en-GB"/>
        </w:rPr>
        <w:drawing>
          <wp:inline distT="0" distB="0" distL="0" distR="0" wp14:anchorId="10144EC5" wp14:editId="761E8AC5">
            <wp:extent cx="2520000" cy="1929600"/>
            <wp:effectExtent l="0" t="0" r="0" b="0"/>
            <wp:docPr id="7" name="Picture 7" descr="C:\Users\maje\Google Drive\PhD_unicomp\Current work\Experiment 5\Graphs\Exports\901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je\Google Drive\PhD_unicomp\Current work\Experiment 5\Graphs\Exports\901_righ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1929600"/>
                    </a:xfrm>
                    <a:prstGeom prst="rect">
                      <a:avLst/>
                    </a:prstGeom>
                    <a:noFill/>
                    <a:ln>
                      <a:noFill/>
                    </a:ln>
                  </pic:spPr>
                </pic:pic>
              </a:graphicData>
            </a:graphic>
          </wp:inline>
        </w:drawing>
      </w:r>
    </w:p>
    <w:p w14:paraId="593A2FB8" w14:textId="77777777" w:rsidR="004671E1" w:rsidRDefault="004671E1" w:rsidP="004671E1">
      <w:pPr>
        <w:rPr>
          <w:b/>
        </w:rPr>
      </w:pPr>
      <w:r>
        <w:rPr>
          <w:b/>
          <w:noProof/>
          <w:lang w:eastAsia="en-GB"/>
        </w:rPr>
        <w:drawing>
          <wp:inline distT="0" distB="0" distL="0" distR="0" wp14:anchorId="0CBE920B" wp14:editId="05F567D2">
            <wp:extent cx="2520000" cy="1929600"/>
            <wp:effectExtent l="0" t="0" r="0" b="0"/>
            <wp:docPr id="1" name="Picture 1" descr="C:\Users\maje\Google Drive\PhD_unicomp\Current work\Experiment 5\Graphs\Exports\906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e\Google Drive\PhD_unicomp\Current work\Experiment 5\Graphs\Exports\906_righ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1929600"/>
                    </a:xfrm>
                    <a:prstGeom prst="rect">
                      <a:avLst/>
                    </a:prstGeom>
                    <a:noFill/>
                    <a:ln>
                      <a:noFill/>
                    </a:ln>
                  </pic:spPr>
                </pic:pic>
              </a:graphicData>
            </a:graphic>
          </wp:inline>
        </w:drawing>
      </w:r>
      <w:r>
        <w:rPr>
          <w:b/>
          <w:noProof/>
          <w:lang w:eastAsia="en-GB"/>
        </w:rPr>
        <w:drawing>
          <wp:inline distT="0" distB="0" distL="0" distR="0" wp14:anchorId="329CA321" wp14:editId="3E2AF989">
            <wp:extent cx="2520000" cy="1929600"/>
            <wp:effectExtent l="0" t="0" r="0" b="0"/>
            <wp:docPr id="6" name="Picture 6" descr="C:\Users\maje\Google Drive\PhD_unicomp\Current work\Experiment 5\Graphs\Exports\806_neu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je\Google Drive\PhD_unicomp\Current work\Experiment 5\Graphs\Exports\806_neutr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929600"/>
                    </a:xfrm>
                    <a:prstGeom prst="rect">
                      <a:avLst/>
                    </a:prstGeom>
                    <a:noFill/>
                    <a:ln>
                      <a:noFill/>
                    </a:ln>
                  </pic:spPr>
                </pic:pic>
              </a:graphicData>
            </a:graphic>
          </wp:inline>
        </w:drawing>
      </w:r>
    </w:p>
    <w:p w14:paraId="284578CB" w14:textId="77777777" w:rsidR="004671E1" w:rsidRPr="008F3CDE" w:rsidRDefault="004671E1" w:rsidP="004671E1">
      <w:r w:rsidRPr="008F3CDE">
        <w:t>The graphs illustrate that:</w:t>
      </w:r>
    </w:p>
    <w:p w14:paraId="0C37BA26" w14:textId="77777777" w:rsidR="004671E1" w:rsidRPr="008F3CDE" w:rsidRDefault="004671E1" w:rsidP="004671E1">
      <w:pPr>
        <w:pStyle w:val="ListParagraph"/>
        <w:numPr>
          <w:ilvl w:val="0"/>
          <w:numId w:val="1"/>
        </w:numPr>
      </w:pPr>
      <w:r w:rsidRPr="008F3CDE">
        <w:t xml:space="preserve">The lower-bound </w:t>
      </w:r>
      <w:r>
        <w:t xml:space="preserve">of the </w:t>
      </w:r>
      <w:r w:rsidRPr="008F3CDE">
        <w:t xml:space="preserve">confidence interval is relatively stable by the </w:t>
      </w:r>
      <w:r>
        <w:t>half</w:t>
      </w:r>
      <w:r w:rsidRPr="008F3CDE">
        <w:t>-way point (</w:t>
      </w:r>
      <w:r>
        <w:t>non-</w:t>
      </w:r>
      <w:r w:rsidRPr="008F3CDE">
        <w:t xml:space="preserve">conducive trial number 12). </w:t>
      </w:r>
    </w:p>
    <w:p w14:paraId="50ECF256" w14:textId="77777777" w:rsidR="004671E1" w:rsidRPr="008F3CDE" w:rsidRDefault="004671E1" w:rsidP="004671E1">
      <w:pPr>
        <w:pStyle w:val="ListParagraph"/>
        <w:numPr>
          <w:ilvl w:val="0"/>
          <w:numId w:val="1"/>
        </w:numPr>
      </w:pPr>
      <w:r w:rsidRPr="008F3CDE">
        <w:t xml:space="preserve">Although the </w:t>
      </w:r>
      <w:r>
        <w:t xml:space="preserve">width of the </w:t>
      </w:r>
      <w:r w:rsidRPr="008F3CDE">
        <w:t>confidence interval reduces with more trials, the</w:t>
      </w:r>
      <w:r>
        <w:t xml:space="preserve"> absolute value of the</w:t>
      </w:r>
      <w:r w:rsidRPr="008F3CDE">
        <w:t xml:space="preserve"> lower-bound is</w:t>
      </w:r>
      <w:r>
        <w:t xml:space="preserve"> relatively stable because the non-conducive mean often gradually declines</w:t>
      </w:r>
      <w:r w:rsidRPr="008F3CDE">
        <w:t xml:space="preserve">. </w:t>
      </w:r>
    </w:p>
    <w:p w14:paraId="2D199F5D" w14:textId="77777777" w:rsidR="004671E1" w:rsidRPr="008F3CDE" w:rsidRDefault="004671E1" w:rsidP="004671E1">
      <w:pPr>
        <w:pStyle w:val="ListParagraph"/>
        <w:numPr>
          <w:ilvl w:val="0"/>
          <w:numId w:val="1"/>
        </w:numPr>
      </w:pPr>
      <w:r>
        <w:lastRenderedPageBreak/>
        <w:t>I</w:t>
      </w:r>
      <w:r w:rsidRPr="008F3CDE">
        <w:t>dentification of the shortcut is</w:t>
      </w:r>
      <w:r>
        <w:t xml:space="preserve"> accompanied by a</w:t>
      </w:r>
      <w:r w:rsidRPr="008F3CDE">
        <w:t xml:space="preserve"> </w:t>
      </w:r>
      <w:r>
        <w:t xml:space="preserve">change in RT that is </w:t>
      </w:r>
      <w:r w:rsidRPr="008F3CDE">
        <w:t>much larger than any gentle change in the confidence interval of the non-conducive problems.</w:t>
      </w:r>
    </w:p>
    <w:p w14:paraId="4B038F9F" w14:textId="77777777" w:rsidR="004671E1" w:rsidRDefault="004671E1" w:rsidP="004671E1">
      <w:r w:rsidRPr="008F3CDE">
        <w:t xml:space="preserve">We re-analysed the data by calculating a) the size of the confidence interval and b) the </w:t>
      </w:r>
      <w:r>
        <w:t xml:space="preserve">absolute </w:t>
      </w:r>
      <w:r w:rsidRPr="008F3CDE">
        <w:t xml:space="preserve">value of the lower-bound </w:t>
      </w:r>
      <w:r>
        <w:t xml:space="preserve">of the </w:t>
      </w:r>
      <w:r w:rsidRPr="008F3CDE">
        <w:t xml:space="preserve">confidence interval at the half-way point (non-conducive trial number 12, trial number 23) and at the end of the experiment (non-conducive trial number 23, trial number 45). Table </w:t>
      </w:r>
      <w:r>
        <w:t>8</w:t>
      </w:r>
      <w:r w:rsidRPr="008F3CDE">
        <w:t xml:space="preserve"> displays the result.</w:t>
      </w:r>
    </w:p>
    <w:p w14:paraId="62A9A29F" w14:textId="77777777" w:rsidR="004671E1" w:rsidRPr="008F3CDE" w:rsidRDefault="004671E1" w:rsidP="004671E1">
      <w:r>
        <w:t>Table 8: Size of the confidence interval and value of the lower-bound at the half-way point and end of the trial sequence.</w:t>
      </w:r>
      <w:r w:rsidRPr="008F3CDE">
        <w:fldChar w:fldCharType="begin"/>
      </w:r>
      <w:r w:rsidRPr="008F3CDE">
        <w:instrText xml:space="preserve"> LINK Excel.SheetBinaryMacroEnabled.12 "C:\\Users\\maje\\Google Drive\\PhD_unicomp\\Current work\\Experiment 5\\Reanalysis for publication - macros 05042019\\Study 2 for jasp midway endway comparison.csv" "Study 1 for jasp midway endway !R10C10:R13C14" \a \f 4 \h  \* MERGEFORMAT </w:instrText>
      </w:r>
      <w:r w:rsidRPr="008F3CDE">
        <w:fldChar w:fldCharType="separate"/>
      </w:r>
    </w:p>
    <w:tbl>
      <w:tblPr>
        <w:tblW w:w="9215" w:type="dxa"/>
        <w:tblInd w:w="-176" w:type="dxa"/>
        <w:tblLook w:val="04A0" w:firstRow="1" w:lastRow="0" w:firstColumn="1" w:lastColumn="0" w:noHBand="0" w:noVBand="1"/>
      </w:tblPr>
      <w:tblGrid>
        <w:gridCol w:w="1165"/>
        <w:gridCol w:w="1671"/>
        <w:gridCol w:w="2268"/>
        <w:gridCol w:w="1984"/>
        <w:gridCol w:w="2127"/>
      </w:tblGrid>
      <w:tr w:rsidR="004671E1" w:rsidRPr="008F3CDE" w14:paraId="6FA51976" w14:textId="77777777" w:rsidTr="00B4408D">
        <w:trPr>
          <w:trHeight w:val="300"/>
        </w:trPr>
        <w:tc>
          <w:tcPr>
            <w:tcW w:w="1165" w:type="dxa"/>
            <w:tcBorders>
              <w:top w:val="nil"/>
              <w:left w:val="nil"/>
              <w:bottom w:val="nil"/>
              <w:right w:val="nil"/>
            </w:tcBorders>
            <w:shd w:val="clear" w:color="auto" w:fill="auto"/>
            <w:noWrap/>
            <w:vAlign w:val="bottom"/>
            <w:hideMark/>
          </w:tcPr>
          <w:p w14:paraId="20D0A221" w14:textId="77777777" w:rsidR="004671E1" w:rsidRPr="008F3CDE" w:rsidRDefault="004671E1" w:rsidP="00B4408D">
            <w:pPr>
              <w:spacing w:after="0" w:line="240" w:lineRule="auto"/>
              <w:jc w:val="center"/>
              <w:rPr>
                <w:rFonts w:ascii="Calibri" w:eastAsia="Times New Roman" w:hAnsi="Calibri" w:cs="Times New Roman"/>
                <w:color w:val="000000"/>
                <w:lang w:eastAsia="en-GB"/>
              </w:rPr>
            </w:pPr>
          </w:p>
        </w:tc>
        <w:tc>
          <w:tcPr>
            <w:tcW w:w="3939" w:type="dxa"/>
            <w:gridSpan w:val="2"/>
            <w:tcBorders>
              <w:top w:val="nil"/>
              <w:left w:val="nil"/>
              <w:bottom w:val="nil"/>
              <w:right w:val="nil"/>
            </w:tcBorders>
            <w:shd w:val="clear" w:color="auto" w:fill="auto"/>
            <w:noWrap/>
            <w:vAlign w:val="bottom"/>
            <w:hideMark/>
          </w:tcPr>
          <w:p w14:paraId="7EE882D5" w14:textId="77777777" w:rsidR="004671E1" w:rsidRPr="008F3CDE" w:rsidRDefault="004671E1" w:rsidP="00B4408D">
            <w:pPr>
              <w:spacing w:after="0" w:line="240" w:lineRule="auto"/>
              <w:jc w:val="center"/>
              <w:rPr>
                <w:rFonts w:ascii="Calibri" w:eastAsia="Times New Roman" w:hAnsi="Calibri" w:cs="Times New Roman"/>
                <w:color w:val="000000"/>
                <w:lang w:eastAsia="en-GB"/>
              </w:rPr>
            </w:pPr>
            <w:r w:rsidRPr="008F3CDE">
              <w:rPr>
                <w:rFonts w:ascii="Calibri" w:eastAsia="Times New Roman" w:hAnsi="Calibri" w:cs="Times New Roman"/>
                <w:color w:val="000000"/>
                <w:lang w:eastAsia="en-GB"/>
              </w:rPr>
              <w:t>Confidence interval</w:t>
            </w:r>
          </w:p>
        </w:tc>
        <w:tc>
          <w:tcPr>
            <w:tcW w:w="4111" w:type="dxa"/>
            <w:gridSpan w:val="2"/>
            <w:tcBorders>
              <w:top w:val="nil"/>
              <w:left w:val="nil"/>
              <w:bottom w:val="nil"/>
              <w:right w:val="nil"/>
            </w:tcBorders>
            <w:shd w:val="clear" w:color="auto" w:fill="auto"/>
            <w:noWrap/>
            <w:vAlign w:val="bottom"/>
            <w:hideMark/>
          </w:tcPr>
          <w:p w14:paraId="38F02415" w14:textId="77777777" w:rsidR="004671E1" w:rsidRPr="008F3CDE" w:rsidRDefault="004671E1" w:rsidP="00B4408D">
            <w:pPr>
              <w:spacing w:after="0" w:line="240" w:lineRule="auto"/>
              <w:jc w:val="center"/>
              <w:rPr>
                <w:rFonts w:ascii="Calibri" w:eastAsia="Times New Roman" w:hAnsi="Calibri" w:cs="Times New Roman"/>
                <w:color w:val="000000"/>
                <w:lang w:eastAsia="en-GB"/>
              </w:rPr>
            </w:pPr>
            <w:r w:rsidRPr="008F3CDE">
              <w:rPr>
                <w:rFonts w:ascii="Calibri" w:eastAsia="Times New Roman" w:hAnsi="Calibri" w:cs="Times New Roman"/>
                <w:color w:val="000000"/>
                <w:lang w:eastAsia="en-GB"/>
              </w:rPr>
              <w:t>Lower-bound of non-conducive mean</w:t>
            </w:r>
          </w:p>
        </w:tc>
      </w:tr>
      <w:tr w:rsidR="004671E1" w:rsidRPr="008F3CDE" w14:paraId="73D92A0E" w14:textId="77777777" w:rsidTr="00B4408D">
        <w:trPr>
          <w:trHeight w:val="300"/>
        </w:trPr>
        <w:tc>
          <w:tcPr>
            <w:tcW w:w="1165" w:type="dxa"/>
            <w:tcBorders>
              <w:top w:val="nil"/>
              <w:left w:val="nil"/>
              <w:bottom w:val="single" w:sz="4" w:space="0" w:color="auto"/>
              <w:right w:val="nil"/>
            </w:tcBorders>
            <w:shd w:val="clear" w:color="auto" w:fill="auto"/>
            <w:noWrap/>
            <w:vAlign w:val="bottom"/>
            <w:hideMark/>
          </w:tcPr>
          <w:p w14:paraId="2BCEA9EC" w14:textId="77777777" w:rsidR="004671E1" w:rsidRPr="008F3CDE" w:rsidRDefault="004671E1" w:rsidP="00B4408D">
            <w:pPr>
              <w:spacing w:after="0" w:line="240" w:lineRule="auto"/>
              <w:jc w:val="center"/>
              <w:rPr>
                <w:rFonts w:ascii="Calibri" w:eastAsia="Times New Roman" w:hAnsi="Calibri" w:cs="Times New Roman"/>
                <w:color w:val="000000"/>
                <w:lang w:eastAsia="en-GB"/>
              </w:rPr>
            </w:pPr>
          </w:p>
        </w:tc>
        <w:tc>
          <w:tcPr>
            <w:tcW w:w="1671" w:type="dxa"/>
            <w:tcBorders>
              <w:top w:val="nil"/>
              <w:left w:val="nil"/>
              <w:bottom w:val="single" w:sz="4" w:space="0" w:color="auto"/>
              <w:right w:val="nil"/>
            </w:tcBorders>
            <w:shd w:val="clear" w:color="auto" w:fill="auto"/>
            <w:noWrap/>
            <w:vAlign w:val="bottom"/>
            <w:hideMark/>
          </w:tcPr>
          <w:p w14:paraId="3259857F" w14:textId="77777777" w:rsidR="004671E1" w:rsidRPr="008F3CDE" w:rsidRDefault="004671E1" w:rsidP="00B4408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Mid-way point</w:t>
            </w:r>
          </w:p>
        </w:tc>
        <w:tc>
          <w:tcPr>
            <w:tcW w:w="2268" w:type="dxa"/>
            <w:tcBorders>
              <w:top w:val="nil"/>
              <w:left w:val="nil"/>
              <w:bottom w:val="single" w:sz="4" w:space="0" w:color="auto"/>
              <w:right w:val="nil"/>
            </w:tcBorders>
            <w:shd w:val="clear" w:color="auto" w:fill="auto"/>
            <w:noWrap/>
            <w:vAlign w:val="bottom"/>
            <w:hideMark/>
          </w:tcPr>
          <w:p w14:paraId="2F632CE8" w14:textId="77777777" w:rsidR="004671E1" w:rsidRPr="008F3CDE" w:rsidRDefault="004671E1" w:rsidP="00B4408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End of trial sequence</w:t>
            </w:r>
          </w:p>
        </w:tc>
        <w:tc>
          <w:tcPr>
            <w:tcW w:w="1984" w:type="dxa"/>
            <w:tcBorders>
              <w:top w:val="nil"/>
              <w:left w:val="nil"/>
              <w:bottom w:val="single" w:sz="4" w:space="0" w:color="auto"/>
              <w:right w:val="nil"/>
            </w:tcBorders>
            <w:shd w:val="clear" w:color="auto" w:fill="auto"/>
            <w:noWrap/>
            <w:vAlign w:val="bottom"/>
            <w:hideMark/>
          </w:tcPr>
          <w:p w14:paraId="0ABE9CF9" w14:textId="77777777" w:rsidR="004671E1" w:rsidRPr="008F3CDE" w:rsidRDefault="004671E1" w:rsidP="00B4408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Mid-way point</w:t>
            </w:r>
          </w:p>
        </w:tc>
        <w:tc>
          <w:tcPr>
            <w:tcW w:w="2127" w:type="dxa"/>
            <w:tcBorders>
              <w:top w:val="nil"/>
              <w:left w:val="nil"/>
              <w:bottom w:val="single" w:sz="4" w:space="0" w:color="auto"/>
              <w:right w:val="nil"/>
            </w:tcBorders>
            <w:shd w:val="clear" w:color="auto" w:fill="auto"/>
            <w:noWrap/>
            <w:vAlign w:val="bottom"/>
            <w:hideMark/>
          </w:tcPr>
          <w:p w14:paraId="4D98A405" w14:textId="77777777" w:rsidR="004671E1" w:rsidRPr="008F3CDE" w:rsidRDefault="004671E1" w:rsidP="00B4408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End of trial sequence</w:t>
            </w:r>
          </w:p>
        </w:tc>
      </w:tr>
      <w:tr w:rsidR="004671E1" w:rsidRPr="008F3CDE" w14:paraId="0612F542" w14:textId="77777777" w:rsidTr="00B4408D">
        <w:trPr>
          <w:trHeight w:val="300"/>
        </w:trPr>
        <w:tc>
          <w:tcPr>
            <w:tcW w:w="1165" w:type="dxa"/>
            <w:tcBorders>
              <w:top w:val="single" w:sz="4" w:space="0" w:color="auto"/>
              <w:left w:val="nil"/>
              <w:bottom w:val="nil"/>
              <w:right w:val="nil"/>
            </w:tcBorders>
            <w:shd w:val="clear" w:color="auto" w:fill="auto"/>
            <w:noWrap/>
            <w:vAlign w:val="bottom"/>
            <w:hideMark/>
          </w:tcPr>
          <w:p w14:paraId="6D2F5DE9" w14:textId="77777777" w:rsidR="004671E1" w:rsidRPr="008F3CDE" w:rsidRDefault="004671E1" w:rsidP="00B4408D">
            <w:pPr>
              <w:spacing w:after="0" w:line="240" w:lineRule="auto"/>
              <w:jc w:val="center"/>
              <w:rPr>
                <w:rFonts w:ascii="Calibri" w:eastAsia="Times New Roman" w:hAnsi="Calibri" w:cs="Times New Roman"/>
                <w:color w:val="000000"/>
                <w:lang w:eastAsia="en-GB"/>
              </w:rPr>
            </w:pPr>
            <w:r w:rsidRPr="008F3CDE">
              <w:rPr>
                <w:rFonts w:ascii="Calibri" w:eastAsia="Times New Roman" w:hAnsi="Calibri" w:cs="Times New Roman"/>
                <w:color w:val="000000"/>
                <w:lang w:eastAsia="en-GB"/>
              </w:rPr>
              <w:t>Study 1</w:t>
            </w:r>
          </w:p>
        </w:tc>
        <w:tc>
          <w:tcPr>
            <w:tcW w:w="1671" w:type="dxa"/>
            <w:tcBorders>
              <w:top w:val="single" w:sz="4" w:space="0" w:color="auto"/>
              <w:left w:val="nil"/>
              <w:bottom w:val="nil"/>
              <w:right w:val="nil"/>
            </w:tcBorders>
            <w:shd w:val="clear" w:color="auto" w:fill="auto"/>
            <w:noWrap/>
            <w:vAlign w:val="bottom"/>
            <w:hideMark/>
          </w:tcPr>
          <w:p w14:paraId="4D32932D" w14:textId="77777777" w:rsidR="004671E1" w:rsidRPr="008F3CDE" w:rsidRDefault="004671E1" w:rsidP="00B4408D">
            <w:pPr>
              <w:spacing w:after="0" w:line="240" w:lineRule="auto"/>
              <w:jc w:val="center"/>
              <w:rPr>
                <w:rFonts w:ascii="Calibri" w:eastAsia="Times New Roman" w:hAnsi="Calibri" w:cs="Times New Roman"/>
                <w:color w:val="000000"/>
                <w:lang w:eastAsia="en-GB"/>
              </w:rPr>
            </w:pPr>
            <w:r w:rsidRPr="008F3CDE">
              <w:rPr>
                <w:rFonts w:ascii="Calibri" w:eastAsia="Times New Roman" w:hAnsi="Calibri" w:cs="Times New Roman"/>
                <w:color w:val="000000"/>
                <w:lang w:eastAsia="en-GB"/>
              </w:rPr>
              <w:t>5.05 (3.33)</w:t>
            </w:r>
          </w:p>
        </w:tc>
        <w:tc>
          <w:tcPr>
            <w:tcW w:w="2268" w:type="dxa"/>
            <w:tcBorders>
              <w:top w:val="single" w:sz="4" w:space="0" w:color="auto"/>
              <w:left w:val="nil"/>
              <w:bottom w:val="nil"/>
              <w:right w:val="nil"/>
            </w:tcBorders>
            <w:shd w:val="clear" w:color="auto" w:fill="auto"/>
            <w:noWrap/>
            <w:vAlign w:val="bottom"/>
            <w:hideMark/>
          </w:tcPr>
          <w:p w14:paraId="284515F7" w14:textId="77777777" w:rsidR="004671E1" w:rsidRPr="008F3CDE" w:rsidRDefault="004671E1" w:rsidP="00B4408D">
            <w:pPr>
              <w:spacing w:after="0" w:line="240" w:lineRule="auto"/>
              <w:jc w:val="center"/>
              <w:rPr>
                <w:rFonts w:ascii="Calibri" w:eastAsia="Times New Roman" w:hAnsi="Calibri" w:cs="Times New Roman"/>
                <w:color w:val="000000"/>
                <w:lang w:eastAsia="en-GB"/>
              </w:rPr>
            </w:pPr>
            <w:r w:rsidRPr="008F3CDE">
              <w:rPr>
                <w:rFonts w:ascii="Calibri" w:eastAsia="Times New Roman" w:hAnsi="Calibri" w:cs="Times New Roman"/>
                <w:color w:val="000000"/>
                <w:lang w:eastAsia="en-GB"/>
              </w:rPr>
              <w:t>3.74 (2.31)</w:t>
            </w:r>
          </w:p>
        </w:tc>
        <w:tc>
          <w:tcPr>
            <w:tcW w:w="1984" w:type="dxa"/>
            <w:tcBorders>
              <w:top w:val="single" w:sz="4" w:space="0" w:color="auto"/>
              <w:left w:val="nil"/>
              <w:bottom w:val="nil"/>
              <w:right w:val="nil"/>
            </w:tcBorders>
            <w:shd w:val="clear" w:color="auto" w:fill="auto"/>
            <w:noWrap/>
            <w:vAlign w:val="bottom"/>
            <w:hideMark/>
          </w:tcPr>
          <w:p w14:paraId="7D687ECA" w14:textId="77777777" w:rsidR="004671E1" w:rsidRPr="008F3CDE" w:rsidRDefault="004671E1" w:rsidP="00B4408D">
            <w:pPr>
              <w:spacing w:after="0" w:line="240" w:lineRule="auto"/>
              <w:jc w:val="center"/>
              <w:rPr>
                <w:rFonts w:ascii="Calibri" w:eastAsia="Times New Roman" w:hAnsi="Calibri" w:cs="Times New Roman"/>
                <w:color w:val="000000"/>
                <w:lang w:eastAsia="en-GB"/>
              </w:rPr>
            </w:pPr>
            <w:r w:rsidRPr="008F3CDE">
              <w:rPr>
                <w:rFonts w:ascii="Calibri" w:eastAsia="Times New Roman" w:hAnsi="Calibri" w:cs="Times New Roman"/>
                <w:color w:val="000000"/>
                <w:lang w:eastAsia="en-GB"/>
              </w:rPr>
              <w:t>10.84 (5.08)</w:t>
            </w:r>
          </w:p>
        </w:tc>
        <w:tc>
          <w:tcPr>
            <w:tcW w:w="2127" w:type="dxa"/>
            <w:tcBorders>
              <w:top w:val="single" w:sz="4" w:space="0" w:color="auto"/>
              <w:left w:val="nil"/>
              <w:bottom w:val="nil"/>
              <w:right w:val="nil"/>
            </w:tcBorders>
            <w:shd w:val="clear" w:color="auto" w:fill="auto"/>
            <w:noWrap/>
            <w:vAlign w:val="bottom"/>
            <w:hideMark/>
          </w:tcPr>
          <w:p w14:paraId="2CD51853" w14:textId="77777777" w:rsidR="004671E1" w:rsidRPr="008F3CDE" w:rsidRDefault="004671E1" w:rsidP="00B4408D">
            <w:pPr>
              <w:spacing w:after="0" w:line="240" w:lineRule="auto"/>
              <w:jc w:val="center"/>
              <w:rPr>
                <w:rFonts w:ascii="Calibri" w:eastAsia="Times New Roman" w:hAnsi="Calibri" w:cs="Times New Roman"/>
                <w:color w:val="000000"/>
                <w:lang w:eastAsia="en-GB"/>
              </w:rPr>
            </w:pPr>
            <w:r w:rsidRPr="008F3CDE">
              <w:rPr>
                <w:rFonts w:ascii="Calibri" w:eastAsia="Times New Roman" w:hAnsi="Calibri" w:cs="Times New Roman"/>
                <w:color w:val="000000"/>
                <w:lang w:eastAsia="en-GB"/>
              </w:rPr>
              <w:t>11.07 (5.17)</w:t>
            </w:r>
          </w:p>
        </w:tc>
      </w:tr>
      <w:tr w:rsidR="004671E1" w:rsidRPr="008F3CDE" w14:paraId="6A7AFFCA" w14:textId="77777777" w:rsidTr="00B4408D">
        <w:trPr>
          <w:trHeight w:val="300"/>
        </w:trPr>
        <w:tc>
          <w:tcPr>
            <w:tcW w:w="1165" w:type="dxa"/>
            <w:tcBorders>
              <w:top w:val="nil"/>
              <w:left w:val="nil"/>
              <w:bottom w:val="single" w:sz="4" w:space="0" w:color="auto"/>
              <w:right w:val="nil"/>
            </w:tcBorders>
            <w:shd w:val="clear" w:color="auto" w:fill="auto"/>
            <w:noWrap/>
            <w:vAlign w:val="bottom"/>
            <w:hideMark/>
          </w:tcPr>
          <w:p w14:paraId="205794EF" w14:textId="77777777" w:rsidR="004671E1" w:rsidRPr="008F3CDE" w:rsidRDefault="004671E1" w:rsidP="00B4408D">
            <w:pPr>
              <w:spacing w:after="0" w:line="240" w:lineRule="auto"/>
              <w:jc w:val="center"/>
              <w:rPr>
                <w:rFonts w:ascii="Calibri" w:eastAsia="Times New Roman" w:hAnsi="Calibri" w:cs="Times New Roman"/>
                <w:color w:val="000000"/>
                <w:lang w:eastAsia="en-GB"/>
              </w:rPr>
            </w:pPr>
            <w:r w:rsidRPr="008F3CDE">
              <w:rPr>
                <w:rFonts w:ascii="Calibri" w:eastAsia="Times New Roman" w:hAnsi="Calibri" w:cs="Times New Roman"/>
                <w:color w:val="000000"/>
                <w:lang w:eastAsia="en-GB"/>
              </w:rPr>
              <w:t>Study 2</w:t>
            </w:r>
          </w:p>
        </w:tc>
        <w:tc>
          <w:tcPr>
            <w:tcW w:w="1671" w:type="dxa"/>
            <w:tcBorders>
              <w:top w:val="nil"/>
              <w:left w:val="nil"/>
              <w:bottom w:val="single" w:sz="4" w:space="0" w:color="auto"/>
              <w:right w:val="nil"/>
            </w:tcBorders>
            <w:shd w:val="clear" w:color="auto" w:fill="auto"/>
            <w:noWrap/>
            <w:vAlign w:val="bottom"/>
            <w:hideMark/>
          </w:tcPr>
          <w:p w14:paraId="5AF951E4" w14:textId="77777777" w:rsidR="004671E1" w:rsidRPr="008F3CDE" w:rsidRDefault="004671E1" w:rsidP="00B4408D">
            <w:pPr>
              <w:spacing w:after="0" w:line="240" w:lineRule="auto"/>
              <w:jc w:val="center"/>
              <w:rPr>
                <w:rFonts w:ascii="Calibri" w:eastAsia="Times New Roman" w:hAnsi="Calibri" w:cs="Times New Roman"/>
                <w:color w:val="000000"/>
                <w:lang w:eastAsia="en-GB"/>
              </w:rPr>
            </w:pPr>
            <w:r w:rsidRPr="008F3CDE">
              <w:rPr>
                <w:rFonts w:ascii="Calibri" w:eastAsia="Times New Roman" w:hAnsi="Calibri" w:cs="Times New Roman"/>
                <w:color w:val="000000"/>
                <w:lang w:eastAsia="en-GB"/>
              </w:rPr>
              <w:t>6.33 (4.74)</w:t>
            </w:r>
          </w:p>
        </w:tc>
        <w:tc>
          <w:tcPr>
            <w:tcW w:w="2268" w:type="dxa"/>
            <w:tcBorders>
              <w:top w:val="nil"/>
              <w:left w:val="nil"/>
              <w:bottom w:val="single" w:sz="4" w:space="0" w:color="auto"/>
              <w:right w:val="nil"/>
            </w:tcBorders>
            <w:shd w:val="clear" w:color="auto" w:fill="auto"/>
            <w:noWrap/>
            <w:vAlign w:val="bottom"/>
            <w:hideMark/>
          </w:tcPr>
          <w:p w14:paraId="29C77318" w14:textId="77777777" w:rsidR="004671E1" w:rsidRPr="008F3CDE" w:rsidRDefault="004671E1" w:rsidP="00B4408D">
            <w:pPr>
              <w:spacing w:after="0" w:line="240" w:lineRule="auto"/>
              <w:jc w:val="center"/>
              <w:rPr>
                <w:rFonts w:ascii="Calibri" w:eastAsia="Times New Roman" w:hAnsi="Calibri" w:cs="Times New Roman"/>
                <w:color w:val="000000"/>
                <w:lang w:eastAsia="en-GB"/>
              </w:rPr>
            </w:pPr>
            <w:r w:rsidRPr="008F3CDE">
              <w:rPr>
                <w:rFonts w:ascii="Calibri" w:eastAsia="Times New Roman" w:hAnsi="Calibri" w:cs="Times New Roman"/>
                <w:color w:val="000000"/>
                <w:lang w:eastAsia="en-GB"/>
              </w:rPr>
              <w:t>4.41 (2.89)</w:t>
            </w:r>
          </w:p>
        </w:tc>
        <w:tc>
          <w:tcPr>
            <w:tcW w:w="1984" w:type="dxa"/>
            <w:tcBorders>
              <w:top w:val="nil"/>
              <w:left w:val="nil"/>
              <w:bottom w:val="single" w:sz="4" w:space="0" w:color="auto"/>
              <w:right w:val="nil"/>
            </w:tcBorders>
            <w:shd w:val="clear" w:color="auto" w:fill="auto"/>
            <w:noWrap/>
            <w:vAlign w:val="bottom"/>
            <w:hideMark/>
          </w:tcPr>
          <w:p w14:paraId="63971C55" w14:textId="77777777" w:rsidR="004671E1" w:rsidRPr="008F3CDE" w:rsidRDefault="004671E1" w:rsidP="00B4408D">
            <w:pPr>
              <w:spacing w:after="0" w:line="240" w:lineRule="auto"/>
              <w:jc w:val="center"/>
              <w:rPr>
                <w:rFonts w:ascii="Calibri" w:eastAsia="Times New Roman" w:hAnsi="Calibri" w:cs="Times New Roman"/>
                <w:color w:val="000000"/>
                <w:lang w:eastAsia="en-GB"/>
              </w:rPr>
            </w:pPr>
            <w:r w:rsidRPr="008F3CDE">
              <w:rPr>
                <w:rFonts w:ascii="Calibri" w:eastAsia="Times New Roman" w:hAnsi="Calibri" w:cs="Times New Roman"/>
                <w:color w:val="000000"/>
                <w:lang w:eastAsia="en-GB"/>
              </w:rPr>
              <w:t>12.16 (5.10)</w:t>
            </w:r>
          </w:p>
        </w:tc>
        <w:tc>
          <w:tcPr>
            <w:tcW w:w="2127" w:type="dxa"/>
            <w:tcBorders>
              <w:top w:val="nil"/>
              <w:left w:val="nil"/>
              <w:bottom w:val="single" w:sz="4" w:space="0" w:color="auto"/>
              <w:right w:val="nil"/>
            </w:tcBorders>
            <w:shd w:val="clear" w:color="auto" w:fill="auto"/>
            <w:noWrap/>
            <w:vAlign w:val="bottom"/>
            <w:hideMark/>
          </w:tcPr>
          <w:p w14:paraId="3726E70F" w14:textId="77777777" w:rsidR="004671E1" w:rsidRPr="008F3CDE" w:rsidRDefault="004671E1" w:rsidP="00B4408D">
            <w:pPr>
              <w:spacing w:after="0" w:line="240" w:lineRule="auto"/>
              <w:jc w:val="center"/>
              <w:rPr>
                <w:rFonts w:ascii="Calibri" w:eastAsia="Times New Roman" w:hAnsi="Calibri" w:cs="Times New Roman"/>
                <w:color w:val="000000"/>
                <w:lang w:eastAsia="en-GB"/>
              </w:rPr>
            </w:pPr>
            <w:r w:rsidRPr="008F3CDE">
              <w:rPr>
                <w:rFonts w:ascii="Calibri" w:eastAsia="Times New Roman" w:hAnsi="Calibri" w:cs="Times New Roman"/>
                <w:color w:val="000000"/>
                <w:lang w:eastAsia="en-GB"/>
              </w:rPr>
              <w:t>12.48 (4.81)</w:t>
            </w:r>
          </w:p>
        </w:tc>
      </w:tr>
    </w:tbl>
    <w:p w14:paraId="0BB3E451" w14:textId="77777777" w:rsidR="004671E1" w:rsidRPr="008F3CDE" w:rsidRDefault="004671E1" w:rsidP="004671E1">
      <w:r w:rsidRPr="008F3CDE">
        <w:fldChar w:fldCharType="end"/>
      </w:r>
    </w:p>
    <w:p w14:paraId="0F4ABB8A" w14:textId="77777777" w:rsidR="004671E1" w:rsidRPr="008F3CDE" w:rsidRDefault="004671E1" w:rsidP="004671E1">
      <w:r w:rsidRPr="008F3CDE">
        <w:t xml:space="preserve">For Study 1, there was a significant difference in the size of the confidence interval at the two time-points, </w:t>
      </w:r>
      <w:r w:rsidRPr="001C1F5E">
        <w:rPr>
          <w:i/>
        </w:rPr>
        <w:t>W</w:t>
      </w:r>
      <w:r w:rsidRPr="008F3CDE">
        <w:t xml:space="preserve"> (108) = 5553.00, </w:t>
      </w:r>
      <w:r w:rsidRPr="001C1F5E">
        <w:rPr>
          <w:i/>
        </w:rPr>
        <w:t>p</w:t>
      </w:r>
      <w:r w:rsidRPr="008F3CDE">
        <w:t xml:space="preserve"> &lt; 0.001. There was no significant difference in the</w:t>
      </w:r>
      <w:r>
        <w:t xml:space="preserve"> value of the</w:t>
      </w:r>
      <w:r w:rsidRPr="008F3CDE">
        <w:t xml:space="preserve"> lower-bound</w:t>
      </w:r>
      <w:r>
        <w:t xml:space="preserve"> of the confidence interval, </w:t>
      </w:r>
      <w:r w:rsidRPr="001C1F5E">
        <w:rPr>
          <w:i/>
        </w:rPr>
        <w:t>W</w:t>
      </w:r>
      <w:r w:rsidRPr="008F3CDE">
        <w:t xml:space="preserve"> (108) = 2564.00, </w:t>
      </w:r>
      <w:r w:rsidRPr="001C1F5E">
        <w:rPr>
          <w:i/>
        </w:rPr>
        <w:t>p</w:t>
      </w:r>
      <w:r w:rsidRPr="008F3CDE">
        <w:t xml:space="preserve"> = 0.256.</w:t>
      </w:r>
    </w:p>
    <w:p w14:paraId="410954E1" w14:textId="2162B0F1" w:rsidR="004671E1" w:rsidRDefault="004671E1" w:rsidP="004671E1">
      <w:r w:rsidRPr="008F3CDE">
        <w:t xml:space="preserve">For Study 2, there was a significant difference in the size of the non-conducive confidence interval at the two time-points, </w:t>
      </w:r>
      <w:r w:rsidRPr="001C1F5E">
        <w:rPr>
          <w:i/>
        </w:rPr>
        <w:t>W</w:t>
      </w:r>
      <w:r w:rsidRPr="008F3CDE">
        <w:t xml:space="preserve"> (108) = 5688.00, p &lt; 0.001. There was also a significant difference in the </w:t>
      </w:r>
      <w:r>
        <w:t xml:space="preserve">value of the </w:t>
      </w:r>
      <w:r w:rsidRPr="008F3CDE">
        <w:t xml:space="preserve">lower-bound </w:t>
      </w:r>
      <w:r>
        <w:t xml:space="preserve">of the </w:t>
      </w:r>
      <w:r w:rsidRPr="008F3CDE">
        <w:t>confidence interval</w:t>
      </w:r>
      <w:r>
        <w:t xml:space="preserve">, </w:t>
      </w:r>
      <w:r w:rsidRPr="001C1F5E">
        <w:rPr>
          <w:i/>
        </w:rPr>
        <w:t>t</w:t>
      </w:r>
      <w:r w:rsidRPr="008F3CDE">
        <w:t xml:space="preserve">(107) = 2.10, </w:t>
      </w:r>
      <w:r w:rsidRPr="001C1F5E">
        <w:rPr>
          <w:i/>
        </w:rPr>
        <w:t>p</w:t>
      </w:r>
      <w:r w:rsidRPr="008F3CDE">
        <w:t xml:space="preserve"> = 0.038.</w:t>
      </w:r>
    </w:p>
    <w:p w14:paraId="622AC73E" w14:textId="1E2A907C" w:rsidR="004671E1" w:rsidRDefault="004671E1" w:rsidP="004671E1"/>
    <w:p w14:paraId="61F59B4B" w14:textId="3A14217C" w:rsidR="004671E1" w:rsidRDefault="008338A1" w:rsidP="00C82341">
      <w:pPr>
        <w:pStyle w:val="Heading1"/>
      </w:pPr>
      <w:r>
        <w:t xml:space="preserve">2. </w:t>
      </w:r>
      <w:r w:rsidR="004671E1">
        <w:t>Comparing the difficulty of conducive and non-conducive problems when solved through a left-to-right procedure:</w:t>
      </w:r>
    </w:p>
    <w:p w14:paraId="0F924E83" w14:textId="77777777" w:rsidR="004671E1" w:rsidRPr="00E050F9" w:rsidRDefault="004671E1" w:rsidP="004671E1">
      <w:r w:rsidRPr="00E050F9">
        <w:t>To the best of our knowledge, there is no known factor that would make conducive problems systematically easier than non-conducive problems if both problem types are solved through a left-to-right procedure. The problems were carefully created, and match on the size of the result of the interim addition (a + b), the size of the subtraction (c) and the answer. They also match on the number and size of carry operations in the addition. We judge that they are as closely matched as possible without them being the same problem.</w:t>
      </w:r>
    </w:p>
    <w:p w14:paraId="7ADAB69A" w14:textId="4CA95F79" w:rsidR="004671E1" w:rsidRDefault="004671E1" w:rsidP="004671E1">
      <w:r w:rsidRPr="00E050F9">
        <w:t>To evidence that this is the case, we re-analysed our data. We compared the accuracy and median correct response time for solving the two problem</w:t>
      </w:r>
      <w:r>
        <w:t xml:space="preserve"> </w:t>
      </w:r>
      <w:r w:rsidRPr="00E050F9">
        <w:t>types by the self-reported non-identifiers</w:t>
      </w:r>
      <w:r>
        <w:t xml:space="preserve"> (i.e. participants who did not use the associativity shortcut strategy at any point in the experiment)</w:t>
      </w:r>
      <w:r w:rsidRPr="00E050F9">
        <w:t>. If the problems are similar in difficulty when they are not solved through a shortcut, there should be no significant difference between them.</w:t>
      </w:r>
      <w:r w:rsidR="001116B4">
        <w:t xml:space="preserve"> Table 9 details the result.</w:t>
      </w:r>
      <w:r w:rsidRPr="00E050F9">
        <w:t xml:space="preserve"> Indeed, in Study 1, Study 2 and the pilot study, there was no difference between the problem types on either outcome measure. </w:t>
      </w:r>
      <w:r>
        <w:t xml:space="preserve">Moreover, equivalence tests demonstrate that the two problem types were statistically equivalent. </w:t>
      </w:r>
      <w:r w:rsidRPr="00E050F9">
        <w:t xml:space="preserve">The analyses are reported </w:t>
      </w:r>
      <w:r>
        <w:t>below.</w:t>
      </w:r>
    </w:p>
    <w:p w14:paraId="08DB1D63" w14:textId="77777777" w:rsidR="004671E1" w:rsidRPr="00E050F9" w:rsidRDefault="004671E1" w:rsidP="00C82341">
      <w:pPr>
        <w:pStyle w:val="Heading2"/>
      </w:pPr>
      <w:r w:rsidRPr="00E050F9">
        <w:t xml:space="preserve">Study 1 </w:t>
      </w:r>
    </w:p>
    <w:p w14:paraId="59031A28" w14:textId="77777777" w:rsidR="004671E1" w:rsidRPr="00E050F9" w:rsidRDefault="004671E1" w:rsidP="004671E1">
      <w:r w:rsidRPr="00E050F9">
        <w:t xml:space="preserve">There was no significant difference in the percent of correctly answered conducive and non-conducive problems, </w:t>
      </w:r>
      <w:r w:rsidRPr="00E050F9">
        <w:rPr>
          <w:i/>
        </w:rPr>
        <w:t>t</w:t>
      </w:r>
      <w:r w:rsidRPr="00E050F9">
        <w:t xml:space="preserve">(45) = 1.361, </w:t>
      </w:r>
      <w:r w:rsidRPr="00E050F9">
        <w:rPr>
          <w:i/>
        </w:rPr>
        <w:t>p</w:t>
      </w:r>
      <w:r w:rsidRPr="00E050F9">
        <w:t xml:space="preserve"> = 0.180 and no significant difference in the median RT of correctly answered conducive and non-conducive problems, </w:t>
      </w:r>
      <w:r w:rsidRPr="00E050F9">
        <w:rPr>
          <w:i/>
        </w:rPr>
        <w:t>t</w:t>
      </w:r>
      <w:r w:rsidRPr="00E050F9">
        <w:t xml:space="preserve">(45) = 0.238, </w:t>
      </w:r>
      <w:r w:rsidRPr="00E050F9">
        <w:rPr>
          <w:i/>
        </w:rPr>
        <w:t>p</w:t>
      </w:r>
      <w:r w:rsidRPr="00E050F9">
        <w:t xml:space="preserve"> = 0.813. Moreover, the </w:t>
      </w:r>
      <w:r w:rsidRPr="00E050F9">
        <w:lastRenderedPageBreak/>
        <w:t xml:space="preserve">accuracy scores were statistically equivalent using a test of one sided significance, </w:t>
      </w:r>
      <w:r w:rsidRPr="00E050F9">
        <w:rPr>
          <w:i/>
        </w:rPr>
        <w:t>t</w:t>
      </w:r>
      <w:r w:rsidRPr="00E050F9">
        <w:t xml:space="preserve">(45) = 2.03, </w:t>
      </w:r>
      <w:r w:rsidRPr="00E050F9">
        <w:rPr>
          <w:i/>
        </w:rPr>
        <w:t>p</w:t>
      </w:r>
      <w:r w:rsidRPr="00E050F9">
        <w:t xml:space="preserve"> = 0.024. The RT scores were also statistically equivalent, </w:t>
      </w:r>
      <w:r w:rsidRPr="00E050F9">
        <w:rPr>
          <w:i/>
        </w:rPr>
        <w:t>t</w:t>
      </w:r>
      <w:r w:rsidRPr="00E050F9">
        <w:t xml:space="preserve">(45) = 3.16, </w:t>
      </w:r>
      <w:r w:rsidRPr="00E050F9">
        <w:rPr>
          <w:i/>
        </w:rPr>
        <w:t>p</w:t>
      </w:r>
      <w:r w:rsidRPr="00E050F9">
        <w:t xml:space="preserve"> = 0.001. </w:t>
      </w:r>
    </w:p>
    <w:p w14:paraId="670F5D66" w14:textId="77777777" w:rsidR="004671E1" w:rsidRPr="00E050F9" w:rsidRDefault="004671E1" w:rsidP="00C82341">
      <w:pPr>
        <w:pStyle w:val="Heading2"/>
      </w:pPr>
      <w:r w:rsidRPr="00E050F9">
        <w:t>Study 2</w:t>
      </w:r>
    </w:p>
    <w:p w14:paraId="537F0F55" w14:textId="77777777" w:rsidR="004671E1" w:rsidRPr="00E050F9" w:rsidRDefault="004671E1" w:rsidP="004671E1">
      <w:r w:rsidRPr="00E050F9">
        <w:t xml:space="preserve">There was no significant difference in the percent of correctly answered conducive and non-conducive problems, </w:t>
      </w:r>
      <w:r w:rsidRPr="00E050F9">
        <w:rPr>
          <w:i/>
        </w:rPr>
        <w:t>t</w:t>
      </w:r>
      <w:r w:rsidRPr="00E050F9">
        <w:t xml:space="preserve">(51) = 0.394, </w:t>
      </w:r>
      <w:r w:rsidRPr="00E050F9">
        <w:rPr>
          <w:i/>
        </w:rPr>
        <w:t>p</w:t>
      </w:r>
      <w:r w:rsidRPr="00E050F9">
        <w:t xml:space="preserve"> = 0.695 and no significant difference in the median RT of correctly answered conducive and non-conducive problems, </w:t>
      </w:r>
      <w:r w:rsidRPr="00E050F9">
        <w:rPr>
          <w:i/>
        </w:rPr>
        <w:t>t</w:t>
      </w:r>
      <w:r w:rsidRPr="00E050F9">
        <w:t xml:space="preserve">(51) = 0.469, </w:t>
      </w:r>
      <w:r w:rsidRPr="00E050F9">
        <w:rPr>
          <w:i/>
        </w:rPr>
        <w:t>p</w:t>
      </w:r>
      <w:r w:rsidRPr="00E050F9">
        <w:t xml:space="preserve"> = 0.641. Moreover, the accuracy scores were statistically equivalent using a test of one sided significance, </w:t>
      </w:r>
      <w:r w:rsidRPr="00E050F9">
        <w:rPr>
          <w:i/>
        </w:rPr>
        <w:t>t</w:t>
      </w:r>
      <w:r w:rsidRPr="00E050F9">
        <w:t xml:space="preserve">(51) = 3.21, </w:t>
      </w:r>
      <w:r w:rsidRPr="00E050F9">
        <w:rPr>
          <w:i/>
        </w:rPr>
        <w:t>p</w:t>
      </w:r>
      <w:r w:rsidRPr="00E050F9">
        <w:t xml:space="preserve"> = 0.001. The RT scores were also statistically equivalent, </w:t>
      </w:r>
      <w:r w:rsidRPr="00E050F9">
        <w:rPr>
          <w:i/>
        </w:rPr>
        <w:t>t</w:t>
      </w:r>
      <w:r w:rsidRPr="00E050F9">
        <w:t xml:space="preserve">(51) = 3.42, </w:t>
      </w:r>
      <w:r w:rsidRPr="00E050F9">
        <w:rPr>
          <w:i/>
        </w:rPr>
        <w:t>p</w:t>
      </w:r>
      <w:r w:rsidRPr="00E050F9">
        <w:t xml:space="preserve"> = 0.001.</w:t>
      </w:r>
    </w:p>
    <w:p w14:paraId="4C7C24B1" w14:textId="77777777" w:rsidR="004671E1" w:rsidRPr="00D671E6" w:rsidRDefault="004671E1" w:rsidP="00C82341">
      <w:pPr>
        <w:pStyle w:val="Heading2"/>
      </w:pPr>
      <w:r w:rsidRPr="00D671E6">
        <w:t>Pilot study</w:t>
      </w:r>
    </w:p>
    <w:p w14:paraId="51987AF5" w14:textId="77777777" w:rsidR="004671E1" w:rsidRPr="00D671E6" w:rsidRDefault="004671E1" w:rsidP="004671E1">
      <w:r w:rsidRPr="00D671E6">
        <w:t>There was no significant difference in the percent of correctly answered conducive and non-conducive problems,</w:t>
      </w:r>
      <w:r w:rsidRPr="00D671E6">
        <w:rPr>
          <w:i/>
        </w:rPr>
        <w:t xml:space="preserve"> t</w:t>
      </w:r>
      <w:r w:rsidRPr="00D671E6">
        <w:t xml:space="preserve">(7) = 0.53, </w:t>
      </w:r>
      <w:r w:rsidRPr="00D671E6">
        <w:rPr>
          <w:i/>
        </w:rPr>
        <w:t>p</w:t>
      </w:r>
      <w:r w:rsidRPr="00D671E6">
        <w:t xml:space="preserve"> = 0.612, and no significant difference in the median RT of correctly answered conducive and non-conducive problems, </w:t>
      </w:r>
      <w:r w:rsidRPr="00D671E6">
        <w:rPr>
          <w:i/>
        </w:rPr>
        <w:t>t</w:t>
      </w:r>
      <w:r w:rsidRPr="00D671E6">
        <w:t xml:space="preserve">(7) = 0.97, </w:t>
      </w:r>
      <w:r w:rsidRPr="00D671E6">
        <w:rPr>
          <w:i/>
        </w:rPr>
        <w:t>p</w:t>
      </w:r>
      <w:r w:rsidRPr="00D671E6">
        <w:t xml:space="preserve"> = 0.364. The accuracy scores were not statistically equivalent using a test of one sided significance, </w:t>
      </w:r>
      <w:r w:rsidRPr="00D671E6">
        <w:rPr>
          <w:i/>
        </w:rPr>
        <w:t>t</w:t>
      </w:r>
      <w:r w:rsidRPr="00D671E6">
        <w:t xml:space="preserve">(7) = 0.89, </w:t>
      </w:r>
      <w:r w:rsidRPr="00D671E6">
        <w:rPr>
          <w:i/>
        </w:rPr>
        <w:t>p</w:t>
      </w:r>
      <w:r w:rsidRPr="00D671E6">
        <w:t xml:space="preserve"> = 0.203. The RT scores were not statistically equivalent, </w:t>
      </w:r>
      <w:r w:rsidRPr="00D671E6">
        <w:rPr>
          <w:i/>
        </w:rPr>
        <w:t>t</w:t>
      </w:r>
      <w:r w:rsidRPr="00D671E6">
        <w:t xml:space="preserve">(7) = 1.41, </w:t>
      </w:r>
      <w:r w:rsidRPr="00D671E6">
        <w:rPr>
          <w:i/>
        </w:rPr>
        <w:t>p</w:t>
      </w:r>
      <w:r w:rsidRPr="00D671E6">
        <w:t xml:space="preserve"> = 0.101.</w:t>
      </w:r>
    </w:p>
    <w:p w14:paraId="61B1EEFB" w14:textId="557B1167" w:rsidR="004671E1" w:rsidRPr="00D671E6" w:rsidRDefault="004671E1" w:rsidP="004671E1">
      <w:r w:rsidRPr="00D671E6">
        <w:t xml:space="preserve">Table </w:t>
      </w:r>
      <w:r w:rsidR="001116B4">
        <w:t>9</w:t>
      </w:r>
      <w:r w:rsidRPr="00D671E6">
        <w:t>: Descriptive statistics and outcomes of statistical significance</w:t>
      </w:r>
      <w:r>
        <w:t xml:space="preserve"> and equivalence tests</w:t>
      </w:r>
      <w:r w:rsidRPr="00D671E6">
        <w:t xml:space="preserve"> on accuracy and RT data for self-reported non-identifiers of the shortcut.</w:t>
      </w:r>
    </w:p>
    <w:tbl>
      <w:tblPr>
        <w:tblStyle w:val="TableGrid"/>
        <w:tblW w:w="1105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701"/>
        <w:gridCol w:w="1417"/>
        <w:gridCol w:w="2694"/>
        <w:gridCol w:w="1571"/>
        <w:gridCol w:w="2681"/>
      </w:tblGrid>
      <w:tr w:rsidR="004671E1" w:rsidRPr="00D671E6" w14:paraId="3AF80CEB" w14:textId="77777777" w:rsidTr="00B4408D">
        <w:tc>
          <w:tcPr>
            <w:tcW w:w="993" w:type="dxa"/>
            <w:tcBorders>
              <w:bottom w:val="single" w:sz="4" w:space="0" w:color="auto"/>
            </w:tcBorders>
          </w:tcPr>
          <w:p w14:paraId="0229F532" w14:textId="77777777" w:rsidR="004671E1" w:rsidRPr="00D671E6" w:rsidRDefault="004671E1" w:rsidP="00B4408D">
            <w:pPr>
              <w:jc w:val="center"/>
            </w:pPr>
          </w:p>
        </w:tc>
        <w:tc>
          <w:tcPr>
            <w:tcW w:w="1701" w:type="dxa"/>
            <w:tcBorders>
              <w:bottom w:val="single" w:sz="4" w:space="0" w:color="auto"/>
            </w:tcBorders>
          </w:tcPr>
          <w:p w14:paraId="1EB022C2" w14:textId="77777777" w:rsidR="004671E1" w:rsidRPr="00D671E6" w:rsidRDefault="004671E1" w:rsidP="00B4408D">
            <w:pPr>
              <w:jc w:val="center"/>
            </w:pPr>
          </w:p>
        </w:tc>
        <w:tc>
          <w:tcPr>
            <w:tcW w:w="1417" w:type="dxa"/>
            <w:tcBorders>
              <w:bottom w:val="single" w:sz="4" w:space="0" w:color="auto"/>
            </w:tcBorders>
          </w:tcPr>
          <w:p w14:paraId="66322AAB" w14:textId="77777777" w:rsidR="004671E1" w:rsidRPr="00D671E6" w:rsidRDefault="004671E1" w:rsidP="00B4408D">
            <w:pPr>
              <w:jc w:val="center"/>
            </w:pPr>
            <w:r w:rsidRPr="00D671E6">
              <w:t>Accuracy</w:t>
            </w:r>
            <w:r>
              <w:t xml:space="preserve"> (%)</w:t>
            </w:r>
          </w:p>
        </w:tc>
        <w:tc>
          <w:tcPr>
            <w:tcW w:w="2694" w:type="dxa"/>
            <w:tcBorders>
              <w:bottom w:val="single" w:sz="4" w:space="0" w:color="auto"/>
            </w:tcBorders>
          </w:tcPr>
          <w:p w14:paraId="2D9BC9D3" w14:textId="77777777" w:rsidR="004671E1" w:rsidRPr="00D671E6" w:rsidRDefault="004671E1" w:rsidP="00B4408D">
            <w:pPr>
              <w:jc w:val="center"/>
            </w:pPr>
            <w:r w:rsidRPr="00D671E6">
              <w:t>Outcome</w:t>
            </w:r>
            <w:r>
              <w:t xml:space="preserve"> of accuracy analyses</w:t>
            </w:r>
          </w:p>
        </w:tc>
        <w:tc>
          <w:tcPr>
            <w:tcW w:w="1571" w:type="dxa"/>
            <w:tcBorders>
              <w:bottom w:val="single" w:sz="4" w:space="0" w:color="auto"/>
            </w:tcBorders>
          </w:tcPr>
          <w:p w14:paraId="4C9A661D" w14:textId="77777777" w:rsidR="004671E1" w:rsidRPr="00D671E6" w:rsidRDefault="004671E1" w:rsidP="00B4408D">
            <w:pPr>
              <w:jc w:val="center"/>
            </w:pPr>
            <w:r w:rsidRPr="00D671E6">
              <w:t>Median RT</w:t>
            </w:r>
            <w:r>
              <w:t xml:space="preserve"> (s)</w:t>
            </w:r>
          </w:p>
        </w:tc>
        <w:tc>
          <w:tcPr>
            <w:tcW w:w="2681" w:type="dxa"/>
            <w:tcBorders>
              <w:bottom w:val="single" w:sz="4" w:space="0" w:color="auto"/>
            </w:tcBorders>
          </w:tcPr>
          <w:p w14:paraId="5A4C44CB" w14:textId="77777777" w:rsidR="004671E1" w:rsidRPr="00D671E6" w:rsidRDefault="004671E1" w:rsidP="00B4408D">
            <w:pPr>
              <w:jc w:val="center"/>
            </w:pPr>
            <w:r>
              <w:t>Outcome of RT analyses</w:t>
            </w:r>
          </w:p>
        </w:tc>
      </w:tr>
      <w:tr w:rsidR="004671E1" w:rsidRPr="00D671E6" w14:paraId="54ADB78D" w14:textId="77777777" w:rsidTr="00B4408D">
        <w:trPr>
          <w:trHeight w:val="740"/>
        </w:trPr>
        <w:tc>
          <w:tcPr>
            <w:tcW w:w="993" w:type="dxa"/>
            <w:tcBorders>
              <w:top w:val="single" w:sz="4" w:space="0" w:color="auto"/>
            </w:tcBorders>
            <w:vAlign w:val="center"/>
          </w:tcPr>
          <w:p w14:paraId="59145FCC" w14:textId="77777777" w:rsidR="004671E1" w:rsidRPr="00D671E6" w:rsidRDefault="004671E1" w:rsidP="00B4408D">
            <w:pPr>
              <w:jc w:val="center"/>
            </w:pPr>
            <w:r w:rsidRPr="00D671E6">
              <w:t>Study 1</w:t>
            </w:r>
          </w:p>
        </w:tc>
        <w:tc>
          <w:tcPr>
            <w:tcW w:w="1701" w:type="dxa"/>
            <w:tcBorders>
              <w:top w:val="single" w:sz="4" w:space="0" w:color="auto"/>
            </w:tcBorders>
            <w:vAlign w:val="center"/>
          </w:tcPr>
          <w:p w14:paraId="7DABF96F" w14:textId="77777777" w:rsidR="004671E1" w:rsidRPr="00D671E6" w:rsidRDefault="004671E1" w:rsidP="00B4408D">
            <w:pPr>
              <w:jc w:val="center"/>
            </w:pPr>
            <w:r w:rsidRPr="00D671E6">
              <w:t>Conducive</w:t>
            </w:r>
          </w:p>
          <w:p w14:paraId="498D1FD8" w14:textId="77777777" w:rsidR="004671E1" w:rsidRPr="00D671E6" w:rsidRDefault="004671E1" w:rsidP="00B4408D">
            <w:pPr>
              <w:jc w:val="center"/>
            </w:pPr>
            <w:r w:rsidRPr="00D671E6">
              <w:t>Non-conducive</w:t>
            </w:r>
          </w:p>
        </w:tc>
        <w:tc>
          <w:tcPr>
            <w:tcW w:w="1417" w:type="dxa"/>
            <w:tcBorders>
              <w:top w:val="single" w:sz="4" w:space="0" w:color="auto"/>
            </w:tcBorders>
            <w:vAlign w:val="center"/>
          </w:tcPr>
          <w:p w14:paraId="460B7982" w14:textId="77777777" w:rsidR="004671E1" w:rsidRPr="00D671E6" w:rsidRDefault="004671E1" w:rsidP="00B4408D">
            <w:pPr>
              <w:jc w:val="center"/>
            </w:pPr>
            <w:r w:rsidRPr="00D671E6">
              <w:t>80.91 (14.48)</w:t>
            </w:r>
          </w:p>
          <w:p w14:paraId="41415A7A" w14:textId="77777777" w:rsidR="004671E1" w:rsidRPr="00D671E6" w:rsidRDefault="004671E1" w:rsidP="00B4408D">
            <w:pPr>
              <w:jc w:val="center"/>
            </w:pPr>
            <w:r w:rsidRPr="00D671E6">
              <w:t>83.08 (12.54)</w:t>
            </w:r>
          </w:p>
        </w:tc>
        <w:tc>
          <w:tcPr>
            <w:tcW w:w="2694" w:type="dxa"/>
            <w:tcBorders>
              <w:top w:val="single" w:sz="4" w:space="0" w:color="auto"/>
            </w:tcBorders>
            <w:vAlign w:val="center"/>
          </w:tcPr>
          <w:p w14:paraId="0338C387" w14:textId="77777777" w:rsidR="004671E1" w:rsidRPr="00D671E6" w:rsidRDefault="004671E1" w:rsidP="00B4408D">
            <w:pPr>
              <w:jc w:val="center"/>
            </w:pPr>
            <w:r>
              <w:t>Not significantly different Statistically equivalent</w:t>
            </w:r>
          </w:p>
        </w:tc>
        <w:tc>
          <w:tcPr>
            <w:tcW w:w="1571" w:type="dxa"/>
            <w:tcBorders>
              <w:top w:val="single" w:sz="4" w:space="0" w:color="auto"/>
            </w:tcBorders>
            <w:vAlign w:val="center"/>
          </w:tcPr>
          <w:p w14:paraId="33B1D747" w14:textId="77777777" w:rsidR="004671E1" w:rsidRPr="00D671E6" w:rsidRDefault="004671E1" w:rsidP="00B4408D">
            <w:pPr>
              <w:jc w:val="center"/>
            </w:pPr>
            <w:r w:rsidRPr="00D671E6">
              <w:t>15.42 (6.82)</w:t>
            </w:r>
          </w:p>
          <w:p w14:paraId="489C9257" w14:textId="77777777" w:rsidR="004671E1" w:rsidRPr="00D671E6" w:rsidRDefault="004671E1" w:rsidP="00B4408D">
            <w:pPr>
              <w:jc w:val="center"/>
            </w:pPr>
            <w:r w:rsidRPr="00D671E6">
              <w:t>15.35 (7.05)</w:t>
            </w:r>
          </w:p>
        </w:tc>
        <w:tc>
          <w:tcPr>
            <w:tcW w:w="2681" w:type="dxa"/>
            <w:tcBorders>
              <w:top w:val="single" w:sz="4" w:space="0" w:color="auto"/>
            </w:tcBorders>
            <w:vAlign w:val="center"/>
          </w:tcPr>
          <w:p w14:paraId="39A6F264" w14:textId="77777777" w:rsidR="004671E1" w:rsidRPr="00D671E6" w:rsidRDefault="004671E1" w:rsidP="00B4408D">
            <w:pPr>
              <w:jc w:val="center"/>
            </w:pPr>
            <w:r>
              <w:t>Not significantly different Statistically equivalent</w:t>
            </w:r>
          </w:p>
        </w:tc>
      </w:tr>
      <w:tr w:rsidR="004671E1" w:rsidRPr="00D671E6" w14:paraId="2E0D5BA9" w14:textId="77777777" w:rsidTr="00B4408D">
        <w:trPr>
          <w:trHeight w:val="860"/>
        </w:trPr>
        <w:tc>
          <w:tcPr>
            <w:tcW w:w="993" w:type="dxa"/>
            <w:vAlign w:val="center"/>
          </w:tcPr>
          <w:p w14:paraId="2767722B" w14:textId="77777777" w:rsidR="004671E1" w:rsidRPr="00D671E6" w:rsidRDefault="004671E1" w:rsidP="00B4408D">
            <w:pPr>
              <w:jc w:val="center"/>
            </w:pPr>
            <w:r w:rsidRPr="00D671E6">
              <w:t>Study 2</w:t>
            </w:r>
          </w:p>
        </w:tc>
        <w:tc>
          <w:tcPr>
            <w:tcW w:w="1701" w:type="dxa"/>
            <w:vAlign w:val="center"/>
          </w:tcPr>
          <w:p w14:paraId="46939C36" w14:textId="77777777" w:rsidR="004671E1" w:rsidRPr="00D671E6" w:rsidRDefault="004671E1" w:rsidP="00B4408D">
            <w:pPr>
              <w:jc w:val="center"/>
            </w:pPr>
            <w:r w:rsidRPr="00D671E6">
              <w:t>Conducive</w:t>
            </w:r>
          </w:p>
          <w:p w14:paraId="27DC8D20" w14:textId="77777777" w:rsidR="004671E1" w:rsidRPr="00D671E6" w:rsidRDefault="004671E1" w:rsidP="00B4408D">
            <w:pPr>
              <w:jc w:val="center"/>
            </w:pPr>
            <w:r w:rsidRPr="00D671E6">
              <w:t>Non-conducive</w:t>
            </w:r>
          </w:p>
        </w:tc>
        <w:tc>
          <w:tcPr>
            <w:tcW w:w="1417" w:type="dxa"/>
            <w:vAlign w:val="center"/>
          </w:tcPr>
          <w:p w14:paraId="531EBF5E" w14:textId="77777777" w:rsidR="004671E1" w:rsidRPr="00D671E6" w:rsidRDefault="004671E1" w:rsidP="00B4408D">
            <w:pPr>
              <w:jc w:val="center"/>
            </w:pPr>
            <w:r w:rsidRPr="00D671E6">
              <w:t>83.19 (13.48)</w:t>
            </w:r>
          </w:p>
          <w:p w14:paraId="5DA06292" w14:textId="77777777" w:rsidR="004671E1" w:rsidRPr="00D671E6" w:rsidRDefault="004671E1" w:rsidP="00B4408D">
            <w:pPr>
              <w:jc w:val="center"/>
            </w:pPr>
            <w:r w:rsidRPr="00D671E6">
              <w:t>83.70 (11.83)</w:t>
            </w:r>
          </w:p>
        </w:tc>
        <w:tc>
          <w:tcPr>
            <w:tcW w:w="2694" w:type="dxa"/>
            <w:vAlign w:val="center"/>
          </w:tcPr>
          <w:p w14:paraId="6CF26AAE" w14:textId="77777777" w:rsidR="004671E1" w:rsidRPr="00D671E6" w:rsidRDefault="004671E1" w:rsidP="00B4408D">
            <w:pPr>
              <w:jc w:val="center"/>
            </w:pPr>
            <w:r>
              <w:t>Not significantly different Statistically equivalent</w:t>
            </w:r>
          </w:p>
        </w:tc>
        <w:tc>
          <w:tcPr>
            <w:tcW w:w="1571" w:type="dxa"/>
            <w:vAlign w:val="center"/>
          </w:tcPr>
          <w:p w14:paraId="2AF387C7" w14:textId="77777777" w:rsidR="004671E1" w:rsidRPr="00D671E6" w:rsidRDefault="004671E1" w:rsidP="00B4408D">
            <w:pPr>
              <w:jc w:val="center"/>
            </w:pPr>
            <w:r w:rsidRPr="00D671E6">
              <w:t>16.68 (6.15)</w:t>
            </w:r>
          </w:p>
          <w:p w14:paraId="5BACACCA" w14:textId="77777777" w:rsidR="004671E1" w:rsidRPr="00D671E6" w:rsidRDefault="004671E1" w:rsidP="00B4408D">
            <w:pPr>
              <w:jc w:val="center"/>
            </w:pPr>
            <w:r w:rsidRPr="00D671E6">
              <w:t>16.57 (6.08)</w:t>
            </w:r>
          </w:p>
        </w:tc>
        <w:tc>
          <w:tcPr>
            <w:tcW w:w="2681" w:type="dxa"/>
            <w:vAlign w:val="center"/>
          </w:tcPr>
          <w:p w14:paraId="0A6DB6E0" w14:textId="77777777" w:rsidR="004671E1" w:rsidRPr="00D671E6" w:rsidRDefault="004671E1" w:rsidP="00B4408D">
            <w:pPr>
              <w:jc w:val="center"/>
            </w:pPr>
            <w:r>
              <w:t>Not significantly different Statistically equivalent</w:t>
            </w:r>
          </w:p>
        </w:tc>
      </w:tr>
      <w:tr w:rsidR="004671E1" w:rsidRPr="00D671E6" w14:paraId="49274388" w14:textId="77777777" w:rsidTr="00B4408D">
        <w:tc>
          <w:tcPr>
            <w:tcW w:w="993" w:type="dxa"/>
            <w:tcBorders>
              <w:bottom w:val="single" w:sz="4" w:space="0" w:color="auto"/>
            </w:tcBorders>
            <w:vAlign w:val="center"/>
          </w:tcPr>
          <w:p w14:paraId="51822348" w14:textId="77777777" w:rsidR="004671E1" w:rsidRPr="00D671E6" w:rsidRDefault="004671E1" w:rsidP="00B4408D">
            <w:pPr>
              <w:jc w:val="center"/>
            </w:pPr>
            <w:r w:rsidRPr="00D671E6">
              <w:t>Pilot study</w:t>
            </w:r>
          </w:p>
        </w:tc>
        <w:tc>
          <w:tcPr>
            <w:tcW w:w="1701" w:type="dxa"/>
            <w:tcBorders>
              <w:bottom w:val="single" w:sz="4" w:space="0" w:color="auto"/>
            </w:tcBorders>
            <w:vAlign w:val="center"/>
          </w:tcPr>
          <w:p w14:paraId="0890668A" w14:textId="77777777" w:rsidR="004671E1" w:rsidRPr="00D671E6" w:rsidRDefault="004671E1" w:rsidP="00B4408D">
            <w:pPr>
              <w:jc w:val="center"/>
            </w:pPr>
            <w:r w:rsidRPr="00D671E6">
              <w:t>Conducive</w:t>
            </w:r>
          </w:p>
          <w:p w14:paraId="26BA6665" w14:textId="77777777" w:rsidR="004671E1" w:rsidRPr="00D671E6" w:rsidRDefault="004671E1" w:rsidP="00B4408D">
            <w:pPr>
              <w:jc w:val="center"/>
            </w:pPr>
            <w:r w:rsidRPr="00D671E6">
              <w:t>Non-conducive</w:t>
            </w:r>
          </w:p>
        </w:tc>
        <w:tc>
          <w:tcPr>
            <w:tcW w:w="1417" w:type="dxa"/>
            <w:tcBorders>
              <w:bottom w:val="single" w:sz="4" w:space="0" w:color="auto"/>
            </w:tcBorders>
            <w:vAlign w:val="center"/>
          </w:tcPr>
          <w:p w14:paraId="57F6F540" w14:textId="77777777" w:rsidR="004671E1" w:rsidRPr="00D671E6" w:rsidRDefault="004671E1" w:rsidP="00B4408D">
            <w:pPr>
              <w:jc w:val="center"/>
            </w:pPr>
            <w:r w:rsidRPr="00D671E6">
              <w:t>76.47 (31.71)</w:t>
            </w:r>
          </w:p>
          <w:p w14:paraId="382B79CF" w14:textId="77777777" w:rsidR="004671E1" w:rsidRPr="00D671E6" w:rsidRDefault="004671E1" w:rsidP="00B4408D">
            <w:pPr>
              <w:jc w:val="center"/>
            </w:pPr>
            <w:r w:rsidRPr="00D671E6">
              <w:t>74.60 (29.65)</w:t>
            </w:r>
          </w:p>
        </w:tc>
        <w:tc>
          <w:tcPr>
            <w:tcW w:w="2694" w:type="dxa"/>
            <w:tcBorders>
              <w:bottom w:val="single" w:sz="4" w:space="0" w:color="auto"/>
            </w:tcBorders>
            <w:vAlign w:val="center"/>
          </w:tcPr>
          <w:p w14:paraId="76ECC0B4" w14:textId="77777777" w:rsidR="004671E1" w:rsidRPr="00D671E6" w:rsidRDefault="004671E1" w:rsidP="00B4408D">
            <w:pPr>
              <w:jc w:val="center"/>
            </w:pPr>
            <w:r>
              <w:t>Not significantly different Not statistically equivalent</w:t>
            </w:r>
          </w:p>
        </w:tc>
        <w:tc>
          <w:tcPr>
            <w:tcW w:w="1571" w:type="dxa"/>
            <w:tcBorders>
              <w:bottom w:val="single" w:sz="4" w:space="0" w:color="auto"/>
            </w:tcBorders>
            <w:vAlign w:val="center"/>
          </w:tcPr>
          <w:p w14:paraId="73A9B6AB" w14:textId="77777777" w:rsidR="004671E1" w:rsidRPr="00D671E6" w:rsidRDefault="004671E1" w:rsidP="00B4408D">
            <w:pPr>
              <w:jc w:val="center"/>
            </w:pPr>
            <w:r w:rsidRPr="00D671E6">
              <w:t>15.77 (3.64)</w:t>
            </w:r>
          </w:p>
          <w:p w14:paraId="50D1B2EF" w14:textId="77777777" w:rsidR="004671E1" w:rsidRPr="00D671E6" w:rsidRDefault="004671E1" w:rsidP="00B4408D">
            <w:pPr>
              <w:jc w:val="center"/>
            </w:pPr>
            <w:r w:rsidRPr="00D671E6">
              <w:t>16.68 (4.36)</w:t>
            </w:r>
          </w:p>
        </w:tc>
        <w:tc>
          <w:tcPr>
            <w:tcW w:w="2681" w:type="dxa"/>
            <w:tcBorders>
              <w:bottom w:val="single" w:sz="4" w:space="0" w:color="auto"/>
            </w:tcBorders>
            <w:vAlign w:val="center"/>
          </w:tcPr>
          <w:p w14:paraId="17CA5B8F" w14:textId="77777777" w:rsidR="004671E1" w:rsidRPr="00D671E6" w:rsidRDefault="004671E1" w:rsidP="00B4408D">
            <w:pPr>
              <w:jc w:val="center"/>
            </w:pPr>
            <w:r>
              <w:t>Not significantly different Not statistically equivalent</w:t>
            </w:r>
          </w:p>
        </w:tc>
      </w:tr>
    </w:tbl>
    <w:p w14:paraId="0256964C" w14:textId="77777777" w:rsidR="004671E1" w:rsidRDefault="004671E1" w:rsidP="004671E1"/>
    <w:p w14:paraId="4ED08593" w14:textId="4048C66F" w:rsidR="004671E1" w:rsidRDefault="004671E1" w:rsidP="004671E1">
      <w:r w:rsidRPr="00D671E6">
        <w:t xml:space="preserve">We performed the same analyses described above on the accuracy and RT data for self-reported identifiers. </w:t>
      </w:r>
      <w:r>
        <w:t>In Study 1, t</w:t>
      </w:r>
      <w:r w:rsidRPr="00D671E6">
        <w:t xml:space="preserve">here was a significant difference in the percent of correctly answered conducive and non-conducive problems, </w:t>
      </w:r>
      <w:r w:rsidRPr="0099748A">
        <w:rPr>
          <w:i/>
        </w:rPr>
        <w:t>t</w:t>
      </w:r>
      <w:r w:rsidRPr="00D671E6">
        <w:t xml:space="preserve">(61) = 5.94, </w:t>
      </w:r>
      <w:r w:rsidRPr="0099748A">
        <w:rPr>
          <w:i/>
        </w:rPr>
        <w:t>p</w:t>
      </w:r>
      <w:r>
        <w:t xml:space="preserve"> </w:t>
      </w:r>
      <w:r w:rsidRPr="00D671E6">
        <w:t xml:space="preserve">&lt;0.001, and a significant difference in the median RT of correctly answered conducive and non-conducive problems, </w:t>
      </w:r>
      <w:r w:rsidRPr="0099748A">
        <w:rPr>
          <w:i/>
        </w:rPr>
        <w:t>t</w:t>
      </w:r>
      <w:r w:rsidRPr="00D671E6">
        <w:t xml:space="preserve">(61) = 12.48, </w:t>
      </w:r>
      <w:r w:rsidRPr="0099748A">
        <w:rPr>
          <w:i/>
        </w:rPr>
        <w:t>p</w:t>
      </w:r>
      <w:r w:rsidRPr="00D671E6">
        <w:t>&lt; 0.001.</w:t>
      </w:r>
      <w:r>
        <w:t xml:space="preserve"> In Study 2, t</w:t>
      </w:r>
      <w:r w:rsidRPr="00D671E6">
        <w:t xml:space="preserve">here was a significant difference in the percent of correctly answered conducive and non-conducive problems, </w:t>
      </w:r>
      <w:r w:rsidRPr="0099748A">
        <w:rPr>
          <w:i/>
        </w:rPr>
        <w:t>t</w:t>
      </w:r>
      <w:r w:rsidRPr="00D671E6">
        <w:t xml:space="preserve">(55) = 6.86, </w:t>
      </w:r>
      <w:r w:rsidRPr="0099748A">
        <w:rPr>
          <w:i/>
        </w:rPr>
        <w:t>p</w:t>
      </w:r>
      <w:r w:rsidRPr="00D671E6">
        <w:t xml:space="preserve"> &lt;0.001, and a significant difference in the median RT of correctly answered conducive and non-conducive problems, </w:t>
      </w:r>
      <w:r w:rsidRPr="0099748A">
        <w:rPr>
          <w:i/>
        </w:rPr>
        <w:t>t</w:t>
      </w:r>
      <w:r w:rsidRPr="00D671E6">
        <w:t>(55) = 12.83, p &lt; 0.001.</w:t>
      </w:r>
    </w:p>
    <w:p w14:paraId="42F17986" w14:textId="53AA53E9" w:rsidR="008338A1" w:rsidRDefault="008338A1" w:rsidP="004671E1"/>
    <w:p w14:paraId="4861FE5E" w14:textId="5E7D434A" w:rsidR="008338A1" w:rsidRDefault="008338A1" w:rsidP="00C82341">
      <w:pPr>
        <w:pStyle w:val="Heading1"/>
      </w:pPr>
      <w:r>
        <w:t>3. Analysis of false alarms</w:t>
      </w:r>
    </w:p>
    <w:p w14:paraId="0D351D33" w14:textId="33FA0EB8" w:rsidR="008338A1" w:rsidRDefault="001116B4" w:rsidP="008338A1">
      <w:r>
        <w:t>We</w:t>
      </w:r>
      <w:r w:rsidR="008338A1">
        <w:t xml:space="preserve"> reanalysed our data with the false alarms classed as identifiers. The pattern of results stayed the same as the results in our manuscript. Full details are reported below.</w:t>
      </w:r>
    </w:p>
    <w:p w14:paraId="2F10AFDD" w14:textId="77777777" w:rsidR="008338A1" w:rsidRDefault="008338A1" w:rsidP="00C82341">
      <w:pPr>
        <w:pStyle w:val="Heading2"/>
      </w:pPr>
      <w:r>
        <w:t>Study 1</w:t>
      </w:r>
    </w:p>
    <w:p w14:paraId="2E377F49" w14:textId="77777777" w:rsidR="008338A1" w:rsidRDefault="008338A1" w:rsidP="008338A1">
      <w:pPr>
        <w:pStyle w:val="Heading4"/>
      </w:pPr>
      <w:r>
        <w:t>Number of identifiers</w:t>
      </w:r>
    </w:p>
    <w:p w14:paraId="221AF0BC" w14:textId="77777777" w:rsidR="008338A1" w:rsidRDefault="008338A1" w:rsidP="008338A1">
      <w:r>
        <w:t xml:space="preserve">There was no significant difference in the number of identifiers across the three conditions, </w:t>
      </w:r>
      <w:r w:rsidRPr="007C6B94">
        <w:rPr>
          <w:i/>
        </w:rPr>
        <w:t>x</w:t>
      </w:r>
      <w:r w:rsidRPr="007C6B94">
        <w:rPr>
          <w:i/>
          <w:vertAlign w:val="superscript"/>
        </w:rPr>
        <w:t>2</w:t>
      </w:r>
      <w:r w:rsidRPr="00035271">
        <w:t xml:space="preserve">(2) = </w:t>
      </w:r>
      <w:r>
        <w:t>2.75</w:t>
      </w:r>
      <w:r w:rsidRPr="00035271">
        <w:t xml:space="preserve">, </w:t>
      </w:r>
      <w:r w:rsidRPr="007C6B94">
        <w:rPr>
          <w:i/>
        </w:rPr>
        <w:t>p</w:t>
      </w:r>
      <w:r w:rsidRPr="00035271">
        <w:t xml:space="preserve"> = 0.</w:t>
      </w:r>
      <w:r>
        <w:t>252</w:t>
      </w:r>
      <w:r w:rsidRPr="00035271">
        <w:t>, Cramer’s V = 0.1</w:t>
      </w:r>
      <w:r>
        <w:t>6</w:t>
      </w:r>
      <w:r w:rsidRPr="00035271">
        <w:t>.</w:t>
      </w:r>
    </w:p>
    <w:p w14:paraId="7E920E45" w14:textId="77777777" w:rsidR="008338A1" w:rsidRDefault="008338A1" w:rsidP="008338A1">
      <w:pPr>
        <w:pStyle w:val="Heading4"/>
      </w:pPr>
      <w:r>
        <w:lastRenderedPageBreak/>
        <w:t>Trial numbers of the identification point</w:t>
      </w:r>
    </w:p>
    <w:p w14:paraId="443A7330" w14:textId="77777777" w:rsidR="008338A1" w:rsidRDefault="008338A1" w:rsidP="008338A1">
      <w:pPr>
        <w:rPr>
          <w:color w:val="000000" w:themeColor="text1"/>
        </w:rPr>
      </w:pPr>
      <w:r>
        <w:rPr>
          <w:color w:val="000000" w:themeColor="text1"/>
        </w:rPr>
        <w:t xml:space="preserve">The data were not normally distributed. A </w:t>
      </w:r>
      <w:r w:rsidRPr="00C048A4">
        <w:rPr>
          <w:color w:val="000000" w:themeColor="text1"/>
        </w:rPr>
        <w:t xml:space="preserve">Kruskal-Wallis test </w:t>
      </w:r>
      <w:r>
        <w:rPr>
          <w:color w:val="000000" w:themeColor="text1"/>
        </w:rPr>
        <w:t>with</w:t>
      </w:r>
      <w:r w:rsidRPr="00C048A4">
        <w:rPr>
          <w:color w:val="000000" w:themeColor="text1"/>
        </w:rPr>
        <w:t xml:space="preserve"> three levels (left-prime, right-prime, </w:t>
      </w:r>
      <w:r>
        <w:rPr>
          <w:color w:val="000000" w:themeColor="text1"/>
        </w:rPr>
        <w:t>control</w:t>
      </w:r>
      <w:r w:rsidRPr="00C048A4">
        <w:rPr>
          <w:color w:val="000000" w:themeColor="text1"/>
        </w:rPr>
        <w:t>)</w:t>
      </w:r>
      <w:r>
        <w:rPr>
          <w:color w:val="000000" w:themeColor="text1"/>
        </w:rPr>
        <w:t xml:space="preserve"> found n</w:t>
      </w:r>
      <w:r w:rsidRPr="00C048A4">
        <w:rPr>
          <w:color w:val="000000" w:themeColor="text1"/>
        </w:rPr>
        <w:t xml:space="preserve">o significant difference between the conditions in the conducive trial number of identification, </w:t>
      </w:r>
      <w:r w:rsidRPr="007C6B94">
        <w:rPr>
          <w:i/>
          <w:color w:val="000000" w:themeColor="text1"/>
        </w:rPr>
        <w:t>X</w:t>
      </w:r>
      <w:r w:rsidRPr="007C6B94">
        <w:rPr>
          <w:i/>
          <w:color w:val="000000" w:themeColor="text1"/>
          <w:vertAlign w:val="superscript"/>
        </w:rPr>
        <w:t>2</w:t>
      </w:r>
      <w:r>
        <w:rPr>
          <w:color w:val="000000" w:themeColor="text1"/>
        </w:rPr>
        <w:t>(2</w:t>
      </w:r>
      <w:r w:rsidRPr="00C048A4">
        <w:rPr>
          <w:color w:val="000000" w:themeColor="text1"/>
        </w:rPr>
        <w:t xml:space="preserve">) = </w:t>
      </w:r>
      <w:r>
        <w:rPr>
          <w:color w:val="000000" w:themeColor="text1"/>
        </w:rPr>
        <w:t>2.72</w:t>
      </w:r>
      <w:r w:rsidRPr="00C048A4">
        <w:rPr>
          <w:color w:val="000000" w:themeColor="text1"/>
        </w:rPr>
        <w:t xml:space="preserve">, </w:t>
      </w:r>
      <w:r w:rsidRPr="007C6B94">
        <w:rPr>
          <w:i/>
          <w:color w:val="000000" w:themeColor="text1"/>
        </w:rPr>
        <w:t>p</w:t>
      </w:r>
      <w:r w:rsidRPr="00C048A4">
        <w:rPr>
          <w:color w:val="000000" w:themeColor="text1"/>
        </w:rPr>
        <w:t xml:space="preserve"> = 0.</w:t>
      </w:r>
      <w:r>
        <w:rPr>
          <w:color w:val="000000" w:themeColor="text1"/>
        </w:rPr>
        <w:t>257</w:t>
      </w:r>
      <w:r w:rsidRPr="00C048A4">
        <w:rPr>
          <w:color w:val="000000" w:themeColor="text1"/>
        </w:rPr>
        <w:t xml:space="preserve">, or the total trial number of identification, </w:t>
      </w:r>
      <w:r w:rsidRPr="007C6B94">
        <w:rPr>
          <w:i/>
          <w:color w:val="000000" w:themeColor="text1"/>
        </w:rPr>
        <w:t>X</w:t>
      </w:r>
      <w:r w:rsidRPr="007C6B94">
        <w:rPr>
          <w:i/>
          <w:color w:val="000000" w:themeColor="text1"/>
          <w:vertAlign w:val="superscript"/>
        </w:rPr>
        <w:t>2</w:t>
      </w:r>
      <w:r>
        <w:rPr>
          <w:color w:val="000000" w:themeColor="text1"/>
        </w:rPr>
        <w:t>(2</w:t>
      </w:r>
      <w:r w:rsidRPr="00C048A4">
        <w:rPr>
          <w:color w:val="000000" w:themeColor="text1"/>
        </w:rPr>
        <w:t xml:space="preserve">) = </w:t>
      </w:r>
      <w:r>
        <w:rPr>
          <w:color w:val="000000" w:themeColor="text1"/>
        </w:rPr>
        <w:t>2.72</w:t>
      </w:r>
      <w:r w:rsidRPr="00C048A4">
        <w:rPr>
          <w:color w:val="000000" w:themeColor="text1"/>
        </w:rPr>
        <w:t xml:space="preserve">, </w:t>
      </w:r>
      <w:r w:rsidRPr="007C6B94">
        <w:rPr>
          <w:i/>
          <w:color w:val="000000" w:themeColor="text1"/>
        </w:rPr>
        <w:t>p</w:t>
      </w:r>
      <w:r w:rsidRPr="00C048A4">
        <w:rPr>
          <w:color w:val="000000" w:themeColor="text1"/>
        </w:rPr>
        <w:t xml:space="preserve"> = 0.</w:t>
      </w:r>
      <w:r>
        <w:rPr>
          <w:color w:val="000000" w:themeColor="text1"/>
        </w:rPr>
        <w:t>257.</w:t>
      </w:r>
    </w:p>
    <w:p w14:paraId="1161D7AD" w14:textId="77777777" w:rsidR="008338A1" w:rsidRDefault="008338A1" w:rsidP="008338A1">
      <w:pPr>
        <w:pStyle w:val="Heading4"/>
      </w:pPr>
      <w:r>
        <w:t>Response time across all trials</w:t>
      </w:r>
    </w:p>
    <w:p w14:paraId="719BB627" w14:textId="77777777" w:rsidR="008338A1" w:rsidRDefault="008338A1" w:rsidP="008338A1">
      <w:pPr>
        <w:rPr>
          <w:color w:val="000000" w:themeColor="text1"/>
        </w:rPr>
      </w:pPr>
      <w:r w:rsidRPr="00C048A4">
        <w:rPr>
          <w:color w:val="000000" w:themeColor="text1"/>
        </w:rPr>
        <w:t xml:space="preserve">A 3*2 mixed ANOVA with condition (left-prime, right-prime, </w:t>
      </w:r>
      <w:r>
        <w:rPr>
          <w:color w:val="000000" w:themeColor="text1"/>
        </w:rPr>
        <w:t>control</w:t>
      </w:r>
      <w:r w:rsidRPr="00C048A4">
        <w:rPr>
          <w:color w:val="000000" w:themeColor="text1"/>
        </w:rPr>
        <w:t xml:space="preserve">) and problem type (conducive, non-conducive) as between and within-subject factors </w:t>
      </w:r>
      <w:r>
        <w:rPr>
          <w:color w:val="000000" w:themeColor="text1"/>
        </w:rPr>
        <w:t>found</w:t>
      </w:r>
      <w:r w:rsidRPr="00C048A4">
        <w:rPr>
          <w:color w:val="000000" w:themeColor="text1"/>
        </w:rPr>
        <w:t xml:space="preserve"> a main effect of problem type, </w:t>
      </w:r>
      <w:r w:rsidRPr="00C048A4">
        <w:rPr>
          <w:i/>
          <w:color w:val="000000" w:themeColor="text1"/>
        </w:rPr>
        <w:t>F</w:t>
      </w:r>
      <w:r w:rsidRPr="00C048A4">
        <w:rPr>
          <w:color w:val="000000" w:themeColor="text1"/>
        </w:rPr>
        <w:t xml:space="preserve">(1, </w:t>
      </w:r>
      <w:r>
        <w:rPr>
          <w:color w:val="000000" w:themeColor="text1"/>
        </w:rPr>
        <w:t>73</w:t>
      </w:r>
      <w:r w:rsidRPr="00C048A4">
        <w:rPr>
          <w:color w:val="000000" w:themeColor="text1"/>
        </w:rPr>
        <w:t xml:space="preserve">) = </w:t>
      </w:r>
      <w:r>
        <w:rPr>
          <w:color w:val="000000" w:themeColor="text1"/>
        </w:rPr>
        <w:t>112.56</w:t>
      </w:r>
      <w:r w:rsidRPr="00C048A4">
        <w:rPr>
          <w:color w:val="000000" w:themeColor="text1"/>
        </w:rPr>
        <w:t xml:space="preserve">, </w:t>
      </w:r>
      <w:r w:rsidRPr="00C048A4">
        <w:rPr>
          <w:i/>
          <w:color w:val="000000" w:themeColor="text1"/>
        </w:rPr>
        <w:t>p</w:t>
      </w:r>
      <w:r w:rsidRPr="00C048A4">
        <w:rPr>
          <w:color w:val="000000" w:themeColor="text1"/>
        </w:rPr>
        <w:t xml:space="preserve">&lt;0.001, </w:t>
      </w:r>
      <w:r w:rsidRPr="00C048A4">
        <w:rPr>
          <w:color w:val="000000" w:themeColor="text1"/>
          <w:lang w:val="en-US"/>
        </w:rPr>
        <w:sym w:font="Symbol" w:char="F068"/>
      </w:r>
      <w:r w:rsidRPr="00C048A4">
        <w:rPr>
          <w:color w:val="000000" w:themeColor="text1"/>
          <w:vertAlign w:val="subscript"/>
          <w:lang w:val="en-US"/>
        </w:rPr>
        <w:t>p</w:t>
      </w:r>
      <w:r w:rsidRPr="00C048A4">
        <w:rPr>
          <w:color w:val="000000" w:themeColor="text1"/>
          <w:vertAlign w:val="superscript"/>
          <w:lang w:val="en-US"/>
        </w:rPr>
        <w:t>2</w:t>
      </w:r>
      <w:r w:rsidRPr="00C048A4">
        <w:rPr>
          <w:color w:val="000000" w:themeColor="text1"/>
          <w:lang w:val="en-US"/>
        </w:rPr>
        <w:t xml:space="preserve"> = </w:t>
      </w:r>
      <w:r w:rsidRPr="00C048A4">
        <w:rPr>
          <w:color w:val="000000" w:themeColor="text1"/>
        </w:rPr>
        <w:t>0.</w:t>
      </w:r>
      <w:r>
        <w:rPr>
          <w:color w:val="000000" w:themeColor="text1"/>
        </w:rPr>
        <w:t>61</w:t>
      </w:r>
      <w:r w:rsidRPr="00C048A4">
        <w:rPr>
          <w:color w:val="000000" w:themeColor="text1"/>
        </w:rPr>
        <w:t>,</w:t>
      </w:r>
      <w:r>
        <w:rPr>
          <w:color w:val="000000" w:themeColor="text1"/>
        </w:rPr>
        <w:t xml:space="preserve"> where conducive problems were solved quicker than non-conducive problems. There was</w:t>
      </w:r>
      <w:r w:rsidRPr="00C048A4">
        <w:rPr>
          <w:color w:val="000000" w:themeColor="text1"/>
        </w:rPr>
        <w:t xml:space="preserve"> no main effect of condition, </w:t>
      </w:r>
      <w:r w:rsidRPr="00C048A4">
        <w:rPr>
          <w:i/>
          <w:color w:val="000000" w:themeColor="text1"/>
        </w:rPr>
        <w:t>F</w:t>
      </w:r>
      <w:r w:rsidRPr="00C048A4">
        <w:rPr>
          <w:color w:val="000000" w:themeColor="text1"/>
        </w:rPr>
        <w:t xml:space="preserve">(2, </w:t>
      </w:r>
      <w:r>
        <w:rPr>
          <w:color w:val="000000" w:themeColor="text1"/>
        </w:rPr>
        <w:t>73</w:t>
      </w:r>
      <w:r w:rsidRPr="00C048A4">
        <w:rPr>
          <w:color w:val="000000" w:themeColor="text1"/>
        </w:rPr>
        <w:t xml:space="preserve">) = </w:t>
      </w:r>
      <w:r>
        <w:rPr>
          <w:color w:val="000000" w:themeColor="text1"/>
        </w:rPr>
        <w:t>1.80</w:t>
      </w:r>
      <w:r w:rsidRPr="00C048A4">
        <w:rPr>
          <w:color w:val="000000" w:themeColor="text1"/>
        </w:rPr>
        <w:t xml:space="preserve">, </w:t>
      </w:r>
      <w:r w:rsidRPr="00C048A4">
        <w:rPr>
          <w:i/>
          <w:color w:val="000000" w:themeColor="text1"/>
        </w:rPr>
        <w:t xml:space="preserve">p = </w:t>
      </w:r>
      <w:r w:rsidRPr="00C048A4">
        <w:rPr>
          <w:color w:val="000000" w:themeColor="text1"/>
        </w:rPr>
        <w:t>0.</w:t>
      </w:r>
      <w:r>
        <w:rPr>
          <w:color w:val="000000" w:themeColor="text1"/>
        </w:rPr>
        <w:t>172</w:t>
      </w:r>
      <w:r w:rsidRPr="00C048A4">
        <w:rPr>
          <w:color w:val="000000" w:themeColor="text1"/>
        </w:rPr>
        <w:t xml:space="preserve">, </w:t>
      </w:r>
      <w:r w:rsidRPr="00C048A4">
        <w:rPr>
          <w:color w:val="000000" w:themeColor="text1"/>
          <w:lang w:val="en-US"/>
        </w:rPr>
        <w:sym w:font="Symbol" w:char="F068"/>
      </w:r>
      <w:r w:rsidRPr="00C048A4">
        <w:rPr>
          <w:color w:val="000000" w:themeColor="text1"/>
          <w:vertAlign w:val="subscript"/>
          <w:lang w:val="en-US"/>
        </w:rPr>
        <w:t>p</w:t>
      </w:r>
      <w:r w:rsidRPr="00C048A4">
        <w:rPr>
          <w:color w:val="000000" w:themeColor="text1"/>
          <w:vertAlign w:val="superscript"/>
          <w:lang w:val="en-US"/>
        </w:rPr>
        <w:t>2</w:t>
      </w:r>
      <w:r w:rsidRPr="00C048A4">
        <w:rPr>
          <w:color w:val="000000" w:themeColor="text1"/>
          <w:lang w:val="en-US"/>
        </w:rPr>
        <w:t xml:space="preserve"> = </w:t>
      </w:r>
      <w:r w:rsidRPr="00C048A4">
        <w:rPr>
          <w:color w:val="000000" w:themeColor="text1"/>
        </w:rPr>
        <w:t>0.0</w:t>
      </w:r>
      <w:r>
        <w:rPr>
          <w:color w:val="000000" w:themeColor="text1"/>
        </w:rPr>
        <w:t>5</w:t>
      </w:r>
      <w:r w:rsidRPr="00C048A4">
        <w:rPr>
          <w:color w:val="000000" w:themeColor="text1"/>
        </w:rPr>
        <w:t xml:space="preserve">, and no significant interaction between problem type and condition, </w:t>
      </w:r>
      <w:r w:rsidRPr="00C048A4">
        <w:rPr>
          <w:i/>
          <w:color w:val="000000" w:themeColor="text1"/>
        </w:rPr>
        <w:t>F</w:t>
      </w:r>
      <w:r w:rsidRPr="00C048A4">
        <w:rPr>
          <w:color w:val="000000" w:themeColor="text1"/>
        </w:rPr>
        <w:t xml:space="preserve">(2, </w:t>
      </w:r>
      <w:r>
        <w:rPr>
          <w:color w:val="000000" w:themeColor="text1"/>
        </w:rPr>
        <w:t>73</w:t>
      </w:r>
      <w:r w:rsidRPr="00C048A4">
        <w:rPr>
          <w:color w:val="000000" w:themeColor="text1"/>
        </w:rPr>
        <w:t xml:space="preserve">) = </w:t>
      </w:r>
      <w:r>
        <w:rPr>
          <w:color w:val="000000" w:themeColor="text1"/>
        </w:rPr>
        <w:t>0.19</w:t>
      </w:r>
      <w:r w:rsidRPr="00C048A4">
        <w:rPr>
          <w:color w:val="000000" w:themeColor="text1"/>
        </w:rPr>
        <w:t xml:space="preserve">, </w:t>
      </w:r>
      <w:r w:rsidRPr="00C048A4">
        <w:rPr>
          <w:i/>
          <w:color w:val="000000" w:themeColor="text1"/>
        </w:rPr>
        <w:t xml:space="preserve">p = </w:t>
      </w:r>
      <w:r w:rsidRPr="00C048A4">
        <w:rPr>
          <w:color w:val="000000" w:themeColor="text1"/>
        </w:rPr>
        <w:t>0.</w:t>
      </w:r>
      <w:r>
        <w:rPr>
          <w:color w:val="000000" w:themeColor="text1"/>
        </w:rPr>
        <w:t>832</w:t>
      </w:r>
      <w:r w:rsidRPr="00C048A4">
        <w:rPr>
          <w:color w:val="000000" w:themeColor="text1"/>
        </w:rPr>
        <w:t xml:space="preserve">, </w:t>
      </w:r>
      <w:r w:rsidRPr="00C048A4">
        <w:rPr>
          <w:color w:val="000000" w:themeColor="text1"/>
          <w:lang w:val="en-US"/>
        </w:rPr>
        <w:sym w:font="Symbol" w:char="F068"/>
      </w:r>
      <w:r w:rsidRPr="00C048A4">
        <w:rPr>
          <w:color w:val="000000" w:themeColor="text1"/>
          <w:vertAlign w:val="subscript"/>
          <w:lang w:val="en-US"/>
        </w:rPr>
        <w:t>p</w:t>
      </w:r>
      <w:r w:rsidRPr="00C048A4">
        <w:rPr>
          <w:color w:val="000000" w:themeColor="text1"/>
          <w:vertAlign w:val="superscript"/>
          <w:lang w:val="en-US"/>
        </w:rPr>
        <w:t>2</w:t>
      </w:r>
      <w:r w:rsidRPr="00C048A4">
        <w:rPr>
          <w:color w:val="000000" w:themeColor="text1"/>
          <w:lang w:val="en-US"/>
        </w:rPr>
        <w:t xml:space="preserve"> = </w:t>
      </w:r>
      <w:r w:rsidRPr="00C048A4">
        <w:rPr>
          <w:color w:val="000000" w:themeColor="text1"/>
        </w:rPr>
        <w:t>0.0</w:t>
      </w:r>
      <w:r>
        <w:rPr>
          <w:color w:val="000000" w:themeColor="text1"/>
        </w:rPr>
        <w:t>1</w:t>
      </w:r>
      <w:r w:rsidRPr="00C048A4">
        <w:rPr>
          <w:color w:val="000000" w:themeColor="text1"/>
        </w:rPr>
        <w:t>.</w:t>
      </w:r>
    </w:p>
    <w:p w14:paraId="7DA7D9BF" w14:textId="77777777" w:rsidR="008338A1" w:rsidRDefault="008338A1" w:rsidP="008338A1">
      <w:pPr>
        <w:pStyle w:val="Heading4"/>
      </w:pPr>
      <w:r>
        <w:t xml:space="preserve">Response time for the trials after the </w:t>
      </w:r>
      <w:r w:rsidRPr="00F63862">
        <w:t>identification point</w:t>
      </w:r>
    </w:p>
    <w:p w14:paraId="2B595DAA" w14:textId="77777777" w:rsidR="008338A1" w:rsidRDefault="008338A1" w:rsidP="008338A1">
      <w:pPr>
        <w:rPr>
          <w:color w:val="000000" w:themeColor="text1"/>
        </w:rPr>
      </w:pPr>
      <w:r w:rsidRPr="00C048A4">
        <w:rPr>
          <w:color w:val="000000" w:themeColor="text1"/>
        </w:rPr>
        <w:t>For those who were classed as identifiers, median RT of the correctly solved trials after the IP were calculated</w:t>
      </w:r>
      <w:r>
        <w:rPr>
          <w:color w:val="000000" w:themeColor="text1"/>
        </w:rPr>
        <w:t>.</w:t>
      </w:r>
      <w:r w:rsidRPr="00C048A4">
        <w:rPr>
          <w:color w:val="000000" w:themeColor="text1"/>
        </w:rPr>
        <w:t xml:space="preserve"> The data were analysed for </w:t>
      </w:r>
      <w:r>
        <w:rPr>
          <w:color w:val="000000" w:themeColor="text1"/>
        </w:rPr>
        <w:t xml:space="preserve">a) </w:t>
      </w:r>
      <w:r w:rsidRPr="00C048A4">
        <w:rPr>
          <w:color w:val="000000" w:themeColor="text1"/>
        </w:rPr>
        <w:t xml:space="preserve">statistical equivalence </w:t>
      </w:r>
      <w:r>
        <w:rPr>
          <w:color w:val="000000" w:themeColor="text1"/>
        </w:rPr>
        <w:t>and b) statistical difference, with adjusted alpha levels for the number of comparisons (0.05/6 = 0.008).</w:t>
      </w:r>
      <w:r w:rsidRPr="00A139EE">
        <w:rPr>
          <w:color w:val="000000" w:themeColor="text1"/>
        </w:rPr>
        <w:t xml:space="preserve"> </w:t>
      </w:r>
      <w:r>
        <w:rPr>
          <w:color w:val="000000" w:themeColor="text1"/>
        </w:rPr>
        <w:t>None of the comparisons were statistically equivalent (</w:t>
      </w:r>
      <w:r w:rsidRPr="003B5E56">
        <w:rPr>
          <w:i/>
          <w:color w:val="000000" w:themeColor="text1"/>
        </w:rPr>
        <w:t>p</w:t>
      </w:r>
      <w:r>
        <w:rPr>
          <w:color w:val="000000" w:themeColor="text1"/>
        </w:rPr>
        <w:t xml:space="preserve"> &gt; 0.008 for all comparisons) and none were significantly different.</w:t>
      </w:r>
    </w:p>
    <w:p w14:paraId="1E6AFE2E" w14:textId="77777777" w:rsidR="008338A1" w:rsidRDefault="008338A1" w:rsidP="008338A1">
      <w:pPr>
        <w:pStyle w:val="Heading4"/>
      </w:pPr>
      <w:r>
        <w:t>Accuracy across all trials</w:t>
      </w:r>
    </w:p>
    <w:p w14:paraId="09A5DFC4" w14:textId="77777777" w:rsidR="008338A1" w:rsidRDefault="008338A1" w:rsidP="008338A1">
      <w:pPr>
        <w:rPr>
          <w:color w:val="000000" w:themeColor="text1"/>
        </w:rPr>
      </w:pPr>
      <w:r w:rsidRPr="00C048A4">
        <w:rPr>
          <w:color w:val="000000" w:themeColor="text1"/>
        </w:rPr>
        <w:t>For those who were classed as identifiers, the mean percent</w:t>
      </w:r>
      <w:r>
        <w:rPr>
          <w:color w:val="000000" w:themeColor="text1"/>
        </w:rPr>
        <w:t xml:space="preserve"> </w:t>
      </w:r>
      <w:r w:rsidRPr="00C048A4">
        <w:rPr>
          <w:color w:val="000000" w:themeColor="text1"/>
        </w:rPr>
        <w:t>of correctly solved problems across all trials were calculated.</w:t>
      </w:r>
      <w:r>
        <w:rPr>
          <w:color w:val="000000" w:themeColor="text1"/>
        </w:rPr>
        <w:t xml:space="preserve"> </w:t>
      </w:r>
      <w:r w:rsidRPr="00C048A4">
        <w:rPr>
          <w:color w:val="000000" w:themeColor="text1"/>
        </w:rPr>
        <w:t xml:space="preserve">A 3*2 mixed ANOVA with condition (left-prime, right-prime, </w:t>
      </w:r>
      <w:r>
        <w:rPr>
          <w:color w:val="000000" w:themeColor="text1"/>
        </w:rPr>
        <w:t>control</w:t>
      </w:r>
      <w:r w:rsidRPr="00C048A4">
        <w:rPr>
          <w:color w:val="000000" w:themeColor="text1"/>
        </w:rPr>
        <w:t xml:space="preserve">) and problem type (conducive, non-conducive) as between and within-subject factors </w:t>
      </w:r>
      <w:r>
        <w:rPr>
          <w:color w:val="000000" w:themeColor="text1"/>
        </w:rPr>
        <w:t>found</w:t>
      </w:r>
      <w:r w:rsidRPr="00C048A4">
        <w:rPr>
          <w:color w:val="000000" w:themeColor="text1"/>
        </w:rPr>
        <w:t xml:space="preserve"> a main effect of problem type, </w:t>
      </w:r>
      <w:r w:rsidRPr="00C048A4">
        <w:rPr>
          <w:i/>
          <w:color w:val="000000" w:themeColor="text1"/>
        </w:rPr>
        <w:t>F</w:t>
      </w:r>
      <w:r w:rsidRPr="00C048A4">
        <w:rPr>
          <w:color w:val="000000" w:themeColor="text1"/>
        </w:rPr>
        <w:t xml:space="preserve">(1, </w:t>
      </w:r>
      <w:r>
        <w:rPr>
          <w:color w:val="000000" w:themeColor="text1"/>
        </w:rPr>
        <w:t>73</w:t>
      </w:r>
      <w:r w:rsidRPr="00C048A4">
        <w:rPr>
          <w:color w:val="000000" w:themeColor="text1"/>
        </w:rPr>
        <w:t xml:space="preserve">) = </w:t>
      </w:r>
      <w:r>
        <w:rPr>
          <w:color w:val="000000" w:themeColor="text1"/>
        </w:rPr>
        <w:t>22.86</w:t>
      </w:r>
      <w:r w:rsidRPr="00C048A4">
        <w:rPr>
          <w:color w:val="000000" w:themeColor="text1"/>
        </w:rPr>
        <w:t xml:space="preserve">, </w:t>
      </w:r>
      <w:r w:rsidRPr="00C048A4">
        <w:rPr>
          <w:i/>
          <w:color w:val="000000" w:themeColor="text1"/>
        </w:rPr>
        <w:t>p</w:t>
      </w:r>
      <w:r w:rsidRPr="00C048A4">
        <w:rPr>
          <w:color w:val="000000" w:themeColor="text1"/>
        </w:rPr>
        <w:t xml:space="preserve">&lt;0.001, </w:t>
      </w:r>
      <w:r w:rsidRPr="00C048A4">
        <w:rPr>
          <w:color w:val="000000" w:themeColor="text1"/>
          <w:lang w:val="en-US"/>
        </w:rPr>
        <w:sym w:font="Symbol" w:char="F068"/>
      </w:r>
      <w:r w:rsidRPr="00C048A4">
        <w:rPr>
          <w:color w:val="000000" w:themeColor="text1"/>
          <w:vertAlign w:val="subscript"/>
          <w:lang w:val="en-US"/>
        </w:rPr>
        <w:t>p</w:t>
      </w:r>
      <w:r w:rsidRPr="00C048A4">
        <w:rPr>
          <w:color w:val="000000" w:themeColor="text1"/>
          <w:vertAlign w:val="superscript"/>
          <w:lang w:val="en-US"/>
        </w:rPr>
        <w:t>2</w:t>
      </w:r>
      <w:r w:rsidRPr="00C048A4">
        <w:rPr>
          <w:color w:val="000000" w:themeColor="text1"/>
          <w:lang w:val="en-US"/>
        </w:rPr>
        <w:t xml:space="preserve"> = </w:t>
      </w:r>
      <w:r w:rsidRPr="00C048A4">
        <w:rPr>
          <w:color w:val="000000" w:themeColor="text1"/>
        </w:rPr>
        <w:t>0.</w:t>
      </w:r>
      <w:r>
        <w:rPr>
          <w:color w:val="000000" w:themeColor="text1"/>
        </w:rPr>
        <w:t>24</w:t>
      </w:r>
      <w:r w:rsidRPr="00C048A4">
        <w:rPr>
          <w:color w:val="000000" w:themeColor="text1"/>
        </w:rPr>
        <w:t>,</w:t>
      </w:r>
      <w:r>
        <w:rPr>
          <w:color w:val="000000" w:themeColor="text1"/>
        </w:rPr>
        <w:t xml:space="preserve"> where conducive problems were solved more accurately than non-conducive problems. There was</w:t>
      </w:r>
      <w:r w:rsidRPr="00C048A4">
        <w:rPr>
          <w:color w:val="000000" w:themeColor="text1"/>
        </w:rPr>
        <w:t xml:space="preserve"> no main effect of condition, </w:t>
      </w:r>
      <w:r w:rsidRPr="00C048A4">
        <w:rPr>
          <w:i/>
          <w:color w:val="000000" w:themeColor="text1"/>
        </w:rPr>
        <w:t>F</w:t>
      </w:r>
      <w:r w:rsidRPr="00C048A4">
        <w:rPr>
          <w:color w:val="000000" w:themeColor="text1"/>
        </w:rPr>
        <w:t xml:space="preserve">(2, </w:t>
      </w:r>
      <w:r>
        <w:rPr>
          <w:color w:val="000000" w:themeColor="text1"/>
        </w:rPr>
        <w:t>73</w:t>
      </w:r>
      <w:r w:rsidRPr="00C048A4">
        <w:rPr>
          <w:color w:val="000000" w:themeColor="text1"/>
        </w:rPr>
        <w:t>) = 0.</w:t>
      </w:r>
      <w:r>
        <w:rPr>
          <w:color w:val="000000" w:themeColor="text1"/>
        </w:rPr>
        <w:t>41</w:t>
      </w:r>
      <w:r w:rsidRPr="00C048A4">
        <w:rPr>
          <w:color w:val="000000" w:themeColor="text1"/>
        </w:rPr>
        <w:t xml:space="preserve">, </w:t>
      </w:r>
      <w:r w:rsidRPr="00C048A4">
        <w:rPr>
          <w:i/>
          <w:color w:val="000000" w:themeColor="text1"/>
        </w:rPr>
        <w:t xml:space="preserve">p = </w:t>
      </w:r>
      <w:r w:rsidRPr="00C048A4">
        <w:rPr>
          <w:color w:val="000000" w:themeColor="text1"/>
        </w:rPr>
        <w:t>0.</w:t>
      </w:r>
      <w:r>
        <w:rPr>
          <w:color w:val="000000" w:themeColor="text1"/>
        </w:rPr>
        <w:t>668</w:t>
      </w:r>
      <w:r w:rsidRPr="00C048A4">
        <w:rPr>
          <w:color w:val="000000" w:themeColor="text1"/>
        </w:rPr>
        <w:t xml:space="preserve">, </w:t>
      </w:r>
      <w:r w:rsidRPr="00C048A4">
        <w:rPr>
          <w:color w:val="000000" w:themeColor="text1"/>
          <w:lang w:val="en-US"/>
        </w:rPr>
        <w:sym w:font="Symbol" w:char="F068"/>
      </w:r>
      <w:r w:rsidRPr="00C048A4">
        <w:rPr>
          <w:color w:val="000000" w:themeColor="text1"/>
          <w:vertAlign w:val="subscript"/>
          <w:lang w:val="en-US"/>
        </w:rPr>
        <w:t>p</w:t>
      </w:r>
      <w:r w:rsidRPr="00C048A4">
        <w:rPr>
          <w:color w:val="000000" w:themeColor="text1"/>
          <w:vertAlign w:val="superscript"/>
          <w:lang w:val="en-US"/>
        </w:rPr>
        <w:t>2</w:t>
      </w:r>
      <w:r w:rsidRPr="00C048A4">
        <w:rPr>
          <w:color w:val="000000" w:themeColor="text1"/>
          <w:lang w:val="en-US"/>
        </w:rPr>
        <w:t xml:space="preserve"> = </w:t>
      </w:r>
      <w:r w:rsidRPr="00C048A4">
        <w:rPr>
          <w:color w:val="000000" w:themeColor="text1"/>
        </w:rPr>
        <w:t>0.0</w:t>
      </w:r>
      <w:r>
        <w:rPr>
          <w:color w:val="000000" w:themeColor="text1"/>
        </w:rPr>
        <w:t>1</w:t>
      </w:r>
      <w:r w:rsidRPr="00C048A4">
        <w:rPr>
          <w:color w:val="000000" w:themeColor="text1"/>
        </w:rPr>
        <w:t xml:space="preserve">, and no interaction between problem type and condition, </w:t>
      </w:r>
      <w:r w:rsidRPr="00C048A4">
        <w:rPr>
          <w:i/>
          <w:color w:val="000000" w:themeColor="text1"/>
        </w:rPr>
        <w:t>F</w:t>
      </w:r>
      <w:r w:rsidRPr="00C048A4">
        <w:rPr>
          <w:color w:val="000000" w:themeColor="text1"/>
        </w:rPr>
        <w:t xml:space="preserve">(2, </w:t>
      </w:r>
      <w:r>
        <w:rPr>
          <w:color w:val="000000" w:themeColor="text1"/>
        </w:rPr>
        <w:t>73</w:t>
      </w:r>
      <w:r w:rsidRPr="00C048A4">
        <w:rPr>
          <w:color w:val="000000" w:themeColor="text1"/>
        </w:rPr>
        <w:t xml:space="preserve">) = </w:t>
      </w:r>
      <w:r>
        <w:rPr>
          <w:color w:val="000000" w:themeColor="text1"/>
        </w:rPr>
        <w:t>0.46</w:t>
      </w:r>
      <w:r w:rsidRPr="00C048A4">
        <w:rPr>
          <w:color w:val="000000" w:themeColor="text1"/>
        </w:rPr>
        <w:t xml:space="preserve">, </w:t>
      </w:r>
      <w:r w:rsidRPr="00C048A4">
        <w:rPr>
          <w:i/>
          <w:color w:val="000000" w:themeColor="text1"/>
        </w:rPr>
        <w:t xml:space="preserve">p = </w:t>
      </w:r>
      <w:r w:rsidRPr="00C048A4">
        <w:rPr>
          <w:color w:val="000000" w:themeColor="text1"/>
        </w:rPr>
        <w:t>0.</w:t>
      </w:r>
      <w:r>
        <w:rPr>
          <w:color w:val="000000" w:themeColor="text1"/>
        </w:rPr>
        <w:t>632</w:t>
      </w:r>
      <w:r w:rsidRPr="00C048A4">
        <w:rPr>
          <w:color w:val="000000" w:themeColor="text1"/>
        </w:rPr>
        <w:t xml:space="preserve">, </w:t>
      </w:r>
      <w:r w:rsidRPr="00C048A4">
        <w:rPr>
          <w:color w:val="000000" w:themeColor="text1"/>
          <w:lang w:val="en-US"/>
        </w:rPr>
        <w:sym w:font="Symbol" w:char="F068"/>
      </w:r>
      <w:r w:rsidRPr="00C048A4">
        <w:rPr>
          <w:color w:val="000000" w:themeColor="text1"/>
          <w:vertAlign w:val="subscript"/>
          <w:lang w:val="en-US"/>
        </w:rPr>
        <w:t>p</w:t>
      </w:r>
      <w:r w:rsidRPr="00C048A4">
        <w:rPr>
          <w:color w:val="000000" w:themeColor="text1"/>
          <w:vertAlign w:val="superscript"/>
          <w:lang w:val="en-US"/>
        </w:rPr>
        <w:t>2</w:t>
      </w:r>
      <w:r w:rsidRPr="00C048A4">
        <w:rPr>
          <w:color w:val="000000" w:themeColor="text1"/>
          <w:lang w:val="en-US"/>
        </w:rPr>
        <w:t xml:space="preserve"> </w:t>
      </w:r>
      <w:r>
        <w:rPr>
          <w:color w:val="000000" w:themeColor="text1"/>
          <w:lang w:val="en-US"/>
        </w:rPr>
        <w:t>&lt;</w:t>
      </w:r>
      <w:r w:rsidRPr="00C048A4">
        <w:rPr>
          <w:color w:val="000000" w:themeColor="text1"/>
          <w:lang w:val="en-US"/>
        </w:rPr>
        <w:t xml:space="preserve"> </w:t>
      </w:r>
      <w:r w:rsidRPr="00C048A4">
        <w:rPr>
          <w:color w:val="000000" w:themeColor="text1"/>
        </w:rPr>
        <w:t>0.0</w:t>
      </w:r>
      <w:r>
        <w:rPr>
          <w:color w:val="000000" w:themeColor="text1"/>
        </w:rPr>
        <w:t>1</w:t>
      </w:r>
      <w:r w:rsidRPr="00C048A4">
        <w:rPr>
          <w:color w:val="000000" w:themeColor="text1"/>
        </w:rPr>
        <w:t>.</w:t>
      </w:r>
    </w:p>
    <w:p w14:paraId="3B860665" w14:textId="77777777" w:rsidR="008338A1" w:rsidRDefault="008338A1" w:rsidP="008338A1">
      <w:pPr>
        <w:pStyle w:val="Heading4"/>
      </w:pPr>
      <w:r>
        <w:t xml:space="preserve">Accuracy for the trials after the </w:t>
      </w:r>
      <w:r w:rsidRPr="00F63862">
        <w:t>identification point</w:t>
      </w:r>
    </w:p>
    <w:p w14:paraId="1FB02044" w14:textId="77777777" w:rsidR="008338A1" w:rsidRDefault="008338A1" w:rsidP="008338A1">
      <w:pPr>
        <w:rPr>
          <w:color w:val="000000" w:themeColor="text1"/>
        </w:rPr>
      </w:pPr>
      <w:r w:rsidRPr="00C048A4">
        <w:rPr>
          <w:color w:val="000000" w:themeColor="text1"/>
        </w:rPr>
        <w:t xml:space="preserve">For those who were classed as identifiers, </w:t>
      </w:r>
      <w:r>
        <w:rPr>
          <w:color w:val="000000" w:themeColor="text1"/>
        </w:rPr>
        <w:t>accuracy of the</w:t>
      </w:r>
      <w:r w:rsidRPr="00C048A4">
        <w:rPr>
          <w:color w:val="000000" w:themeColor="text1"/>
        </w:rPr>
        <w:t xml:space="preserve"> trials after the IP were calculated.</w:t>
      </w:r>
      <w:r>
        <w:rPr>
          <w:color w:val="000000" w:themeColor="text1"/>
        </w:rPr>
        <w:t xml:space="preserve"> </w:t>
      </w:r>
      <w:r w:rsidRPr="00C048A4">
        <w:rPr>
          <w:color w:val="000000" w:themeColor="text1"/>
        </w:rPr>
        <w:t xml:space="preserve">The data were analysed for </w:t>
      </w:r>
      <w:r>
        <w:rPr>
          <w:color w:val="000000" w:themeColor="text1"/>
        </w:rPr>
        <w:t xml:space="preserve">a) </w:t>
      </w:r>
      <w:r w:rsidRPr="00C048A4">
        <w:rPr>
          <w:color w:val="000000" w:themeColor="text1"/>
        </w:rPr>
        <w:t xml:space="preserve">statistical equivalence </w:t>
      </w:r>
      <w:r>
        <w:rPr>
          <w:color w:val="000000" w:themeColor="text1"/>
        </w:rPr>
        <w:t xml:space="preserve">and b) statistical difference, with adjusted alpha levels for the number of comparisons (0.05/6 = 0.008). One comparison was statistically equivalent, the control and right-prime condition in their accuracy scores on the non-conducive problems after their IP, </w:t>
      </w:r>
      <w:r w:rsidRPr="00A87C4B">
        <w:rPr>
          <w:i/>
          <w:color w:val="000000" w:themeColor="text1"/>
        </w:rPr>
        <w:t>t</w:t>
      </w:r>
      <w:r>
        <w:rPr>
          <w:color w:val="000000" w:themeColor="text1"/>
        </w:rPr>
        <w:t xml:space="preserve">(51) = 2.89, </w:t>
      </w:r>
      <w:r w:rsidRPr="00A87C4B">
        <w:rPr>
          <w:i/>
          <w:color w:val="000000" w:themeColor="text1"/>
        </w:rPr>
        <w:t>p</w:t>
      </w:r>
      <w:r>
        <w:rPr>
          <w:color w:val="000000" w:themeColor="text1"/>
        </w:rPr>
        <w:t xml:space="preserve"> = 0.003. None of the other comparisons were statistically equivalent. None of the comparisons were significantly different.</w:t>
      </w:r>
    </w:p>
    <w:p w14:paraId="42D2A6CC" w14:textId="77777777" w:rsidR="008338A1" w:rsidRDefault="008338A1" w:rsidP="008338A1">
      <w:pPr>
        <w:rPr>
          <w:b/>
        </w:rPr>
      </w:pPr>
    </w:p>
    <w:p w14:paraId="2655AEA3" w14:textId="77777777" w:rsidR="008338A1" w:rsidRDefault="008338A1" w:rsidP="00C82341">
      <w:pPr>
        <w:pStyle w:val="Heading2"/>
      </w:pPr>
      <w:r>
        <w:t>Study 2</w:t>
      </w:r>
    </w:p>
    <w:p w14:paraId="4019647A" w14:textId="77777777" w:rsidR="008338A1" w:rsidRDefault="008338A1" w:rsidP="008338A1">
      <w:pPr>
        <w:pStyle w:val="Heading4"/>
      </w:pPr>
      <w:r>
        <w:t>Number of identifiers</w:t>
      </w:r>
    </w:p>
    <w:p w14:paraId="29307E2E" w14:textId="77777777" w:rsidR="008338A1" w:rsidRDefault="008338A1" w:rsidP="008338A1">
      <w:r>
        <w:t xml:space="preserve">There was no significant difference in the number of identifiers across the three conditions, </w:t>
      </w:r>
      <w:r w:rsidRPr="007C6B94">
        <w:rPr>
          <w:i/>
        </w:rPr>
        <w:t>x</w:t>
      </w:r>
      <w:r w:rsidRPr="007C6B94">
        <w:rPr>
          <w:i/>
          <w:vertAlign w:val="superscript"/>
        </w:rPr>
        <w:t>2</w:t>
      </w:r>
      <w:r w:rsidRPr="00035271">
        <w:t xml:space="preserve">(2) = </w:t>
      </w:r>
      <w:r>
        <w:t>0.56</w:t>
      </w:r>
      <w:r w:rsidRPr="00035271">
        <w:t xml:space="preserve">, </w:t>
      </w:r>
      <w:r w:rsidRPr="007C6B94">
        <w:rPr>
          <w:i/>
        </w:rPr>
        <w:t>p</w:t>
      </w:r>
      <w:r w:rsidRPr="00035271">
        <w:t xml:space="preserve"> = 0.</w:t>
      </w:r>
      <w:r>
        <w:t>757</w:t>
      </w:r>
      <w:r w:rsidRPr="00035271">
        <w:t>, Cramer’s V = 0.</w:t>
      </w:r>
      <w:r>
        <w:t>07</w:t>
      </w:r>
      <w:r w:rsidRPr="00035271">
        <w:t>.</w:t>
      </w:r>
    </w:p>
    <w:p w14:paraId="446566BB" w14:textId="77777777" w:rsidR="008338A1" w:rsidRDefault="008338A1" w:rsidP="008338A1">
      <w:pPr>
        <w:pStyle w:val="Heading4"/>
      </w:pPr>
      <w:r>
        <w:t>Number of early identifiers</w:t>
      </w:r>
    </w:p>
    <w:p w14:paraId="0122DA5F" w14:textId="77777777" w:rsidR="008338A1" w:rsidRDefault="008338A1" w:rsidP="008338A1">
      <w:r>
        <w:t xml:space="preserve">There was no significant difference in the number of identifiers across the three conditions, </w:t>
      </w:r>
      <w:r w:rsidRPr="007C6B94">
        <w:rPr>
          <w:i/>
        </w:rPr>
        <w:t>x</w:t>
      </w:r>
      <w:r w:rsidRPr="007C6B94">
        <w:rPr>
          <w:i/>
          <w:vertAlign w:val="superscript"/>
        </w:rPr>
        <w:t>2</w:t>
      </w:r>
      <w:r w:rsidRPr="00035271">
        <w:t xml:space="preserve">(2) = </w:t>
      </w:r>
      <w:r>
        <w:t>0.70</w:t>
      </w:r>
      <w:r w:rsidRPr="00035271">
        <w:t xml:space="preserve">, </w:t>
      </w:r>
      <w:r w:rsidRPr="007C6B94">
        <w:rPr>
          <w:i/>
        </w:rPr>
        <w:t>p</w:t>
      </w:r>
      <w:r w:rsidRPr="00035271">
        <w:t xml:space="preserve"> = 0.</w:t>
      </w:r>
      <w:r>
        <w:t>705</w:t>
      </w:r>
      <w:r w:rsidRPr="00035271">
        <w:t>, Cramer’s V = 0.</w:t>
      </w:r>
      <w:r>
        <w:t>08</w:t>
      </w:r>
      <w:r w:rsidRPr="00035271">
        <w:t>.</w:t>
      </w:r>
    </w:p>
    <w:p w14:paraId="31201819" w14:textId="77777777" w:rsidR="008338A1" w:rsidRDefault="008338A1" w:rsidP="008338A1">
      <w:pPr>
        <w:pStyle w:val="Heading4"/>
      </w:pPr>
      <w:r>
        <w:lastRenderedPageBreak/>
        <w:t>Percent of conducive trials after the identification point</w:t>
      </w:r>
    </w:p>
    <w:p w14:paraId="374949A8" w14:textId="77777777" w:rsidR="008338A1" w:rsidRDefault="008338A1" w:rsidP="008338A1">
      <w:pPr>
        <w:rPr>
          <w:color w:val="000000" w:themeColor="text1"/>
          <w:lang w:val="en-US"/>
        </w:rPr>
      </w:pPr>
      <w:r>
        <w:rPr>
          <w:color w:val="000000" w:themeColor="text1"/>
        </w:rPr>
        <w:t xml:space="preserve">The data were not normally distributed, and a Kruskal-Wallis test using all participants’ data (identifiers and non-identifiers) found no significant difference between the conditions, </w:t>
      </w:r>
      <w:r w:rsidRPr="00C048A4">
        <w:rPr>
          <w:i/>
          <w:iCs/>
          <w:color w:val="000000" w:themeColor="text1"/>
        </w:rPr>
        <w:t>X</w:t>
      </w:r>
      <w:r w:rsidRPr="00C048A4">
        <w:rPr>
          <w:color w:val="000000" w:themeColor="text1"/>
          <w:vertAlign w:val="superscript"/>
        </w:rPr>
        <w:t>2</w:t>
      </w:r>
      <w:r w:rsidRPr="00C048A4">
        <w:rPr>
          <w:color w:val="000000" w:themeColor="text1"/>
        </w:rPr>
        <w:t>(2) = 0.</w:t>
      </w:r>
      <w:r>
        <w:rPr>
          <w:color w:val="000000" w:themeColor="text1"/>
        </w:rPr>
        <w:t>59</w:t>
      </w:r>
      <w:r w:rsidRPr="00C048A4">
        <w:rPr>
          <w:color w:val="000000" w:themeColor="text1"/>
        </w:rPr>
        <w:t xml:space="preserve">, </w:t>
      </w:r>
      <w:r w:rsidRPr="00C048A4">
        <w:rPr>
          <w:i/>
          <w:color w:val="000000" w:themeColor="text1"/>
        </w:rPr>
        <w:t xml:space="preserve">p </w:t>
      </w:r>
      <w:r w:rsidRPr="00C048A4">
        <w:rPr>
          <w:color w:val="000000" w:themeColor="text1"/>
        </w:rPr>
        <w:t>= 0.</w:t>
      </w:r>
      <w:r>
        <w:rPr>
          <w:color w:val="000000" w:themeColor="text1"/>
        </w:rPr>
        <w:t>746</w:t>
      </w:r>
      <w:r w:rsidRPr="00C048A4">
        <w:rPr>
          <w:color w:val="000000" w:themeColor="text1"/>
          <w:lang w:val="en-US"/>
        </w:rPr>
        <w:t>.</w:t>
      </w:r>
      <w:r>
        <w:rPr>
          <w:color w:val="000000" w:themeColor="text1"/>
          <w:lang w:val="en-US"/>
        </w:rPr>
        <w:t xml:space="preserve"> </w:t>
      </w:r>
    </w:p>
    <w:p w14:paraId="119B7775" w14:textId="77777777" w:rsidR="008338A1" w:rsidRDefault="008338A1" w:rsidP="008338A1">
      <w:pPr>
        <w:pStyle w:val="Heading4"/>
      </w:pPr>
      <w:r>
        <w:t>Reaction time and accuracy for all of the trials</w:t>
      </w:r>
    </w:p>
    <w:p w14:paraId="14426EF7" w14:textId="13C8F356" w:rsidR="008338A1" w:rsidRPr="00D22068" w:rsidRDefault="008338A1" w:rsidP="008338A1">
      <w:r>
        <w:t>This analysis is unaltered by the number of identifiers and non-identifiers. Therefore, the outcome is identical to what is reported in our</w:t>
      </w:r>
      <w:bookmarkStart w:id="0" w:name="_GoBack"/>
      <w:bookmarkEnd w:id="0"/>
      <w:r>
        <w:t xml:space="preserve"> manuscript</w:t>
      </w:r>
      <w:r w:rsidR="00624B80">
        <w:t>.</w:t>
      </w:r>
    </w:p>
    <w:p w14:paraId="53A7BAB1" w14:textId="77777777" w:rsidR="008338A1" w:rsidRDefault="008338A1" w:rsidP="008338A1">
      <w:pPr>
        <w:pStyle w:val="Heading2"/>
      </w:pPr>
      <w:r>
        <w:t>Conclusions from re-analysis</w:t>
      </w:r>
    </w:p>
    <w:p w14:paraId="64B204A5" w14:textId="77777777" w:rsidR="008338A1" w:rsidRDefault="008338A1" w:rsidP="008338A1">
      <w:r w:rsidRPr="003109A2">
        <w:t xml:space="preserve">Classing the false alarms in Study 1 and 2 as identifiers made no difference to the pattern of findings that we reported in our manuscript. </w:t>
      </w:r>
    </w:p>
    <w:p w14:paraId="1C6920CF" w14:textId="77777777" w:rsidR="008338A1" w:rsidRDefault="008338A1" w:rsidP="008338A1"/>
    <w:p w14:paraId="081C6A23" w14:textId="77777777" w:rsidR="008338A1" w:rsidRPr="00D671E6" w:rsidRDefault="008338A1" w:rsidP="008338A1"/>
    <w:p w14:paraId="45207863" w14:textId="77777777" w:rsidR="008338A1" w:rsidRDefault="008338A1" w:rsidP="008338A1"/>
    <w:p w14:paraId="767AB56F" w14:textId="77777777" w:rsidR="008338A1" w:rsidRDefault="008338A1" w:rsidP="004671E1"/>
    <w:p w14:paraId="30A13970" w14:textId="77777777" w:rsidR="004671E1" w:rsidRPr="00E050F9" w:rsidRDefault="004671E1" w:rsidP="004671E1"/>
    <w:p w14:paraId="2985DD94" w14:textId="77777777" w:rsidR="004671E1" w:rsidRDefault="004671E1" w:rsidP="004671E1"/>
    <w:p w14:paraId="0D76EC24" w14:textId="77777777" w:rsidR="004671E1" w:rsidRDefault="004671E1" w:rsidP="004671E1"/>
    <w:sectPr w:rsidR="004671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AF857" w14:textId="77777777" w:rsidR="004F7712" w:rsidRDefault="004F7712" w:rsidP="004671E1">
      <w:pPr>
        <w:spacing w:after="0" w:line="240" w:lineRule="auto"/>
      </w:pPr>
      <w:r>
        <w:separator/>
      </w:r>
    </w:p>
  </w:endnote>
  <w:endnote w:type="continuationSeparator" w:id="0">
    <w:p w14:paraId="79A3B289" w14:textId="77777777" w:rsidR="004F7712" w:rsidRDefault="004F7712" w:rsidP="0046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DA257" w14:textId="77777777" w:rsidR="004F7712" w:rsidRDefault="004F7712" w:rsidP="004671E1">
      <w:pPr>
        <w:spacing w:after="0" w:line="240" w:lineRule="auto"/>
      </w:pPr>
      <w:r>
        <w:separator/>
      </w:r>
    </w:p>
  </w:footnote>
  <w:footnote w:type="continuationSeparator" w:id="0">
    <w:p w14:paraId="68C99439" w14:textId="77777777" w:rsidR="004F7712" w:rsidRDefault="004F7712" w:rsidP="004671E1">
      <w:pPr>
        <w:spacing w:after="0" w:line="240" w:lineRule="auto"/>
      </w:pPr>
      <w:r>
        <w:continuationSeparator/>
      </w:r>
    </w:p>
  </w:footnote>
  <w:footnote w:id="1">
    <w:p w14:paraId="11B3E0BA" w14:textId="77777777" w:rsidR="004671E1" w:rsidRPr="00076C4C" w:rsidRDefault="004671E1" w:rsidP="004671E1">
      <w:pPr>
        <w:pStyle w:val="FootnoteText"/>
        <w:rPr>
          <w:rFonts w:asciiTheme="minorHAnsi" w:hAnsiTheme="minorHAnsi"/>
        </w:rPr>
      </w:pPr>
      <w:r w:rsidRPr="00076C4C">
        <w:rPr>
          <w:rStyle w:val="FootnoteReference"/>
          <w:rFonts w:asciiTheme="minorHAnsi" w:hAnsiTheme="minorHAnsi"/>
        </w:rPr>
        <w:footnoteRef/>
      </w:r>
      <w:r w:rsidRPr="00076C4C">
        <w:rPr>
          <w:rFonts w:asciiTheme="minorHAnsi" w:hAnsiTheme="minorHAnsi"/>
        </w:rPr>
        <w:t xml:space="preserve"> The equivalence test results were derived from a ‘TOSTER’ spreadsheet (see </w:t>
      </w:r>
      <w:r w:rsidRPr="00076C4C">
        <w:rPr>
          <w:rFonts w:asciiTheme="minorHAnsi" w:hAnsiTheme="minorHAnsi"/>
        </w:rPr>
        <w:fldChar w:fldCharType="begin" w:fldLock="1"/>
      </w:r>
      <w:r>
        <w:rPr>
          <w:rFonts w:asciiTheme="minorHAnsi" w:hAnsiTheme="minorHAnsi"/>
        </w:rPr>
        <w:instrText>ADDIN CSL_CITATION {"citationItems":[{"id":"ITEM-1","itemData":{"DOI":"10.1177/1948550617697177","ISSN":"1948-5506","abstract":"Scientists should be able to provide support for the absence of a meaningful effect. Currently researchers often incorrectly conclude an effect is absent based a non-significant result. A widely recommended approach within a Frequentist framework is to test for equivalence. In equivalence tests, such as the Two One-Sided Tests (TOST) procedure discussed in this article, an upper and lower equivalence bound is specified based on the smallest effect size of interest. The TOST procedure can be used to statistically reject the presence of effects large enough to be considered worthwhile. This practical primer with accompanying spreadsheet and R package enables psychologists to easily perform equivalence tests (and power analyses) by setting equivalence bounds based on standardized effect sizes, and provides recommendations to pre-specify equivalence bounds. Extending your statistical toolkit with equivalence tests might very well be the easiest way for psychologists to improve their statistical and theoretical inferences.","author":[{"dropping-particle":"","family":"Lakens","given":"Daniel","non-dropping-particle":"","parse-names":false,"suffix":""}],"container-title":"Social Psychological and Personality Science","id":"ITEM-1","issued":{"date-parts":[["2017"]]},"page":"355 - 362","title":"Equivalence tests: A practical primer for T-tests, correlations, and meta-analyses","type":"article-journal","volume":"8"},"uris":["http://www.mendeley.com/documents/?uuid=a46ebd1f-6118-4066-b4a8-b72e796c74ef"]}],"mendeley":{"formattedCitation":"(Lakens, 2017)","manualFormatting":"Lakens, 2017)","plainTextFormattedCitation":"(Lakens, 2017)","previouslyFormattedCitation":"(Lakens, 2017)"},"properties":{"noteIndex":0},"schema":"https://github.com/citation-style-language/schema/raw/master/csl-citation.json"}</w:instrText>
      </w:r>
      <w:r w:rsidRPr="00076C4C">
        <w:rPr>
          <w:rFonts w:asciiTheme="minorHAnsi" w:hAnsiTheme="minorHAnsi"/>
        </w:rPr>
        <w:fldChar w:fldCharType="separate"/>
      </w:r>
      <w:r w:rsidRPr="00076C4C">
        <w:rPr>
          <w:rFonts w:asciiTheme="minorHAnsi" w:hAnsiTheme="minorHAnsi"/>
          <w:noProof/>
        </w:rPr>
        <w:t>Lakens, 2017)</w:t>
      </w:r>
      <w:r w:rsidRPr="00076C4C">
        <w:rPr>
          <w:rFonts w:asciiTheme="minorHAnsi" w:hAnsiTheme="minorHAnsi"/>
        </w:rPr>
        <w:fldChar w:fldCharType="end"/>
      </w:r>
    </w:p>
  </w:footnote>
  <w:footnote w:id="2">
    <w:p w14:paraId="3CC0FEE3" w14:textId="77777777" w:rsidR="004671E1" w:rsidRDefault="004671E1" w:rsidP="004671E1">
      <w:pPr>
        <w:pStyle w:val="FootnoteText"/>
      </w:pPr>
      <w:r>
        <w:rPr>
          <w:rStyle w:val="FootnoteReference"/>
        </w:rPr>
        <w:footnoteRef/>
      </w:r>
      <w:r>
        <w:t xml:space="preserve"> </w:t>
      </w:r>
      <w:r w:rsidRPr="00076C4C">
        <w:rPr>
          <w:rFonts w:asciiTheme="minorHAnsi" w:hAnsiTheme="minorHAnsi"/>
        </w:rPr>
        <w:t xml:space="preserve">The equivalence test results were derived from a ‘TOSTER’ spreadsheet (see </w:t>
      </w:r>
      <w:r w:rsidRPr="00076C4C">
        <w:rPr>
          <w:rFonts w:asciiTheme="minorHAnsi" w:hAnsiTheme="minorHAnsi"/>
        </w:rPr>
        <w:fldChar w:fldCharType="begin" w:fldLock="1"/>
      </w:r>
      <w:r>
        <w:rPr>
          <w:rFonts w:asciiTheme="minorHAnsi" w:hAnsiTheme="minorHAnsi"/>
        </w:rPr>
        <w:instrText>ADDIN CSL_CITATION {"citationItems":[{"id":"ITEM-1","itemData":{"DOI":"10.1177/1948550617697177","ISSN":"1948-5506","abstract":"Scientists should be able to provide support for the absence of a meaningful effect. Currently researchers often incorrectly conclude an effect is absent based a non-significant result. A widely recommended approach within a Frequentist framework is to test for equivalence. In equivalence tests, such as the Two One-Sided Tests (TOST) procedure discussed in this article, an upper and lower equivalence bound is specified based on the smallest effect size of interest. The TOST procedure can be used to statistically reject the presence of effects large enough to be considered worthwhile. This practical primer with accompanying spreadsheet and R package enables psychologists to easily perform equivalence tests (and power analyses) by setting equivalence bounds based on standardized effect sizes, and provides recommendations to pre-specify equivalence bounds. Extending your statistical toolkit with equivalence tests might very well be the easiest way for psychologists to improve their statistical and theoretical inferences.","author":[{"dropping-particle":"","family":"Lakens","given":"Daniel","non-dropping-particle":"","parse-names":false,"suffix":""}],"container-title":"Social Psychological and Personality Science","id":"ITEM-1","issued":{"date-parts":[["2017"]]},"page":"355 - 362","title":"Equivalence tests: A practical primer for T-tests, correlations, and meta-analyses","type":"article-journal","volume":"8"},"uris":["http://www.mendeley.com/documents/?uuid=a46ebd1f-6118-4066-b4a8-b72e796c74ef"]}],"mendeley":{"formattedCitation":"(Lakens, 2017)","manualFormatting":"Lakens, 2017)","plainTextFormattedCitation":"(Lakens, 2017)","previouslyFormattedCitation":"(Lakens, 2017)"},"properties":{"noteIndex":0},"schema":"https://github.com/citation-style-language/schema/raw/master/csl-citation.json"}</w:instrText>
      </w:r>
      <w:r w:rsidRPr="00076C4C">
        <w:rPr>
          <w:rFonts w:asciiTheme="minorHAnsi" w:hAnsiTheme="minorHAnsi"/>
        </w:rPr>
        <w:fldChar w:fldCharType="separate"/>
      </w:r>
      <w:r w:rsidRPr="00076C4C">
        <w:rPr>
          <w:rFonts w:asciiTheme="minorHAnsi" w:hAnsiTheme="minorHAnsi"/>
          <w:noProof/>
        </w:rPr>
        <w:t>Lakens, 2017)</w:t>
      </w:r>
      <w:r w:rsidRPr="00076C4C">
        <w:rPr>
          <w:rFonts w:asciiTheme="minorHAnsi" w:hAnsiTheme="minorHAnsi"/>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57AFB"/>
    <w:multiLevelType w:val="hybridMultilevel"/>
    <w:tmpl w:val="31EE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E1"/>
    <w:rsid w:val="001116B4"/>
    <w:rsid w:val="001C3F93"/>
    <w:rsid w:val="004671E1"/>
    <w:rsid w:val="004F7712"/>
    <w:rsid w:val="005154AB"/>
    <w:rsid w:val="005405EE"/>
    <w:rsid w:val="00624B80"/>
    <w:rsid w:val="008338A1"/>
    <w:rsid w:val="00B66467"/>
    <w:rsid w:val="00B86332"/>
    <w:rsid w:val="00BA1105"/>
    <w:rsid w:val="00BD0ED5"/>
    <w:rsid w:val="00C82341"/>
    <w:rsid w:val="00E13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2001"/>
  <w15:chartTrackingRefBased/>
  <w15:docId w15:val="{1A253F95-19A5-4BAC-8F34-F45BBC18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1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1E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671E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4671E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1E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671E1"/>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4671E1"/>
    <w:rPr>
      <w:rFonts w:asciiTheme="majorHAnsi" w:eastAsiaTheme="majorEastAsia" w:hAnsiTheme="majorHAnsi" w:cstheme="majorBidi"/>
      <w:b/>
      <w:bCs/>
      <w:i/>
      <w:iCs/>
      <w:color w:val="4472C4" w:themeColor="accent1"/>
    </w:rPr>
  </w:style>
  <w:style w:type="paragraph" w:styleId="ListParagraph">
    <w:name w:val="List Paragraph"/>
    <w:basedOn w:val="Normal"/>
    <w:uiPriority w:val="34"/>
    <w:qFormat/>
    <w:rsid w:val="004671E1"/>
    <w:pPr>
      <w:ind w:left="720"/>
      <w:contextualSpacing/>
    </w:pPr>
  </w:style>
  <w:style w:type="paragraph" w:styleId="FootnoteText">
    <w:name w:val="footnote text"/>
    <w:basedOn w:val="Normal"/>
    <w:link w:val="FootnoteTextChar"/>
    <w:uiPriority w:val="99"/>
    <w:unhideWhenUsed/>
    <w:rsid w:val="004671E1"/>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rsid w:val="004671E1"/>
    <w:rPr>
      <w:rFonts w:ascii="Arial" w:hAnsi="Arial" w:cs="Arial"/>
      <w:sz w:val="20"/>
      <w:szCs w:val="20"/>
    </w:rPr>
  </w:style>
  <w:style w:type="character" w:styleId="FootnoteReference">
    <w:name w:val="footnote reference"/>
    <w:basedOn w:val="DefaultParagraphFont"/>
    <w:uiPriority w:val="99"/>
    <w:semiHidden/>
    <w:unhideWhenUsed/>
    <w:rsid w:val="004671E1"/>
    <w:rPr>
      <w:vertAlign w:val="superscript"/>
    </w:rPr>
  </w:style>
  <w:style w:type="character" w:customStyle="1" w:styleId="Heading1Char">
    <w:name w:val="Heading 1 Char"/>
    <w:basedOn w:val="DefaultParagraphFont"/>
    <w:link w:val="Heading1"/>
    <w:uiPriority w:val="9"/>
    <w:rsid w:val="004671E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67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ED6BB1A-6ED2-40B8-A248-EC6095D3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3693</Words>
  <Characters>21056</Characters>
  <Application>Microsoft Office Word</Application>
  <DocSecurity>0</DocSecurity>
  <Lines>175</Lines>
  <Paragraphs>49</Paragraphs>
  <ScaleCrop>false</ScaleCrop>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Eaves</dc:creator>
  <cp:keywords/>
  <dc:description/>
  <cp:lastModifiedBy>Jo Eaves</cp:lastModifiedBy>
  <cp:revision>6</cp:revision>
  <dcterms:created xsi:type="dcterms:W3CDTF">2019-06-27T19:35:00Z</dcterms:created>
  <dcterms:modified xsi:type="dcterms:W3CDTF">2019-06-28T12:38:00Z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http://csl.mendeley.com/styles/2573011/apa</vt:lpwstr>
  </property>
  <property fmtid="{D5CDD505-2E9C-101B-9397-08002B2CF9AE}" pid="9" name="Mendeley Recent Style Name 3_1">
    <vt:lpwstr>American Psychological Association 6th edition - Joanne Eaves</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ies>
</file>