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18D000" w14:textId="77777777" w:rsidR="009C2D53" w:rsidRDefault="009C2D53" w:rsidP="00E41A3C">
      <w:pPr>
        <w:pStyle w:val="BBAuthorName"/>
        <w:jc w:val="left"/>
        <w:rPr>
          <w:rFonts w:ascii="Times New Roman" w:hAnsi="Times New Roman"/>
          <w:i w:val="0"/>
          <w:sz w:val="44"/>
        </w:rPr>
      </w:pPr>
      <w:r w:rsidRPr="009C2D53">
        <w:rPr>
          <w:rFonts w:ascii="Times New Roman" w:hAnsi="Times New Roman"/>
          <w:i w:val="0"/>
          <w:sz w:val="44"/>
        </w:rPr>
        <w:t xml:space="preserve">Exploiting Cationic Vacancies for Increased Energy Densities in Dual-Ion Batteries </w:t>
      </w:r>
    </w:p>
    <w:p w14:paraId="7CF04DD0" w14:textId="77777777" w:rsidR="00E41A3C" w:rsidRPr="009C2D53" w:rsidRDefault="009C2D53" w:rsidP="00E41A3C">
      <w:pPr>
        <w:pStyle w:val="BBAuthorName"/>
        <w:jc w:val="left"/>
        <w:rPr>
          <w:rFonts w:cs="Times"/>
          <w:szCs w:val="24"/>
        </w:rPr>
      </w:pPr>
      <w:r w:rsidRPr="009C2D53">
        <w:rPr>
          <w:rFonts w:cs="Times"/>
          <w:szCs w:val="24"/>
          <w:lang w:val="fr-FR"/>
        </w:rPr>
        <w:t>Toshinari Koketsu</w:t>
      </w:r>
      <w:r w:rsidRPr="009C2D53">
        <w:rPr>
          <w:rFonts w:cs="Times"/>
          <w:szCs w:val="24"/>
          <w:vertAlign w:val="superscript"/>
          <w:lang w:val="fr-FR"/>
        </w:rPr>
        <w:t>1</w:t>
      </w:r>
      <w:r w:rsidRPr="009C2D53">
        <w:rPr>
          <w:rFonts w:cs="Times"/>
          <w:szCs w:val="24"/>
          <w:lang w:val="fr-FR"/>
        </w:rPr>
        <w:t>, Jiwei Ma</w:t>
      </w:r>
      <w:r w:rsidRPr="009C2D53">
        <w:rPr>
          <w:rFonts w:cs="Times"/>
          <w:szCs w:val="24"/>
          <w:vertAlign w:val="superscript"/>
          <w:lang w:val="fr-FR"/>
        </w:rPr>
        <w:t>2,3,4</w:t>
      </w:r>
      <w:r w:rsidRPr="009C2D53">
        <w:rPr>
          <w:rFonts w:cs="Times"/>
          <w:szCs w:val="24"/>
          <w:lang w:val="fr-FR"/>
        </w:rPr>
        <w:t xml:space="preserve">, Benjamin. </w:t>
      </w:r>
      <w:r w:rsidRPr="009C2D53">
        <w:rPr>
          <w:rFonts w:cs="Times"/>
          <w:szCs w:val="24"/>
        </w:rPr>
        <w:t>J. Morgan</w:t>
      </w:r>
      <w:r w:rsidRPr="009C2D53">
        <w:rPr>
          <w:rFonts w:cs="Times"/>
          <w:szCs w:val="24"/>
          <w:vertAlign w:val="superscript"/>
        </w:rPr>
        <w:t>5</w:t>
      </w:r>
      <w:r w:rsidRPr="009C2D53">
        <w:rPr>
          <w:rFonts w:cs="Times"/>
          <w:szCs w:val="24"/>
        </w:rPr>
        <w:t>, Monique Body</w:t>
      </w:r>
      <w:r w:rsidRPr="009C2D53">
        <w:rPr>
          <w:rFonts w:cs="Times"/>
          <w:szCs w:val="24"/>
          <w:vertAlign w:val="superscript"/>
        </w:rPr>
        <w:t>6</w:t>
      </w:r>
      <w:r w:rsidRPr="009C2D53">
        <w:rPr>
          <w:rFonts w:cs="Times"/>
          <w:szCs w:val="24"/>
        </w:rPr>
        <w:t>, Christophe Legein</w:t>
      </w:r>
      <w:r w:rsidRPr="009C2D53">
        <w:rPr>
          <w:rFonts w:cs="Times"/>
          <w:szCs w:val="24"/>
          <w:vertAlign w:val="superscript"/>
        </w:rPr>
        <w:t>6</w:t>
      </w:r>
      <w:r w:rsidRPr="009C2D53">
        <w:rPr>
          <w:rFonts w:cs="Times"/>
          <w:szCs w:val="24"/>
        </w:rPr>
        <w:t>, Pooja Goddard</w:t>
      </w:r>
      <w:r w:rsidRPr="009C2D53">
        <w:rPr>
          <w:rFonts w:cs="Times"/>
          <w:szCs w:val="24"/>
          <w:vertAlign w:val="superscript"/>
        </w:rPr>
        <w:t>7</w:t>
      </w:r>
      <w:r w:rsidRPr="009C2D53">
        <w:rPr>
          <w:rFonts w:cs="Times"/>
          <w:szCs w:val="24"/>
        </w:rPr>
        <w:t>, Olaf J. Borkiewicz</w:t>
      </w:r>
      <w:r w:rsidRPr="009C2D53">
        <w:rPr>
          <w:rFonts w:cs="Times"/>
          <w:szCs w:val="24"/>
          <w:vertAlign w:val="superscript"/>
        </w:rPr>
        <w:t>8</w:t>
      </w:r>
      <w:r w:rsidRPr="009C2D53">
        <w:rPr>
          <w:rFonts w:cs="Times"/>
          <w:szCs w:val="24"/>
        </w:rPr>
        <w:t>, Peter Strasser</w:t>
      </w:r>
      <w:r w:rsidRPr="009C2D53">
        <w:rPr>
          <w:rFonts w:cs="Times"/>
          <w:szCs w:val="24"/>
          <w:vertAlign w:val="superscript"/>
        </w:rPr>
        <w:t>1</w:t>
      </w:r>
      <w:r w:rsidRPr="009C2D53">
        <w:rPr>
          <w:rFonts w:cs="Times"/>
          <w:szCs w:val="24"/>
        </w:rPr>
        <w:t>, and Damien Dambournet</w:t>
      </w:r>
      <w:r w:rsidRPr="009C2D53">
        <w:rPr>
          <w:rFonts w:cs="Times"/>
          <w:szCs w:val="24"/>
          <w:vertAlign w:val="superscript"/>
        </w:rPr>
        <w:t>2,3</w:t>
      </w:r>
      <w:r w:rsidRPr="009C2D53">
        <w:rPr>
          <w:rFonts w:cs="Times"/>
          <w:szCs w:val="24"/>
        </w:rPr>
        <w:t>*</w:t>
      </w:r>
    </w:p>
    <w:p w14:paraId="29E61F26" w14:textId="77777777" w:rsidR="00E41A3C" w:rsidRPr="009C2D53" w:rsidRDefault="00E41A3C" w:rsidP="00E41A3C">
      <w:pPr>
        <w:pStyle w:val="BCAuthorAddress"/>
        <w:jc w:val="left"/>
        <w:rPr>
          <w:rFonts w:cs="Times"/>
          <w:szCs w:val="24"/>
        </w:rPr>
      </w:pPr>
      <w:r w:rsidRPr="009C2D53">
        <w:rPr>
          <w:rFonts w:cs="Times"/>
          <w:szCs w:val="24"/>
          <w:vertAlign w:val="superscript"/>
        </w:rPr>
        <w:t>1</w:t>
      </w:r>
      <w:r w:rsidRPr="009C2D53">
        <w:rPr>
          <w:rFonts w:cs="Times"/>
          <w:szCs w:val="24"/>
        </w:rPr>
        <w:t xml:space="preserve"> </w:t>
      </w:r>
      <w:bookmarkStart w:id="0" w:name="OLE_LINK4"/>
      <w:bookmarkStart w:id="1" w:name="OLE_LINK3"/>
      <w:r w:rsidR="009C2D53">
        <w:t>The Electrochemical Energy, Catalysis, and Materials Science Laboratory</w:t>
      </w:r>
      <w:bookmarkEnd w:id="0"/>
      <w:bookmarkEnd w:id="1"/>
      <w:r w:rsidR="009C2D53">
        <w:t>, Department of Chemistry, Technical University Berlin, 10623 Berlin, Germany</w:t>
      </w:r>
    </w:p>
    <w:p w14:paraId="7C45AE92" w14:textId="77777777" w:rsidR="009C2D53" w:rsidRDefault="009C54C6" w:rsidP="009C54C6">
      <w:pPr>
        <w:pStyle w:val="BCAuthorAddress"/>
        <w:jc w:val="left"/>
        <w:rPr>
          <w:lang w:val="fr-FR"/>
        </w:rPr>
      </w:pPr>
      <w:r>
        <w:rPr>
          <w:rFonts w:cs="Times"/>
          <w:szCs w:val="24"/>
          <w:vertAlign w:val="superscript"/>
          <w:lang w:val="fr-FR"/>
        </w:rPr>
        <w:t>2</w:t>
      </w:r>
      <w:r w:rsidRPr="00E41A3C">
        <w:rPr>
          <w:rFonts w:cs="Times"/>
          <w:szCs w:val="24"/>
          <w:lang w:val="fr-FR"/>
        </w:rPr>
        <w:t xml:space="preserve"> </w:t>
      </w:r>
      <w:r w:rsidR="009C2D53">
        <w:rPr>
          <w:lang w:val="fr-FR"/>
        </w:rPr>
        <w:t>Sorbonne Université, CNRS, Physico-chimie des électrolytes et nano-systèmes interfaciaux, PHENIX, F-75005 Paris, France</w:t>
      </w:r>
    </w:p>
    <w:p w14:paraId="184718F8" w14:textId="77777777" w:rsidR="009C2D53" w:rsidRPr="00E41A3C" w:rsidRDefault="001823F0" w:rsidP="009C2D53">
      <w:pPr>
        <w:pStyle w:val="BCAuthorAddress"/>
        <w:jc w:val="left"/>
        <w:rPr>
          <w:rFonts w:cs="Times"/>
          <w:szCs w:val="24"/>
          <w:lang w:val="fr-FR"/>
        </w:rPr>
      </w:pPr>
      <w:r w:rsidRPr="009C2D53">
        <w:rPr>
          <w:rFonts w:cs="Times"/>
          <w:szCs w:val="24"/>
          <w:vertAlign w:val="superscript"/>
          <w:lang w:val="fr-FR"/>
        </w:rPr>
        <w:t>3</w:t>
      </w:r>
      <w:r w:rsidR="009C54C6" w:rsidRPr="009C2D53">
        <w:rPr>
          <w:rFonts w:cs="Times"/>
          <w:szCs w:val="24"/>
          <w:lang w:val="fr-FR"/>
        </w:rPr>
        <w:t xml:space="preserve"> </w:t>
      </w:r>
      <w:r w:rsidR="009C2D53" w:rsidRPr="00E41A3C">
        <w:rPr>
          <w:rFonts w:cs="Times"/>
          <w:szCs w:val="24"/>
          <w:lang w:val="fr-FR"/>
        </w:rPr>
        <w:t>Réseau sur le Stockage Electrochimique de l'Energie (RS2E), FR CNRS 3</w:t>
      </w:r>
      <w:r w:rsidR="009C2D53">
        <w:rPr>
          <w:rFonts w:cs="Times"/>
          <w:szCs w:val="24"/>
          <w:lang w:val="fr-FR"/>
        </w:rPr>
        <w:t>459, 80039 Amiens Cedex, France</w:t>
      </w:r>
    </w:p>
    <w:p w14:paraId="7A95945E" w14:textId="77777777" w:rsidR="009C2D53" w:rsidRDefault="001823F0" w:rsidP="00E41A3C">
      <w:pPr>
        <w:pStyle w:val="BCAuthorAddress"/>
        <w:jc w:val="left"/>
        <w:rPr>
          <w:rFonts w:cs="Times"/>
          <w:szCs w:val="24"/>
        </w:rPr>
      </w:pPr>
      <w:r w:rsidRPr="009C2D53">
        <w:rPr>
          <w:rFonts w:cs="Times"/>
          <w:szCs w:val="24"/>
          <w:vertAlign w:val="superscript"/>
        </w:rPr>
        <w:t>4</w:t>
      </w:r>
      <w:r w:rsidR="00E41A3C" w:rsidRPr="009C2D53">
        <w:rPr>
          <w:rFonts w:cs="Times"/>
          <w:szCs w:val="24"/>
        </w:rPr>
        <w:t xml:space="preserve"> </w:t>
      </w:r>
      <w:r w:rsidR="009C2D53" w:rsidRPr="009C2D53">
        <w:rPr>
          <w:rFonts w:cs="Times"/>
          <w:szCs w:val="24"/>
        </w:rPr>
        <w:t>Institute of New Energy for Vehicles, School of Materials Science and Engineering, Tongji University, Shanghai 201804, China</w:t>
      </w:r>
      <w:r w:rsidR="009C2D53">
        <w:rPr>
          <w:rFonts w:cs="Times"/>
          <w:szCs w:val="24"/>
        </w:rPr>
        <w:t xml:space="preserve"> </w:t>
      </w:r>
    </w:p>
    <w:p w14:paraId="5769D5C7" w14:textId="77777777" w:rsidR="009C2D53" w:rsidRDefault="009C2D53" w:rsidP="009C2D53">
      <w:pPr>
        <w:pStyle w:val="BIEmailAddress"/>
        <w:rPr>
          <w:lang w:val="en-GB"/>
        </w:rPr>
      </w:pPr>
      <w:r w:rsidRPr="009C2D53">
        <w:rPr>
          <w:rFonts w:cs="Times"/>
          <w:szCs w:val="24"/>
          <w:vertAlign w:val="superscript"/>
        </w:rPr>
        <w:t xml:space="preserve">5 </w:t>
      </w:r>
      <w:r w:rsidRPr="009C2D53">
        <w:rPr>
          <w:lang w:val="en-GB"/>
        </w:rPr>
        <w:t>Department of Chemistry, University of Bath, BA2 7AY Bath, United K</w:t>
      </w:r>
      <w:r>
        <w:rPr>
          <w:lang w:val="en-GB"/>
        </w:rPr>
        <w:t xml:space="preserve">ingdom. </w:t>
      </w:r>
      <w:r w:rsidRPr="009C2D53">
        <w:rPr>
          <w:lang w:val="en-GB"/>
        </w:rPr>
        <w:t>The Faraday Institution, Quad One, Harwell Science and Innovation Campus, Didcot, UK.</w:t>
      </w:r>
    </w:p>
    <w:p w14:paraId="123B2869" w14:textId="77777777" w:rsidR="009C2D53" w:rsidRPr="009C2D53" w:rsidRDefault="009C2D53" w:rsidP="009C2D53">
      <w:pPr>
        <w:pStyle w:val="BCAuthorAddress"/>
        <w:jc w:val="left"/>
        <w:rPr>
          <w:rFonts w:cs="Times"/>
          <w:szCs w:val="24"/>
          <w:lang w:val="fr-FR"/>
        </w:rPr>
      </w:pPr>
      <w:r>
        <w:rPr>
          <w:rFonts w:cs="Times"/>
          <w:szCs w:val="24"/>
          <w:vertAlign w:val="superscript"/>
          <w:lang w:val="fr-FR"/>
        </w:rPr>
        <w:t>6</w:t>
      </w:r>
      <w:r w:rsidRPr="009C2D53">
        <w:rPr>
          <w:rFonts w:cs="Times"/>
          <w:szCs w:val="24"/>
          <w:lang w:val="fr-FR"/>
        </w:rPr>
        <w:t xml:space="preserve"> Institut des Molécules et des Matériaux du Mans (IMMM) - UMR 6283 CNRS, Le Mans Université, Avenue Olivier Messiaen, 72085 Le Mans Cedex 9, France.</w:t>
      </w:r>
    </w:p>
    <w:p w14:paraId="0289F3F4" w14:textId="77777777" w:rsidR="009C2D53" w:rsidRPr="009C2D53" w:rsidRDefault="009C2D53" w:rsidP="009C2D53">
      <w:pPr>
        <w:pStyle w:val="BCAuthorAddress"/>
        <w:jc w:val="left"/>
        <w:rPr>
          <w:rFonts w:cs="Times"/>
          <w:szCs w:val="24"/>
        </w:rPr>
      </w:pPr>
      <w:r w:rsidRPr="009C2D53">
        <w:rPr>
          <w:rFonts w:cs="Times"/>
          <w:szCs w:val="24"/>
          <w:vertAlign w:val="superscript"/>
        </w:rPr>
        <w:t>7</w:t>
      </w:r>
      <w:r w:rsidRPr="009C2D53">
        <w:rPr>
          <w:rFonts w:cs="Times"/>
          <w:szCs w:val="24"/>
        </w:rPr>
        <w:t xml:space="preserve"> Department of Chemistry, Loughborough University, Epinal Way, Loughborough LE11</w:t>
      </w:r>
      <w:r>
        <w:rPr>
          <w:rFonts w:cs="Times"/>
          <w:szCs w:val="24"/>
        </w:rPr>
        <w:t xml:space="preserve"> </w:t>
      </w:r>
      <w:r w:rsidRPr="009C2D53">
        <w:rPr>
          <w:rFonts w:cs="Times"/>
          <w:szCs w:val="24"/>
        </w:rPr>
        <w:t xml:space="preserve">3TU, UK. </w:t>
      </w:r>
    </w:p>
    <w:p w14:paraId="016086C6" w14:textId="77777777" w:rsidR="00E41A3C" w:rsidRPr="009C2D53" w:rsidRDefault="009C2D53" w:rsidP="00E41A3C">
      <w:pPr>
        <w:pStyle w:val="BCAuthorAddress"/>
        <w:jc w:val="left"/>
        <w:rPr>
          <w:rFonts w:cs="Times"/>
          <w:szCs w:val="24"/>
        </w:rPr>
      </w:pPr>
      <w:r w:rsidRPr="009C2D53">
        <w:rPr>
          <w:rFonts w:cs="Times"/>
          <w:szCs w:val="24"/>
          <w:vertAlign w:val="superscript"/>
        </w:rPr>
        <w:lastRenderedPageBreak/>
        <w:t>8</w:t>
      </w:r>
      <w:r w:rsidR="00E41A3C" w:rsidRPr="009C2D53">
        <w:rPr>
          <w:rFonts w:cs="Times"/>
          <w:szCs w:val="24"/>
        </w:rPr>
        <w:t xml:space="preserve"> X-ray Science Division, Advanced Photon Source, Argonne National Laboratory, Argonne, Illinois, USA. </w:t>
      </w:r>
    </w:p>
    <w:p w14:paraId="6F1F1712" w14:textId="77777777" w:rsidR="00683131" w:rsidRPr="008A6E5F" w:rsidRDefault="009C2D53" w:rsidP="00683131">
      <w:pPr>
        <w:pStyle w:val="FACorrespondingAuthorFootnote"/>
        <w:spacing w:after="0"/>
        <w:jc w:val="left"/>
      </w:pPr>
      <w:r w:rsidRPr="009C2D53">
        <w:rPr>
          <w:b/>
        </w:rPr>
        <w:t>Keywords:</w:t>
      </w:r>
      <w:r w:rsidRPr="009C2D53">
        <w:t xml:space="preserve"> Lithium-magnesium dual ion, defects, DFT-calculations, 7Li and 19F solid-state NMR.</w:t>
      </w:r>
    </w:p>
    <w:p w14:paraId="16C506C5" w14:textId="77777777" w:rsidR="009C2D53" w:rsidRDefault="009C2D53" w:rsidP="009C2D53">
      <w:pPr>
        <w:pStyle w:val="Abstract"/>
      </w:pPr>
      <w:r>
        <w:rPr>
          <w:b/>
        </w:rPr>
        <w:t>Abstract.</w:t>
      </w:r>
      <w:r>
        <w:t xml:space="preserve"> Dual-ion Li–Mg batteries offer a potential route to cells that combine desirable properties of both single-ion species. To maximize the energy density of a dual-ion battery, we propose a strategy for achieving simultaneous intercalation of both ionic species, by chemically modifying the intercalation host material to produce a second, complementary, class of insertion sites. We show that donor-doping of anatase TiO</w:t>
      </w:r>
      <w:r>
        <w:rPr>
          <w:vertAlign w:val="subscript"/>
        </w:rPr>
        <w:t>2</w:t>
      </w:r>
      <w:r>
        <w:t xml:space="preserve"> to form large numbers of cationic vacancies allows the complementary insertion of Li</w:t>
      </w:r>
      <w:r>
        <w:rPr>
          <w:vertAlign w:val="superscript"/>
        </w:rPr>
        <w:t>+</w:t>
      </w:r>
      <w:r>
        <w:t xml:space="preserve"> and Mg</w:t>
      </w:r>
      <w:r>
        <w:rPr>
          <w:vertAlign w:val="superscript"/>
        </w:rPr>
        <w:t>2+</w:t>
      </w:r>
      <w:r>
        <w:t xml:space="preserve"> in a dual-ion cell with a net increase in cell energy density, due to a combination of an increased reversible capacity, an increased operating voltage, and a reduced polarization. By tuning the lithium concentration in the electrolyte, we achieve full utilization of the Ti</w:t>
      </w:r>
      <w:r>
        <w:rPr>
          <w:vertAlign w:val="superscript"/>
        </w:rPr>
        <w:t>4+</w:t>
      </w:r>
      <w:r>
        <w:t>/Ti</w:t>
      </w:r>
      <w:r>
        <w:rPr>
          <w:vertAlign w:val="superscript"/>
        </w:rPr>
        <w:t>3+</w:t>
      </w:r>
      <w:r>
        <w:t xml:space="preserve"> redox couple with excellent cyclability and rate capability. We conclude that </w:t>
      </w:r>
      <w:r>
        <w:rPr>
          <w:kern w:val="20"/>
          <w:lang w:eastAsia="zh-CN"/>
        </w:rPr>
        <w:t>native interstitial sites preferentially accommodate Li</w:t>
      </w:r>
      <w:r>
        <w:rPr>
          <w:kern w:val="20"/>
          <w:vertAlign w:val="superscript"/>
          <w:lang w:eastAsia="zh-CN"/>
        </w:rPr>
        <w:t>+</w:t>
      </w:r>
      <w:r>
        <w:rPr>
          <w:kern w:val="20"/>
          <w:lang w:eastAsia="zh-CN"/>
        </w:rPr>
        <w:t xml:space="preserve"> ions, while </w:t>
      </w:r>
      <w:r>
        <w:t>Mg</w:t>
      </w:r>
      <w:r>
        <w:rPr>
          <w:vertAlign w:val="superscript"/>
        </w:rPr>
        <w:t>2+</w:t>
      </w:r>
      <w:r>
        <w:t xml:space="preserve"> ions occupy single-vacancy sites. We also predict a narrow range of electrochemical conditions where adjacent vacancy pairs preferentially accommodate one ion of each species, </w:t>
      </w:r>
      <w:r>
        <w:rPr>
          <w:i/>
        </w:rPr>
        <w:t>i.e.</w:t>
      </w:r>
      <w:r>
        <w:t>, a [Li</w:t>
      </w:r>
      <w:r>
        <w:rPr>
          <w:vertAlign w:val="subscript"/>
        </w:rPr>
        <w:t>Ti</w:t>
      </w:r>
      <w:r>
        <w:t>+Mg</w:t>
      </w:r>
      <w:r>
        <w:rPr>
          <w:vertAlign w:val="subscript"/>
        </w:rPr>
        <w:t>Ti</w:t>
      </w:r>
      <w:r>
        <w:t xml:space="preserve">] configuration. These results demonstrate the implementation of additional host sites such as cationic sites as an effective approach to increase the energy density in dual-ion batteries. </w:t>
      </w:r>
    </w:p>
    <w:p w14:paraId="1FA17654" w14:textId="77777777" w:rsidR="009C2D53" w:rsidRDefault="009C2D53" w:rsidP="000702AD">
      <w:pPr>
        <w:pStyle w:val="BGKeywords"/>
      </w:pPr>
    </w:p>
    <w:p w14:paraId="1045484A" w14:textId="77777777" w:rsidR="003056E0" w:rsidRDefault="003056E0" w:rsidP="003056E0">
      <w:pPr>
        <w:pStyle w:val="Head1"/>
      </w:pPr>
      <w:r>
        <w:t>Introduction</w:t>
      </w:r>
    </w:p>
    <w:p w14:paraId="4CF2F535" w14:textId="77777777" w:rsidR="003056E0" w:rsidRDefault="003056E0" w:rsidP="003056E0">
      <w:pPr>
        <w:pStyle w:val="TCTableBody"/>
        <w:spacing w:line="480" w:lineRule="auto"/>
        <w:rPr>
          <w:rFonts w:ascii="Times New Roman" w:hAnsi="Times New Roman"/>
          <w:szCs w:val="24"/>
        </w:rPr>
      </w:pPr>
      <w:bookmarkStart w:id="2" w:name="OLE_LINK18"/>
      <w:bookmarkStart w:id="3" w:name="OLE_LINK17"/>
      <w:bookmarkStart w:id="4" w:name="OLE_LINK19"/>
      <w:bookmarkStart w:id="5" w:name="OLE_LINK33"/>
      <w:bookmarkStart w:id="6" w:name="OLE_LINK32"/>
      <w:r>
        <w:rPr>
          <w:rFonts w:ascii="Times New Roman" w:hAnsi="Times New Roman"/>
          <w:szCs w:val="24"/>
        </w:rPr>
        <w:t>Lithium-ion batteries find use in diverse applications, including portable electronic devices, electric vehicles and large-scale energy-storage systems.</w:t>
      </w:r>
      <w:bookmarkEnd w:id="2"/>
      <w:bookmarkEnd w:id="3"/>
      <w:r>
        <w:fldChar w:fldCharType="begin"/>
      </w:r>
      <w:r>
        <w:rPr>
          <w:rFonts w:ascii="Times New Roman" w:hAnsi="Times New Roman"/>
          <w:szCs w:val="24"/>
        </w:rPr>
        <w:instrText xml:space="preserve"> ADDIN ZOTERO_ITEM CSL_CITATION {"citationID":"dDu1KYha","properties":{"formattedCitation":"[1]","plainCitation":"[1]","noteIndex":0},"citationItems":[{"id":355,"uris":["http://zotero.org/users/4816088/items/AGUKFD9F"],"uri":["http://zotero.org/users/4816088/items/AGUKFD9F"],"itemData":{"id":355,"type":"article-journal","title":"Electrical Energy Storage for the Grid: A Battery of Choices","container-title":"Science","page":"928-935","volume":"334","issue":"6058","source":"science.sciencemag.org","abstract":"The increasing interest in energy storage for the grid can be attributed to multiple factors, including the capital costs of managing peak demands, the investments needed for grid reliability, and the integration of renewable energy sources. Although existing energy storage is dominated by pumped hydroelectric, there is the recognition that battery systems can offer a number of high-value opportunities, provided that lower costs can be obtained. The battery systems reviewed here include sodium-sulfur batteries that are commercially available for grid applications, redox-flow batteries that offer low cost, and lithium-ion batteries whose development for commercial electronics and electric vehicles is being applied to grid storage.","DOI":"10.1126/science.1212741","ISSN":"0036-8075, 1095-9203","note":"PMID: 22096188","shortTitle":"Electrical Energy Storage for the Grid","language":"en","author":[{"family":"Dunn","given":"Bruce"},{"family":"Kamath","given":"Haresh"},{"family":"Tarascon","given":"Jean-Marie"}],"issued":{"date-parts":[["2011",11,18]]}}}],"schema":"https://github.com/citation-style-language/schema/raw/master/csl-citation.json"} </w:instrText>
      </w:r>
      <w:r>
        <w:fldChar w:fldCharType="separate"/>
      </w:r>
      <w:r w:rsidRPr="003056E0">
        <w:rPr>
          <w:rFonts w:ascii="Times New Roman" w:hAnsi="Times New Roman"/>
        </w:rPr>
        <w:t>[1]</w:t>
      </w:r>
      <w:r>
        <w:fldChar w:fldCharType="end"/>
      </w:r>
      <w:r>
        <w:rPr>
          <w:rFonts w:ascii="Times New Roman" w:hAnsi="Times New Roman"/>
          <w:szCs w:val="24"/>
        </w:rPr>
        <w:t xml:space="preserve"> With the growing demand for energy, development of post-lithium-ion batteries with superior performance is critical.</w:t>
      </w:r>
      <w:bookmarkEnd w:id="4"/>
      <w:r>
        <w:rPr>
          <w:rFonts w:ascii="Times New Roman" w:hAnsi="Times New Roman"/>
          <w:szCs w:val="24"/>
        </w:rPr>
        <w:t xml:space="preserve"> </w:t>
      </w:r>
      <w:bookmarkStart w:id="7" w:name="OLE_LINK40"/>
      <w:bookmarkStart w:id="8" w:name="OLE_LINK39"/>
      <w:bookmarkStart w:id="9" w:name="OLE_LINK46"/>
      <w:bookmarkStart w:id="10" w:name="OLE_LINK41"/>
      <w:r>
        <w:rPr>
          <w:rFonts w:ascii="Times New Roman" w:hAnsi="Times New Roman"/>
          <w:szCs w:val="24"/>
        </w:rPr>
        <w:t xml:space="preserve">In </w:t>
      </w:r>
      <w:bookmarkEnd w:id="7"/>
      <w:bookmarkEnd w:id="8"/>
      <w:r>
        <w:rPr>
          <w:rFonts w:ascii="Times New Roman" w:hAnsi="Times New Roman"/>
          <w:szCs w:val="24"/>
        </w:rPr>
        <w:t xml:space="preserve">this </w:t>
      </w:r>
      <w:r>
        <w:rPr>
          <w:rFonts w:ascii="Times New Roman" w:hAnsi="Times New Roman"/>
          <w:szCs w:val="24"/>
        </w:rPr>
        <w:lastRenderedPageBreak/>
        <w:t>context, magnesium secondary batteries that use a Mg metal anode and an intercalation-type cathode are attractive candidates.</w:t>
      </w:r>
      <w:r>
        <w:fldChar w:fldCharType="begin"/>
      </w:r>
      <w:r>
        <w:rPr>
          <w:rFonts w:ascii="Times New Roman" w:hAnsi="Times New Roman"/>
          <w:szCs w:val="24"/>
        </w:rPr>
        <w:instrText xml:space="preserve"> ADDIN ZOTERO_ITEM CSL_CITATION {"citationID":"9WqjF70j","properties":{"formattedCitation":"[2]","plainCitation":"[2]","noteIndex":0},"citationItems":[{"id":1109,"uris":["http://zotero.org/users/4816088/items/ABGH79X5"],"uri":["http://zotero.org/users/4816088/items/ABGH79X5"],"itemData":{"id":1109,"type":"article-journal","title":"Prototype systems for rechargeable magnesium batteries","container-title":"Nature","page":"724-727","volume":"407","issue":"6805","source":"www.nature.com","abstract":"The thermodynamic properties of magnesium make it a natural choice for use as an anode material in rechargeable batteries, because it may provide a considerably higher energy density than the commonly used lead–acid and nickel–cadmium systems. Moreover, in contrast to lead and cadmium, magnesium is inexpensive, environmentally friendly and safe to handle. But the development of Mg batteries has been hindered by two problems. First, owing to the chemical activity of Mg, only solutions that neither donate nor accept protons are suitable as electrolytes; but most of these solutions allow the growth of passivating surface films, which inhibit any electrochemical reaction1,2,3. Second, the choice of cathode materials has been limited by the difficulty of intercalating Mg ions in many hosts4. Following previous studies of the electrochemistry of Mg electrodes in various non-aqueous solutions1,5, and of a variety of intercalation electrodes6,7, we have now developed rechargeable Mg battery systems that show promise for applications. The systems comprise electrolyte solutions based on Mg organohaloaluminate salts, and MgxMo 3S4 cathodes, into which Mg ions can be intercalated reversibly, and with relatively fast kinetics. We expect that further improvements in the energy density will make these batteries a viable alternative to existing systems.","DOI":"10.1038/35037553","ISSN":"1476-4687","language":"en","author":[{"family":"Aurbach","given":"D."},{"family":"Lu","given":"Z."},{"family":"Schechter","given":"A."},{"family":"Gofer","given":"Y."},{"family":"Gizbar","given":"H."},{"family":"Turgeman","given":"R."},{"family":"Cohen","given":"Y."},{"family":"Moshkovich","given":"M."},{"family":"Levi","given":"E."}],"issued":{"date-parts":[["2000",10]]}}}],"schema":"https://github.com/citation-style-language/schema/raw/master/csl-citation.json"} </w:instrText>
      </w:r>
      <w:r>
        <w:fldChar w:fldCharType="separate"/>
      </w:r>
      <w:r w:rsidRPr="003056E0">
        <w:rPr>
          <w:rFonts w:ascii="Times New Roman" w:hAnsi="Times New Roman"/>
        </w:rPr>
        <w:t>[2]</w:t>
      </w:r>
      <w:r>
        <w:fldChar w:fldCharType="end"/>
      </w:r>
      <w:r>
        <w:rPr>
          <w:rFonts w:ascii="Times New Roman" w:hAnsi="Times New Roman"/>
          <w:szCs w:val="24"/>
        </w:rPr>
        <w:t xml:space="preserve"> Mg metal anodes have a large volumetric capacity (3832 mA h cm</w:t>
      </w:r>
      <w:r>
        <w:rPr>
          <w:rFonts w:ascii="Times New Roman" w:hAnsi="Times New Roman"/>
          <w:szCs w:val="24"/>
          <w:vertAlign w:val="superscript"/>
        </w:rPr>
        <w:t>-3</w:t>
      </w:r>
      <w:r>
        <w:rPr>
          <w:rFonts w:ascii="Times New Roman" w:hAnsi="Times New Roman"/>
          <w:szCs w:val="24"/>
        </w:rPr>
        <w:t>), are resistant towards dendrite formation,</w:t>
      </w:r>
      <w:r>
        <w:fldChar w:fldCharType="begin"/>
      </w:r>
      <w:r>
        <w:rPr>
          <w:rFonts w:ascii="Times New Roman" w:hAnsi="Times New Roman"/>
          <w:szCs w:val="24"/>
        </w:rPr>
        <w:instrText xml:space="preserve"> ADDIN ZOTERO_ITEM CSL_CITATION {"citationID":"jNDndWJ9","properties":{"formattedCitation":"[3,4]","plainCitation":"[3,4]","noteIndex":0},"citationItems":[{"id":4758,"uris":["http://zotero.org/users/4816088/items/ILQTQ99U"],"uri":["http://zotero.org/users/4816088/items/ILQTQ99U"],"itemData":{"id":4758,"type":"article-journal","title":"The Study of Reversible Magnesium Deposition by In Situ Scanning Tunneling Microscopy","container-title":"Electrochemical and Solid-State Letters","page":"A113-A116","volume":"4","issue":"8","source":"esl.ecsdl.org","abstract":"Magnesium can be reversibly deposited from ethereal solutions of Grignard salts of the RMgX type aryl groups and and complexes of the type or aryl groups and These complexes can be considered as products of the interaction between R′RMg bases and Lewis acids. The use of such complexes in ether solvents enables us to obtain solutions of high anodic stability, which can be suitable for rechargeable Mg battery systems. Mg electrodes in both Grignard salts and complex ethereal solutions developed very high impedance under open-circuit conditions. However, it appears that this high impedance is not due to stable passivation phenomena, but rather to some adsorption processes. Hence, it was possible to probe in situ the morphology of Mg deposition and dissolution processes by scanning tunneling microscopy. In this paper, we report on the study of Mg deposition in tetrahydrofuran solutions of BuMgCl (Bu = butyl group) and The latter solution was found to be useful and suitable for rechargeable magnesium battery systems. © 2001 The Electrochemical Society. All rights reserved.","DOI":"10.1149/1.1379828","ISSN":"1099-0062, 1944-8775","journalAbbreviation":"Electrochem. Solid-State Lett.","language":"en","author":[{"family":"Aurbach","given":"D."},{"family":"Cohen","given":"Y."},{"family":"Moshkovich","given":"M."}],"issued":{"date-parts":[["2001",1,8]]}}},{"id":4760,"uris":["http://zotero.org/users/4816088/items/L43RVU8R"],"uri":["http://zotero.org/users/4816088/items/L43RVU8R"],"itemData":{"id":4760,"type":"article-journal","title":"Study on electrochemically deposited Mg metal","container-title":"Journal of Power Sources","collection-title":"15th International Meeting on Lithium Batteries (IMLB)","page":"7048-7055","volume":"196","issue":"16","source":"ScienceDirect","abstract":"An electrodeposition process of magnesium metal from Grignard reagent based electrolyte was studied by comparing with lithium. The electrodeposition of magnesium was performed at various current densities. The obtained magnesium deposits did not show dendritic morphologies while all the lithium deposits showed dendritic products. Two different crystal growth modes in the electrodeposition process of magnesium metal were confirmed by an observation using scanning electron micro scope (SEM) and a crystallographic analysis using X-ray diffraction (XRD). An electrochemical study of the deposition/dissolution process of the magnesium showed a remarkable dependency of the overpotential of magnesium deposition on the electrolyte concentration compared with lithium. This result suggests that the dependency of the overpotential on the electrolyte concentration prevent the locally concentrated current resulting to form very uniform deposits.","DOI":"10.1016/j.jpowsour.2010.11.141","ISSN":"0378-7753","journalAbbreviation":"Journal of Power Sources","author":[{"family":"Matsui","given":"Masaki"}],"issued":{"date-parts":[["2011",8,15]]}}}],"schema":"https://github.com/citation-style-language/schema/raw/master/csl-citation.json"} </w:instrText>
      </w:r>
      <w:r>
        <w:fldChar w:fldCharType="separate"/>
      </w:r>
      <w:r w:rsidRPr="003056E0">
        <w:rPr>
          <w:rFonts w:ascii="Times New Roman" w:hAnsi="Times New Roman"/>
        </w:rPr>
        <w:t>[3,4]</w:t>
      </w:r>
      <w:r>
        <w:fldChar w:fldCharType="end"/>
      </w:r>
      <w:r>
        <w:rPr>
          <w:rFonts w:ascii="Times New Roman" w:hAnsi="Times New Roman"/>
          <w:szCs w:val="24"/>
        </w:rPr>
        <w:t xml:space="preserve"> and are stable against air and moisture exposure, giving higher theoretical energy densities and improved safety relative to conventional lithium-ion batteries. </w:t>
      </w:r>
    </w:p>
    <w:bookmarkEnd w:id="5"/>
    <w:bookmarkEnd w:id="6"/>
    <w:bookmarkEnd w:id="9"/>
    <w:bookmarkEnd w:id="10"/>
    <w:p w14:paraId="1FB5C02E" w14:textId="77777777" w:rsidR="003056E0" w:rsidRDefault="003056E0" w:rsidP="003056E0">
      <w:pPr>
        <w:spacing w:line="480" w:lineRule="auto"/>
        <w:ind w:firstLine="708"/>
        <w:rPr>
          <w:rFonts w:ascii="Times New Roman" w:hAnsi="Times New Roman"/>
          <w:szCs w:val="24"/>
        </w:rPr>
      </w:pPr>
      <w:r>
        <w:t>Despite these appealing properties, the development of rechargeable Mg batteries faces many challenges.</w:t>
      </w:r>
      <w:r>
        <w:fldChar w:fldCharType="begin"/>
      </w:r>
      <w:r>
        <w:instrText xml:space="preserve"> ADDIN ZOTERO_ITEM CSL_CITATION {"citationID":"4BGMGfwv","properties":{"formattedCitation":"[5]","plainCitation":"[5]","noteIndex":0},"citationItems":[{"id":4763,"uris":["http://zotero.org/users/4816088/items/NGYRFUQD"],"uri":["http://zotero.org/users/4816088/items/NGYRFUQD"],"itemData":{"id":4763,"type":"article-journal","title":"Mg rechargeable batteries: an on-going challenge","container-title":"Energy &amp; Environmental Science","page":"2265-2279","volume":"6","issue":"8","source":"pubs.rsc.org","abstract":"The first working Mg rechargeable battery prototypes were ready for presentation about 13 years ago after two breakthroughs. The first was the development of non-Grignard Mg complex electrolyte solutions with reasonably wide electrochemical windows in which Mg electrodes are fully reversible. The second breakthrough was attained by demonstrating high-rate Mg cathodes based on Chevrel phases. These prototypes could compete with lead–acid or Ni–Cd batteries in terms of energy density, very low self-discharge, a wide temperature range of operation, and an impressive prolonged cycle life. However, the energy density and rate capability of these Mg battery prototypes were not attractive enough to commercialize them. Since then we have seen gradual progress in the development of better electrolyte solutions, as well as suggestions of new cathodes. In this article we review the recent accumulated experience, understandings, new strategies and materials, in the continuous R&amp;D process of non-aqueous Mg batteries. This paper provides a road-map of this field during the last decade.","DOI":"10.1039/C3EE40871J","ISSN":"1754-5706","shortTitle":"Mg rechargeable batteries","journalAbbreviation":"Energy Environ. Sci.","language":"en","author":[{"family":"Yoo","given":"Hyun Deog"},{"family":"Shterenberg","given":"Ivgeni"},{"family":"Gofer","given":"Yosef"},{"family":"Gershinsky","given":"Gregory"},{"family":"Pour","given":"Nir"},{"family":"Aurbach","given":"Doron"}],"issued":{"date-parts":[["2013",7,17]]}}}],"schema":"https://github.com/citation-style-language/schema/raw/master/csl-citation.json"} </w:instrText>
      </w:r>
      <w:r>
        <w:fldChar w:fldCharType="separate"/>
      </w:r>
      <w:r w:rsidRPr="003056E0">
        <w:rPr>
          <w:rFonts w:cs="Times"/>
        </w:rPr>
        <w:t>[5]</w:t>
      </w:r>
      <w:r>
        <w:fldChar w:fldCharType="end"/>
      </w:r>
      <w:r>
        <w:t xml:space="preserve"> The higher formal charge of Mg</w:t>
      </w:r>
      <w:r>
        <w:rPr>
          <w:vertAlign w:val="superscript"/>
        </w:rPr>
        <w:t>2+</w:t>
      </w:r>
      <w:r>
        <w:t xml:space="preserve"> ions implies strong interactions with the anion sub-lattice in an intercalation host material, causing slow solid-state Mg</w:t>
      </w:r>
      <w:r>
        <w:rPr>
          <w:vertAlign w:val="superscript"/>
        </w:rPr>
        <w:t>2+</w:t>
      </w:r>
      <w:r>
        <w:t xml:space="preserve"> diffusion  compared with Li</w:t>
      </w:r>
      <w:r>
        <w:rPr>
          <w:vertAlign w:val="superscript"/>
        </w:rPr>
        <w:t>+</w:t>
      </w:r>
      <w:r>
        <w:t xml:space="preserve"> analogues.</w:t>
      </w:r>
      <w:r>
        <w:fldChar w:fldCharType="begin"/>
      </w:r>
      <w:r>
        <w:instrText xml:space="preserve"> ADDIN EN.CITE &lt;EndNote&gt;&lt;Cite&gt;&lt;Author&gt;Rong&lt;/Author&gt;&lt;Year&gt;2015&lt;/Year&gt;&lt;RecNum&gt;48&lt;/RecNum&gt;&lt;DisplayText&gt;&lt;style face="superscript"&gt;[5]&lt;/style&gt;&lt;/DisplayText&gt;&lt;record&gt;&lt;rec-number&gt;48&lt;/rec-number&gt;&lt;foreign-keys&gt;&lt;key app="EN" db-id="500srvpxlvw2soefftixzav1dvt50z9d0awz" timestamp="1509883758"&gt;48&lt;/key&gt;&lt;/foreign-keys&gt;&lt;ref-type name="Journal Article"&gt;17&lt;/ref-type&gt;&lt;contributors&gt;&lt;authors&gt;&lt;author&gt;Rong, Ziqin&lt;/author&gt;&lt;author&gt;Malik, Rahul&lt;/author&gt;&lt;author&gt;Canepa, Pieremanuele&lt;/author&gt;&lt;author&gt;Sai Gautam, Gopalakrishnan&lt;/author&gt;&lt;author&gt;Liu, Miao&lt;/author&gt;&lt;author&gt;Jain, Anubhav&lt;/author&gt;&lt;author&gt;Persson, Kristin&lt;/author&gt;&lt;author&gt;Ceder, Gerbrand&lt;/author&gt;&lt;/authors&gt;&lt;/contributors&gt;&lt;titles&gt;&lt;title&gt;Materials Design Rules for Multivalent Ion Mobility in Intercalation Structures&lt;/title&gt;&lt;secondary-title&gt;Chem. Mater.&lt;/secondary-title&gt;&lt;/titles&gt;&lt;periodical&gt;&lt;full-title&gt;Chem. Mater.&lt;/full-title&gt;&lt;abbr-1&gt;Chem. Mater.&lt;/abbr-1&gt;&lt;/periodical&gt;&lt;pages&gt;6016-6021&lt;/pages&gt;&lt;volume&gt;27&lt;/volume&gt;&lt;number&gt;17&lt;/number&gt;&lt;dates&gt;&lt;year&gt;2015&lt;/year&gt;&lt;/dates&gt;&lt;isbn&gt;0897-4756&amp;#xD;1520-5002&lt;/isbn&gt;&lt;urls&gt;&lt;/urls&gt;&lt;electronic-resource-num&gt;10.1021/acs.chemmater.5b02342&lt;/electronic-resource-num&gt;&lt;/record&gt;&lt;/Cite&gt;&lt;/EndNote&gt;</w:instrText>
      </w:r>
      <w:r>
        <w:fldChar w:fldCharType="separate"/>
      </w:r>
      <w:r>
        <w:rPr>
          <w:noProof/>
          <w:vertAlign w:val="superscript"/>
        </w:rPr>
        <w:t>[</w:t>
      </w:r>
      <w:hyperlink r:id="rId7" w:anchor="_ENREF_8" w:tooltip="Rong, 2015 #48" w:history="1">
        <w:r>
          <w:rPr>
            <w:rStyle w:val="Lienhypertexte"/>
            <w:noProof/>
            <w:color w:val="auto"/>
            <w:u w:val="none"/>
            <w:vertAlign w:val="superscript"/>
          </w:rPr>
          <w:t>5</w:t>
        </w:r>
      </w:hyperlink>
      <w:r>
        <w:rPr>
          <w:noProof/>
          <w:vertAlign w:val="superscript"/>
        </w:rPr>
        <w:t>]</w:t>
      </w:r>
      <w:r>
        <w:fldChar w:fldCharType="end"/>
      </w:r>
      <w:r>
        <w:t xml:space="preserve"> Several strategies have been proposed to improve solid-state Mg</w:t>
      </w:r>
      <w:r>
        <w:rPr>
          <w:vertAlign w:val="superscript"/>
        </w:rPr>
        <w:t>2+</w:t>
      </w:r>
      <w:r>
        <w:t xml:space="preserve"> diffusion, including using electrodes that contain “soft” polarizable anions</w:t>
      </w:r>
      <w:r>
        <w:fldChar w:fldCharType="begin"/>
      </w:r>
      <w:r>
        <w:instrText xml:space="preserve"> ADDIN ZOTERO_ITEM CSL_CITATION {"citationID":"CxlWyimY","properties":{"formattedCitation":"[6,7]","plainCitation":"[6,7]","noteIndex":0},"citationItems":[{"id":1101,"uris":["http://zotero.org/users/4816088/items/C344XEAP"],"uri":["http://zotero.org/users/4816088/items/C344XEAP"],"itemData":{"id":1101,"type":"article-journal","title":"A high capacity thiospinel cathode for Mg batteries","container-title":"Energy &amp; Environmental Science","page":"2273-2277","volume":"9","issue":"7","source":"pubs.rsc.org","abstract":"Magnesium batteries are energy storage systems that potentially offer high energy density owing to their ability to employ magnesium metal as a negative electrode. Their development, however, has been thwarted by a paucity of functional positive electrode materials after the seminal discovery of the Mo6S8 Chevrel phase over 15 years ago. Herein, we report the second such material – a thiospinel – and demonstrate fully reversible Mg2+ electrochemical cycling vs. a Mg anode, which is complemented by diffraction and first principles calculations. The capacity approaches 80% of the theoretical value at a practical rate (C/5) at 60 °C, and yields a specific energy of 230 Wh kg−1, twice that of the Chevrel benchmark. Our results emphasize the advantage in employing “soft” anions to achieve practical divalent cation mobility.","DOI":"10.1039/C6EE00724D","ISSN":"1754-5706","journalAbbreviation":"Energy Environ. Sci.","language":"en","author":[{"family":"Sun","given":"Xiaoqi"},{"family":"Bonnick","given":"Patrick"},{"family":"Duffort","given":"Victor"},{"family":"Liu","given":"Miao"},{"family":"Rong","given":"Ziqin"},{"family":"Persson","given":"Kristin A."},{"family":"Ceder","given":"Gerbrand"},{"family":"Nazar","given":"Linda F."}],"issued":{"date-parts":[["2016",7,6]]}}},{"id":711,"uris":["http://zotero.org/users/4816088/items/JSITSAQX"],"uri":["http://zotero.org/users/4816088/items/JSITSAQX"],"itemData":{"id":711,"type":"article-journal","title":"Layered TiS2 Positive Electrode for Mg Batteries","container-title":"ACS Energy Letters","page":"297-301","volume":"1","issue":"1","source":"ACS Publications","abstract":"Magnesium batteries are a good candidate for high energy storage systems, but the limited discovery of functional positive electrode materials beyond the seminal Chevrel phase (Mo6S8) has slowed their development. Herein, we report on layered TiS2 as a promising positive electrode intercalation material, providing 115 mAh g–1 stabilized capacity in a Mg full cell. Reversible Mg2+ intercalation into the structure is proven by elemental analysis combined with X-ray diffraction studies that elucidate the phase behavior upon cycling. The voltage profiles reveal distinct Mg2+ cation ordering, unlike the solid solution behavior exhibited by Li+. Our findings not only point to the important role of “soft” lattices to facilitate divalent solid-state cation mobility but also now provide an alternative sulfide to serve as a platform for the fundamental understanding of Mg2+ intercalation in lattices.","DOI":"10.1021/acsenergylett.6b00145","journalAbbreviation":"ACS Energy Lett.","author":[{"family":"Sun","given":"Xiaoqi"},{"family":"Bonnick","given":"Patrick"},{"family":"Nazar","given":"Linda F."}],"issued":{"date-parts":[["2016",7,8]]}}}],"schema":"https://github.com/citation-style-language/schema/raw/master/csl-citation.json"} </w:instrText>
      </w:r>
      <w:r>
        <w:fldChar w:fldCharType="separate"/>
      </w:r>
      <w:r w:rsidRPr="003056E0">
        <w:rPr>
          <w:rFonts w:cs="Times"/>
        </w:rPr>
        <w:t>[6,7]</w:t>
      </w:r>
      <w:r>
        <w:fldChar w:fldCharType="end"/>
      </w:r>
      <w:r>
        <w:t xml:space="preserve"> or operating cells at high temperatures,</w:t>
      </w:r>
      <w:r>
        <w:fldChar w:fldCharType="begin"/>
      </w:r>
      <w:r>
        <w:instrText xml:space="preserve"> ADDIN ZOTERO_ITEM CSL_CITATION {"citationID":"ZKYbeklv","properties":{"formattedCitation":"[8]","plainCitation":"[8]","noteIndex":0},"citationItems":[{"id":1104,"uris":["http://zotero.org/users/4816088/items/VB8PN2JB"],"uri":["http://zotero.org/users/4816088/items/VB8PN2JB"],"itemData":{"id":1104,"type":"article-journal","title":"Screening for positive electrodes for magnesium batteries: a protocol for studies at elevated temperatures","container-title":"Chemical Communications","page":"12458-12461","volume":"52","issue":"84","source":"pubs.rsc.org","abstract":"The well-known all phenyl complex (APC) electrolyte for magnesium batteries is studied for the first time at high temperature using tetraglyme as a solvent. Combined with a molybdenum current collector, this enables the examination of positive electrode materials for Mg batteries at temperatures as high as 180 °C and up to 2 V vs. Mg, allowing discovery of the auspicious properties of CuS as a conversion cathode.","DOI":"10.1039/C6CC05363G","ISSN":"1364-548X","shortTitle":"Screening for positive electrodes for magnesium batteries","journalAbbreviation":"Chem. Commun.","language":"en","author":[{"family":"Duffort","given":"Victor"},{"family":"Sun","given":"Xiaoqi"},{"family":"Nazar","given":"Linda F."}],"issued":{"date-parts":[["2016",10,13]]}}}],"schema":"https://github.com/citation-style-language/schema/raw/master/csl-citation.json"} </w:instrText>
      </w:r>
      <w:r>
        <w:fldChar w:fldCharType="separate"/>
      </w:r>
      <w:r w:rsidRPr="003056E0">
        <w:rPr>
          <w:rFonts w:cs="Times"/>
        </w:rPr>
        <w:t>[8]</w:t>
      </w:r>
      <w:r>
        <w:fldChar w:fldCharType="end"/>
      </w:r>
      <w:r>
        <w:t xml:space="preserve"> identifying host frameworks with low potential-energy barriers to Mg</w:t>
      </w:r>
      <w:r>
        <w:rPr>
          <w:vertAlign w:val="superscript"/>
        </w:rPr>
        <w:t>2+</w:t>
      </w:r>
      <w:r>
        <w:t xml:space="preserve"> diffusion,</w:t>
      </w:r>
      <w:r>
        <w:fldChar w:fldCharType="begin"/>
      </w:r>
      <w:r>
        <w:instrText xml:space="preserve"> ADDIN ZOTERO_ITEM CSL_CITATION {"citationID":"5rK8zZrE","properties":{"formattedCitation":"[9\\uc0\\u8211{}11]","plainCitation":"[9–11]","noteIndex":0},"citationItems":[{"id":1012,"uris":["http://zotero.org/users/4816088/items/8B9IEUDI"],"uri":["http://zotero.org/users/4816088/items/8B9IEUDI"],"itemData":{"id":1012,"type":"article-journal","title":"Spinel compounds as multivalent battery cathodes: a systematic evaluation based on ab initio calculations","container-title":"Energy &amp; Environmental Science","page":"964-974","volume":"8","issue":"3","source":"pubs.rsc.org","DOI":"10.1039/C4EE03389B","shortTitle":"Spinel compounds as multivalent battery cathodes","language":"en","author":[{"family":"Liu","given":"Miao"},{"family":"Rong","given":"Ziqin"},{"family":"Malik","given":"Rahul"},{"family":"Canepa","given":"Pieremanuele"},{"family":"Jain","given":"Anubhav"},{"family":"Ceder","given":"Gerbrand"},{"family":"A. Persson","given":"Kristin"}],"issued":{"date-parts":[["2015"]]}}},{"id":238,"uris":["http://zotero.org/users/4816088/items/BRCK2BUH"],"uri":["http://zotero.org/users/4816088/items/BRCK2BUH"],"itemData":{"id":238,"type":"article-journal","title":"Materials Design Rules for Multivalent Ion Mobility in Intercalation Structures","container-title":"Chemistry of Materials","page":"6016-6021","volume":"27","issue":"17","source":"ACS Publications","abstract":"The diffusion of ions in solid materials plays an important role in many aspects of materials science such as the geological evolution of minerals, materials synthesis, and in device performance across several technologies. For example, the realization of multivalent (MV) batteries, which offer a realistic route to superseding the electrochemical performance of Li-ion batteries, hinges on the discovery of host materials that possess adequate mobility of the MV intercalant to support reasonable charge and discharge times. This has proven especially challenging, motivating the current investigation of ion mobility (Li+, Mg2+, Zn2+, Ca2+, and Al3+) in spinel Mn2O4, olivine FePO4, layered NiO2, and orthorhombic δ-V2O5. In this study, we not only quantitatively assess these structures as candidate cathode materials, but also isolate the chemical and structural descriptors that govern MV diffusion. Our finding that matching the intercalant site preference to the diffusion path topology of the host structure controls mobility more than any other factor leads to practical and implementable guidelines to find fast-diffusing MV ion conductors.","DOI":"10.1021/acs.chemmater.5b02342","ISSN":"0897-4756","journalAbbreviation":"Chem. Mater.","author":[{"family":"Rong","given":"Ziqin"},{"family":"Malik","given":"Rahul"},{"family":"Canepa","given":"Pieremanuele"},{"family":"Sai Gautam","given":"Gopalakrishnan"},{"family":"Liu","given":"Miao"},{"family":"Jain","given":"Anubhav"},{"family":"Persson","given":"Kristin"},{"family":"Ceder","given":"Gerbrand"}],"issued":{"date-parts":[["2015",9,8]]}}},{"id":1090,"uris":["http://zotero.org/users/4816088/items/9SRRNJMG"],"uri":["http://zotero.org/users/4816088/items/9SRRNJMG"],"itemData":{"id":1090,"type":"article-journal","title":"Fast Mg2+ diffusion in Mo3(PO4)3O for Mg batteries","container-title":"Chemical Communications","page":"7998-8001","volume":"53","issue":"57","source":"pubs.rsc.org","abstract":"In this work, we identify a new potential Mg battery cathode structure Mo3(PO4)3O, which is predicted to exhibit ultra-fast Mg2+ diffusion and relatively high voltage based on first-principles density functional theory calculations. Nudged elastic band calculations reveal that the migration barrier of the percolation channel is only </w:instrText>
      </w:r>
      <w:r>
        <w:rPr>
          <w:rFonts w:ascii="Cambria Math" w:hAnsi="Cambria Math" w:cs="Cambria Math"/>
        </w:rPr>
        <w:instrText>∼</w:instrText>
      </w:r>
      <w:r>
        <w:instrText xml:space="preserve">80 meV, which is remarkably low, and comparable to the best Li-ion conductors. This low barrier is verified by ab initio molecular dynamics and kinetic Monte Carlo simulations. The voltage and specific energy are predicted to be </w:instrText>
      </w:r>
      <w:r>
        <w:rPr>
          <w:rFonts w:ascii="Cambria Math" w:hAnsi="Cambria Math" w:cs="Cambria Math"/>
        </w:rPr>
        <w:instrText>∼</w:instrText>
      </w:r>
      <w:r>
        <w:instrText xml:space="preserve">1.98 V and </w:instrText>
      </w:r>
      <w:r>
        <w:rPr>
          <w:rFonts w:ascii="Cambria Math" w:hAnsi="Cambria Math" w:cs="Cambria Math"/>
        </w:rPr>
        <w:instrText>∼</w:instrText>
      </w:r>
      <w:r>
        <w:instrText>173 W h kg</w:instrText>
      </w:r>
      <w:r>
        <w:rPr>
          <w:rFonts w:cs="Times"/>
        </w:rPr>
        <w:instrText>−</w:instrText>
      </w:r>
      <w:r>
        <w:instrText xml:space="preserve">1, respectively. If confirmed by experiments, this material would have the highest known Mg mobility among inorganic compounds.","DOI":"10.1039/C7CC02903A","ISSN":"1364-548X","journalAbbreviation":"Chem. Commun.","language":"en","author":[{"family":"Rong","given":"Ziqin"},{"family":"Xiao","given":"Penghao"},{"family":"Liu","given":"Miao"},{"family":"Huang","given":"Wenxuan"},{"family":"Hannah","given":"Daniel C."},{"family":"Scullin","given":"William"},{"family":"Persson","given":"Kristin A."},{"family":"Ceder","given":"Gerbrand"}],"issued":{"date-parts":[["2017",7,13]]}}}],"schema":"https://github.com/citation-style-language/schema/raw/master/csl-citation.json"} </w:instrText>
      </w:r>
      <w:r>
        <w:fldChar w:fldCharType="separate"/>
      </w:r>
      <w:r w:rsidRPr="003056E0">
        <w:rPr>
          <w:rFonts w:cs="Times"/>
          <w:szCs w:val="24"/>
        </w:rPr>
        <w:t>[9–11]</w:t>
      </w:r>
      <w:r>
        <w:fldChar w:fldCharType="end"/>
      </w:r>
      <w:r>
        <w:t xml:space="preserve"> and more recently, exploiting dual-ion intercalation chemistries.</w:t>
      </w:r>
      <w:r>
        <w:fldChar w:fldCharType="begin"/>
      </w:r>
      <w:r>
        <w:instrText xml:space="preserve"> ADDIN ZOTERO_ITEM CSL_CITATION {"citationID":"1PtGLRQu","properties":{"formattedCitation":"[12\\uc0\\u8211{}14]","plainCitation":"[12–14]","noteIndex":0},"citationItems":[{"id":4713,"uris":["http://zotero.org/users/4816088/items/RN964GYW"],"uri":["http://zotero.org/users/4816088/items/RN964GYW"],"itemData":{"id":4713,"type":"article-journal","title":"Controlling the Intercalation Chemistry to Design High-Performance Dual-Salt Hybrid Rechargeable Batteries","container-title":"Journal of the American Chemical Society","page":"16116-16119","volume":"136","issue":"46","source":"ACS Publications","abstract":"We have conducted extensive theoretical and experimental investigations to unravel the origin of the electrochemical properties of hybrid Mg2+/Li+ rechargeable batteries at the atomistic and macroscopic levels. By revealing the thermodynamics of Mg2+ and Li+ co-insertion into the Mo6S8 cathode host using density functional theory calculations, we show that there is a threshold Li+ activity for the pristine Mo6S8 cathode to prefer lithiation instead of magnesiation. By precisely controlling the insertion chemistry using a dual-salt electrolyte, we have enabled ultrafast discharge of our battery by achieving 93.6% capacity retention at 20 C and 87.5% at 30 C, respectively, at room temperature.","DOI":"10.1021/ja508463z","ISSN":"0002-7863","journalAbbreviation":"J. Am. Chem. Soc.","author":[{"family":"Cho","given":"Jae-Hyun"},{"family":"Aykol","given":"Muratahan"},{"family":"Kim","given":"Soo"},{"family":"Ha","given":"Jung-Hoon"},{"family":"Wolverton","given":"C."},{"family":"Chung","given":"Kyung Yoon"},{"family":"Kim","given":"Kwang-Bum"},{"family":"Cho","given":"Byung-Won"}],"issued":{"date-parts":[["2014",11,19]]}}},{"id":4766,"uris":["http://zotero.org/users/4816088/items/AI3YR749"],"uri":["http://zotero.org/users/4816088/items/AI3YR749"],"itemData":{"id":4766,"type":"article-journal","title":"Improved Electrolyte Solutions for Rechargeable Magnesium Batteries","container-title":"Electrochemical and Solid-State Letters","page":"A257-A260","volume":"9","issue":"5","source":"esl.ecsdl.org","abstract":"Electrolyte solutions of magnesium organo-halo-aluminates in ethers are suitable for rechargeable magnesium batteries as they enable highly reversible electrodeposition for magnesium while they possess a wide electrochemical window . Adding LiCl or tetrabutylammonium chloride to these solutions considerably improves their ionic conductivity, the kinetics of the Mg deposition-dissolution processes, and the intercalation behavior of Chevrel cathodes. The dissolution of both salts in the electrolytic solutions involves acid-base reactions with complex species. Multinuclei nuclear magnetic resonance and Raman spectroscopy were used in conjunction with electrochemical techniques to study these systems. The nature of these reactions, their products, and the way they influence the various properties of these solutions, are discussed herein.","DOI":"10.1149/1.2186003","ISSN":"1099-0062, 1944-8775","journalAbbreviation":"Electrochem. Solid-State Lett.","language":"en","author":[{"family":"Gofer","given":"Yosef"},{"family":"Chusid","given":"Orit"},{"family":"Gizbar","given":"Haim"},{"family":"Viestfrid","given":"Yulia"},{"family":"Gottlieb","given":"Hugo E."},{"family":"Marks","given":"Vered"},{"family":"Aurbach","given":"Doron"}],"issued":{"date-parts":[["2006",1,5]]}}},{"id":4768,"uris":["http://zotero.org/users/4816088/items/IHMRVG9C"],"uri":["http://zotero.org/users/4816088/items/IHMRVG9C"],"itemData":{"id":4768,"type":"article-journal","title":"Toward “rocking-chair type” Mg–Li dual-salt batteries","container-title":"Journal of Materials Chemistry A","page":"10188-10194","volume":"3","issue":"19","source":"pubs.rsc.org","abstract":"High energy-density rechargeable batteries are strongly demanded from the viewpoint of energy and environmental concern. This work is devoted to fundamental electrochemistry on a novel concept of rechargeable batteries, “rocking-chair type” Mg–Li dual-salt batteries (DSBs), where both Mg and Li cations are carrier ions. In this system, dangerous dendritic growth is drastically suppressed by co-electrodeposition of Mg and Li, and Mg–Li alloys can be used as anode materials with high electrical capacities. As a DSB cathode material that can accommodate both Mg and Li cations, we use a spinel oxide MgCo2O4, in which an eccentric insertion mechanism, the “intercalation &amp; push-out” process, occurs. Mg insertion occurs at 2.9 V vs. Mg2+/Mg and Li insertion occurs at 3.1 V vs. Li+/Li, being consistent with ab initio calculations, and its capacity approximately amounts to 150–200 mA h g−1. In the combination of MgCo2O4 and Mg50Li50 alloys, the cell voltage during discharge is as high as about 2–3 V. The concept of rocking-chair type DSB systems provides a new strategy for future safe rechargeable batteries combining high energy/power densities.","DOI":"10.1039/C5TA01365H","ISSN":"2050-7496","journalAbbreviation":"J. Mater. Chem. A","language":"en","author":[{"family":"Ichitsubo","given":"Tetsu"},{"family":"Okamoto","given":"Shinya"},{"family":"Kawaguchi","given":"Tomoya"},{"family":"Kumagai","given":"Yu"},{"family":"Oba","given":"Fumiyasu"},{"family":"Yagi","given":"Shunsuke"},{"family":"Goto","given":"Natsumi"},{"family":"Doi","given":"Takayuki"},{"family":"Matsubara","given":"Eiichiro"}],"issued":{"date-parts":[["2015",5,5]]}}}],"schema":"https://github.com/citation-style-language/schema/raw/master/csl-citation.json"} </w:instrText>
      </w:r>
      <w:r>
        <w:fldChar w:fldCharType="separate"/>
      </w:r>
      <w:r w:rsidRPr="003056E0">
        <w:rPr>
          <w:rFonts w:cs="Times"/>
          <w:szCs w:val="24"/>
        </w:rPr>
        <w:t>[12–14]</w:t>
      </w:r>
      <w:r>
        <w:fldChar w:fldCharType="end"/>
      </w:r>
      <w:r>
        <w:t xml:space="preserve"> In the context of this latter approach, we focus on “dual Mg/Li-ion” batteries, where the electrochemical cell consists of a Mg metal anode, an intercalation compound cathode, and a hybrid electrolyte that contains both Mg</w:t>
      </w:r>
      <w:r>
        <w:rPr>
          <w:vertAlign w:val="superscript"/>
        </w:rPr>
        <w:t>2+</w:t>
      </w:r>
      <w:r>
        <w:t xml:space="preserve"> and Li</w:t>
      </w:r>
      <w:r>
        <w:rPr>
          <w:vertAlign w:val="superscript"/>
        </w:rPr>
        <w:t xml:space="preserve">+ </w:t>
      </w:r>
      <w:r>
        <w:t xml:space="preserve">ions as charge carriers. </w:t>
      </w:r>
      <w:bookmarkStart w:id="11" w:name="OLE_LINK12"/>
      <w:bookmarkStart w:id="12" w:name="OLE_LINK11"/>
      <w:r>
        <w:t>The concentration of Li</w:t>
      </w:r>
      <w:r>
        <w:rPr>
          <w:vertAlign w:val="superscript"/>
        </w:rPr>
        <w:t>+</w:t>
      </w:r>
      <w:r>
        <w:t xml:space="preserve"> in the hybrid electrolyte dictates the insertion chemistry, which can vary from pure Mg</w:t>
      </w:r>
      <w:r>
        <w:rPr>
          <w:vertAlign w:val="superscript"/>
        </w:rPr>
        <w:t>2+</w:t>
      </w:r>
      <w:r>
        <w:t xml:space="preserve"> intercalation (when no Li</w:t>
      </w:r>
      <w:r>
        <w:rPr>
          <w:vertAlign w:val="superscript"/>
        </w:rPr>
        <w:t>+</w:t>
      </w:r>
      <w:r>
        <w:t xml:space="preserve"> is present in the electrolyte), mixed Mg</w:t>
      </w:r>
      <w:r>
        <w:rPr>
          <w:vertAlign w:val="superscript"/>
        </w:rPr>
        <w:t>2+</w:t>
      </w:r>
      <w:r>
        <w:t>/Li</w:t>
      </w:r>
      <w:r>
        <w:rPr>
          <w:vertAlign w:val="superscript"/>
        </w:rPr>
        <w:t>+</w:t>
      </w:r>
      <w:r>
        <w:t xml:space="preserve"> intercalation (for low Li</w:t>
      </w:r>
      <w:r>
        <w:rPr>
          <w:vertAlign w:val="superscript"/>
        </w:rPr>
        <w:t>+</w:t>
      </w:r>
      <w:r>
        <w:t xml:space="preserve"> electrolyte concentrations), to pure Li</w:t>
      </w:r>
      <w:r>
        <w:rPr>
          <w:vertAlign w:val="superscript"/>
        </w:rPr>
        <w:t>+</w:t>
      </w:r>
      <w:r>
        <w:t xml:space="preserve"> intercalation (for high Li</w:t>
      </w:r>
      <w:r>
        <w:rPr>
          <w:vertAlign w:val="superscript"/>
        </w:rPr>
        <w:t>+</w:t>
      </w:r>
      <w:r>
        <w:t xml:space="preserve"> electrolyte concentrations).</w:t>
      </w:r>
      <w:r>
        <w:fldChar w:fldCharType="begin"/>
      </w:r>
      <w:r>
        <w:instrText xml:space="preserve"> ADDIN ZOTERO_ITEM CSL_CITATION {"citationID":"sR9lquaf","properties":{"formattedCitation":"[12]","plainCitation":"[12]","noteIndex":0},"citationItems":[{"id":4713,"uris":["http://zotero.org/users/4816088/items/RN964GYW"],"uri":["http://zotero.org/users/4816088/items/RN964GYW"],"itemData":{"id":4713,"type":"article-journal","title":"Controlling the Intercalation Chemistry to Design High-Performance Dual-Salt Hybrid Rechargeable Batteries","container-title":"Journal of the American Chemical Society","page":"16116-16119","volume":"136","issue":"46","source":"ACS Publications","abstract":"We have conducted extensive theoretical and experimental investigations to unravel the origin of the electrochemical properties of hybrid Mg2+/Li+ rechargeable batteries at the atomistic and macroscopic levels. By revealing the thermodynamics of Mg2+ and Li+ co-insertion into the Mo6S8 cathode host using density functional theory calculations, we show that there is a threshold Li+ activity for the pristine Mo6S8 cathode to prefer lithiation instead of magnesiation. By precisely controlling the insertion chemistry using a dual-salt electrolyte, we have enabled ultrafast discharge of our battery by achieving 93.6% capacity retention at 20 C and 87.5% at 30 C, respectively, at room temperature.","DOI":"10.1021/ja508463z","ISSN":"0002-7863","journalAbbreviation":"J. Am. Chem. Soc.","author":[{"family":"Cho","given":"Jae-Hyun"},{"family":"Aykol","given":"Muratahan"},{"family":"Kim","given":"Soo"},{"family":"Ha","given":"Jung-Hoon"},{"family":"Wolverton","given":"C."},{"family":"Chung","given":"Kyung Yoon"},{"family":"Kim","given":"Kwang-Bum"},{"family":"Cho","given":"Byung-Won"}],"issued":{"date-parts":[["2014",11,19]]}}}],"schema":"https://github.com/citation-style-language/schema/raw/master/csl-citation.json"} </w:instrText>
      </w:r>
      <w:r>
        <w:fldChar w:fldCharType="separate"/>
      </w:r>
      <w:r w:rsidRPr="003056E0">
        <w:rPr>
          <w:rFonts w:cs="Times"/>
        </w:rPr>
        <w:t>[12]</w:t>
      </w:r>
      <w:r>
        <w:fldChar w:fldCharType="end"/>
      </w:r>
      <w:r>
        <w:t xml:space="preserve"> One particularly interesting characteristic of using a hybrid dual-salt electrolyte is that co-intercalation of Li</w:t>
      </w:r>
      <w:r>
        <w:rPr>
          <w:vertAlign w:val="superscript"/>
        </w:rPr>
        <w:t>+</w:t>
      </w:r>
      <w:r>
        <w:t xml:space="preserve"> and Mg</w:t>
      </w:r>
      <w:r>
        <w:rPr>
          <w:vertAlign w:val="superscript"/>
        </w:rPr>
        <w:t>2+</w:t>
      </w:r>
      <w:r>
        <w:t xml:space="preserve"> into a host electrode can give enhanced Mg</w:t>
      </w:r>
      <w:r>
        <w:rPr>
          <w:vertAlign w:val="superscript"/>
        </w:rPr>
        <w:t>2+</w:t>
      </w:r>
      <w:r>
        <w:t xml:space="preserve"> diffusion rates, which has been attributed to interactions between the co-inserted Li</w:t>
      </w:r>
      <w:r>
        <w:rPr>
          <w:vertAlign w:val="superscript"/>
        </w:rPr>
        <w:t>+</w:t>
      </w:r>
      <w:r>
        <w:t xml:space="preserve"> and Mg</w:t>
      </w:r>
      <w:r>
        <w:rPr>
          <w:vertAlign w:val="superscript"/>
        </w:rPr>
        <w:t>2+</w:t>
      </w:r>
      <w:r>
        <w:t xml:space="preserve"> ions lowering the activation energy for Mg</w:t>
      </w:r>
      <w:r>
        <w:rPr>
          <w:vertAlign w:val="superscript"/>
        </w:rPr>
        <w:t>2+</w:t>
      </w:r>
      <w:r>
        <w:t xml:space="preserve"> diffusion.</w:t>
      </w:r>
      <w:r>
        <w:fldChar w:fldCharType="begin"/>
      </w:r>
      <w:r>
        <w:instrText xml:space="preserve"> ADDIN ZOTERO_ITEM CSL_CITATION {"citationID":"81ORcPg4","properties":{"formattedCitation":"[15]","plainCitation":"[15]","noteIndex":0},"citationItems":[{"id":4710,"uris":["http://zotero.org/users/4816088/items/64J2U3FP"],"uri":["http://zotero.org/users/4816088/items/64J2U3FP"],"itemData":{"id":4710,"type":"article-journal","title":"Fast Diffusion of Multivalent Ions Facilitated by Concerted Interactions in Dual-Ion Battery Systems","container-title":"Advanced Energy Materials","page":"1801475","volume":"8","issue":"27","source":"Wiley Online Library","abstract":"Sluggish solid-phase diffusion has been an essential issue in developing intercalation electrode materials using multivalent ions. Compared to monovalent Li ions, the diffusion of multivalent ions is still not well understood. Here, combining first-principles calculations with electrochemical experiments, it is shown that the diffusion of divalent Mg ions is significantly facilitated in Li–Mg dual-ion systems, and the activation energy is remarkably reduced by the concerted interactions of the preceding Li ions and following Mg ions. Thus, making dual-ion systems is a promising way to construct high-energy-density, rechargeable batteries with multivalent ions. This work will provide a new perspective on solid-phase diffusion that is typically a rate-controlling process in battery systems and fuel cell devices.","DOI":"10.1002/aenm.201801475","ISSN":"1614-6840","language":"en","author":[{"family":"Li","given":"Hongyi"},{"family":"Okamoto","given":"Norihiko L."},{"family":"Hatakeyama","given":"Takuya"},{"family":"Kumagai","given":"Yu"},{"family":"Oba","given":"Fumiyasu"},{"family":"Ichitsubo","given":"Tetsu"}],"issued":{"date-parts":[["2018",9,1]]}}}],"schema":"https://github.com/citation-style-language/schema/raw/master/csl-citation.json"} </w:instrText>
      </w:r>
      <w:r>
        <w:fldChar w:fldCharType="separate"/>
      </w:r>
      <w:r w:rsidRPr="003056E0">
        <w:rPr>
          <w:rFonts w:cs="Times"/>
        </w:rPr>
        <w:t>[15]</w:t>
      </w:r>
      <w:r>
        <w:fldChar w:fldCharType="end"/>
      </w:r>
      <w:r>
        <w:t xml:space="preserve"> Although this enhanced kinetics relative to single-ion Mg</w:t>
      </w:r>
      <w:r>
        <w:rPr>
          <w:vertAlign w:val="superscript"/>
        </w:rPr>
        <w:t>2+</w:t>
      </w:r>
      <w:r>
        <w:t xml:space="preserve"> cells makes dual-ion batteries an exciting prospect, they </w:t>
      </w:r>
      <w:r>
        <w:lastRenderedPageBreak/>
        <w:t>remain at an early stage of development, and only a small number of cathode materials are known that can simultaneously intercalate both Li</w:t>
      </w:r>
      <w:r>
        <w:rPr>
          <w:vertAlign w:val="superscript"/>
        </w:rPr>
        <w:t>+</w:t>
      </w:r>
      <w:r>
        <w:t xml:space="preserve"> and Mg</w:t>
      </w:r>
      <w:r>
        <w:rPr>
          <w:vertAlign w:val="superscript"/>
        </w:rPr>
        <w:t>2+</w:t>
      </w:r>
      <w:r>
        <w:t xml:space="preserve">. </w:t>
      </w:r>
    </w:p>
    <w:p w14:paraId="1A9A7AF5" w14:textId="77777777" w:rsidR="003056E0" w:rsidRDefault="003056E0" w:rsidP="003056E0">
      <w:pPr>
        <w:spacing w:line="480" w:lineRule="auto"/>
        <w:ind w:firstLine="708"/>
      </w:pPr>
      <w:r>
        <w:t>In a typical intercalated compound, the atomic structure possesses vacant sites that can accommodate cations. Anatase TiO</w:t>
      </w:r>
      <w:r>
        <w:rPr>
          <w:vertAlign w:val="subscript"/>
        </w:rPr>
        <w:t>2</w:t>
      </w:r>
      <w:r>
        <w:t xml:space="preserve"> is a well-known example of intercalation compound that can accommodate Li</w:t>
      </w:r>
      <w:r>
        <w:rPr>
          <w:vertAlign w:val="superscript"/>
        </w:rPr>
        <w:t>+</w:t>
      </w:r>
      <w:r>
        <w:t xml:space="preserve"> or Na</w:t>
      </w:r>
      <w:r>
        <w:rPr>
          <w:vertAlign w:val="superscript"/>
        </w:rPr>
        <w:t>+</w:t>
      </w:r>
      <w:r>
        <w:t xml:space="preserve"> ions. Its interstitial sites, however, appear to be inactive towards Mg</w:t>
      </w:r>
      <w:r>
        <w:rPr>
          <w:vertAlign w:val="superscript"/>
        </w:rPr>
        <w:t>2+</w:t>
      </w:r>
      <w:r>
        <w:t xml:space="preserve"> insertion. </w:t>
      </w:r>
      <w:r w:rsidR="00097620">
        <w:t>Nonetheless</w:t>
      </w:r>
      <w:r>
        <w:t>, anatase TiO</w:t>
      </w:r>
      <w:r>
        <w:rPr>
          <w:vertAlign w:val="subscript"/>
        </w:rPr>
        <w:t>2</w:t>
      </w:r>
      <w:r>
        <w:t xml:space="preserve"> can be chemically modified to introduce a high concentration of titanium vacancies, which can accommodate Mg</w:t>
      </w:r>
      <w:r>
        <w:rPr>
          <w:vertAlign w:val="superscript"/>
        </w:rPr>
        <w:t>2+</w:t>
      </w:r>
      <w:r>
        <w:t xml:space="preserve"> ions.</w:t>
      </w:r>
      <w:r>
        <w:fldChar w:fldCharType="begin"/>
      </w:r>
      <w:r>
        <w:instrText xml:space="preserve"> ADDIN ZOTERO_ITEM CSL_CITATION {"citationID":"FkfMMSqc","properties":{"formattedCitation":"[16]","plainCitation":"[16]","noteIndex":0},"citationItems":[{"id":978,"uris":["http://zotero.org/users/4816088/items/C6AZCH5Z"],"uri":["http://zotero.org/users/4816088/items/C6AZCH5Z"],"itemData":{"id":978,"type":"article-journal","title":"Reversible magnesium and aluminium ions insertion in cation-deficient anatase TiO&lt;sub&gt;2&lt;/sub&gt;","container-title":"Nature Materials","page":"1142","volume":"16","issue":"11","source":"www.nature.com","abstract":"&lt;p&gt;Compared to monovalent lithium or sodium ions, the reversible insertion of multivalent ions into battery electrodes has proved challenging. An aliovalent doping strategy involving reversible Mg&lt;sup&gt;2+&lt;/sup&gt; and Al&lt;sup&gt;3+&lt;/sup&gt; insertion in anatase TiO&lt;sub&gt;2&lt;/sub&gt; is now reported.&lt;/p&gt;","DOI":"10.1038/nmat4976","ISSN":"1476-4660","language":"En","author":[{"family":"Koketsu","given":"Toshinari"},{"family":"Ma","given":"Jiwei"},{"family":"Morgan","given":"Benjamin J."},{"family":"Body","given":"Monique"},{"family":"Legein","given":"Christophe"},{"family":"Dachraoui","given":"Walid"},{"family":"Giannini","given":"Mattia"},{"family":"Demortière","given":"Arnaud"},{"family":"Salanne","given":"Mathieu"},{"family":"Dardoize","given":"François"},{"family":"Groult","given":"Henri"},{"family":"Borkiewicz","given":"Olaf J."},{"family":"Chapman","given":"Karena W."},{"family":"Strasser","given":"Peter"},{"family":"Dambournet","given":"Damien"}],"issued":{"date-parts":[["2017",11]]}}}],"schema":"https://github.com/citation-style-language/schema/raw/master/csl-citation.json"} </w:instrText>
      </w:r>
      <w:r>
        <w:fldChar w:fldCharType="separate"/>
      </w:r>
      <w:r w:rsidRPr="003056E0">
        <w:rPr>
          <w:rFonts w:cs="Times"/>
        </w:rPr>
        <w:t>[16]</w:t>
      </w:r>
      <w:r>
        <w:fldChar w:fldCharType="end"/>
      </w:r>
      <w:r>
        <w:t xml:space="preserve"> From a purely thermodynamic perspective, the calculated intercalation energies at titanium vacancy sites, with respect to Mg and Li-metal, are -3.3 eV for Mg</w:t>
      </w:r>
      <w:r>
        <w:rPr>
          <w:vertAlign w:val="superscript"/>
        </w:rPr>
        <w:t>2+</w:t>
      </w:r>
      <w:r>
        <w:t xml:space="preserve"> and -2.7 eV for Li</w:t>
      </w:r>
      <w:r>
        <w:rPr>
          <w:vertAlign w:val="superscript"/>
        </w:rPr>
        <w:t>+</w:t>
      </w:r>
      <w:r>
        <w:t>. These favorable energies suggest the possibility of simultaneous intercalation of Mg</w:t>
      </w:r>
      <w:r>
        <w:rPr>
          <w:vertAlign w:val="superscript"/>
        </w:rPr>
        <w:t>2+</w:t>
      </w:r>
      <w:r>
        <w:t xml:space="preserve"> and Li</w:t>
      </w:r>
      <w:r>
        <w:rPr>
          <w:vertAlign w:val="superscript"/>
        </w:rPr>
        <w:t>+</w:t>
      </w:r>
      <w:r>
        <w:t xml:space="preserve"> ions in a cation-deficient material, giving an increased energy-density.</w:t>
      </w:r>
      <w:bookmarkStart w:id="13" w:name="OLE_LINK35"/>
      <w:bookmarkStart w:id="14" w:name="OLE_LINK34"/>
      <w:r>
        <w:t xml:space="preserve"> For the purposes of developing electrode materials for dual-ion batteries, we then propose the use of a host framework that features different types of host sites (interstitial and titanium vacancies) that can co-intercalate two different charge-carrier species, giving a net increase in energy density. Here, we report the success of this strategy, where using a hybrid Li</w:t>
      </w:r>
      <w:r>
        <w:rPr>
          <w:vertAlign w:val="superscript"/>
        </w:rPr>
        <w:t>+</w:t>
      </w:r>
      <w:r>
        <w:t>/Mg</w:t>
      </w:r>
      <w:r>
        <w:rPr>
          <w:vertAlign w:val="superscript"/>
        </w:rPr>
        <w:t>2+</w:t>
      </w:r>
      <w:r>
        <w:t xml:space="preserve"> electrolyte with a cation-deficient TiO</w:t>
      </w:r>
      <w:r>
        <w:rPr>
          <w:vertAlign w:val="subscript"/>
        </w:rPr>
        <w:t>2</w:t>
      </w:r>
      <w:r>
        <w:t xml:space="preserve"> electrode gives a capacity of close to 300 mA h g</w:t>
      </w:r>
      <w:r>
        <w:rPr>
          <w:vertAlign w:val="superscript"/>
        </w:rPr>
        <w:t>-1</w:t>
      </w:r>
      <w:r>
        <w:t xml:space="preserve">, providing a two-fold increase in capacity, a reduced polarizability, and a 0.5 V voltage increase compared with a pure Mg electrolyte. </w:t>
      </w:r>
      <w:bookmarkEnd w:id="13"/>
      <w:bookmarkEnd w:id="14"/>
      <w:r>
        <w:t xml:space="preserve">This study provides a proof-of-concept for a new design strategy for dual-ion batteries and gives a further example of application of defect chemistry for engineering high-energy density batteries. </w:t>
      </w:r>
    </w:p>
    <w:bookmarkEnd w:id="11"/>
    <w:bookmarkEnd w:id="12"/>
    <w:p w14:paraId="336BBF1A" w14:textId="77777777" w:rsidR="003056E0" w:rsidRDefault="003056E0" w:rsidP="003056E0">
      <w:pPr>
        <w:pStyle w:val="Head1"/>
      </w:pPr>
      <w:r>
        <w:t>Results and discussion</w:t>
      </w:r>
    </w:p>
    <w:p w14:paraId="478F27D4" w14:textId="77777777" w:rsidR="003056E0" w:rsidRPr="001C2BB1" w:rsidRDefault="003056E0" w:rsidP="003056E0">
      <w:pPr>
        <w:spacing w:line="480" w:lineRule="auto"/>
        <w:ind w:firstLine="708"/>
      </w:pPr>
      <w:r>
        <w:t>To investigate the role of cationic vacancies in dual-ion insertion chemistry, we consider two types of anatase TiO</w:t>
      </w:r>
      <w:r>
        <w:rPr>
          <w:vertAlign w:val="subscript"/>
        </w:rPr>
        <w:t>2</w:t>
      </w:r>
      <w:r>
        <w:t>: a defect-free compound with formal stoichiometry of TiO</w:t>
      </w:r>
      <w:r>
        <w:rPr>
          <w:vertAlign w:val="subscript"/>
        </w:rPr>
        <w:t>2</w:t>
      </w:r>
      <w:r>
        <w:t>, and a highly defective anatase with the chemical composition Ti</w:t>
      </w:r>
      <w:r>
        <w:rPr>
          <w:vertAlign w:val="subscript"/>
        </w:rPr>
        <w:t>0.78</w:t>
      </w:r>
      <w:r>
        <w:sym w:font="Wingdings" w:char="F0A8"/>
      </w:r>
      <w:r>
        <w:rPr>
          <w:vertAlign w:val="subscript"/>
        </w:rPr>
        <w:t>0.22</w:t>
      </w:r>
      <w:r>
        <w:t>O</w:t>
      </w:r>
      <w:r>
        <w:rPr>
          <w:vertAlign w:val="subscript"/>
        </w:rPr>
        <w:t>1.12</w:t>
      </w:r>
      <w:r>
        <w:t>F</w:t>
      </w:r>
      <w:r>
        <w:rPr>
          <w:vertAlign w:val="subscript"/>
        </w:rPr>
        <w:t>0.40</w:t>
      </w:r>
      <w:r>
        <w:t>(OH)</w:t>
      </w:r>
      <w:r>
        <w:rPr>
          <w:vertAlign w:val="subscript"/>
        </w:rPr>
        <w:t>0.48</w:t>
      </w:r>
      <w:r>
        <w:t>,</w:t>
      </w:r>
      <w:r>
        <w:fldChar w:fldCharType="begin"/>
      </w:r>
      <w:r>
        <w:instrText xml:space="preserve"> ADDIN ZOTERO_ITEM CSL_CITATION {"citationID":"h7LhkFjO","properties":{"formattedCitation":"[17]","plainCitation":"[17]","noteIndex":0},"citationItems":[{"id":205,"uris":["http://zotero.org/users/4816088/items/6ZHA6KTE"],"uri":["http://zotero.org/users/4816088/items/6ZHA6KTE"],"itemData":{"id":205,"type":"article-journal","title":"High Substitution Rate in TiO2 Anatase Nanoparticles with Cationic Vacancies for Fast Lithium Storage","container-title":"Chemistry of Materials","page":"5014-5019","volume":"27","issue":"14","source":"ACS Publications","abstract":"Doping is generally used to tune and enhance the properties of metal oxides. However, their chemical composition cannot be readily modified beyond low dopant amounts without disrupting the crystalline atomic structure. In the case of anatase TiO2, we introduce a new solution-based chemical route allowing the composition to be significantly modified, substituting the divalent O2? anions by monovalent F? and OH? anions resulting in the formation of cationic Ti4+ vacancies (?) whose concentration can be controlled by the reaction temperature. The resulting polyanionic anatase has the general composition Ti1?x?y?x+yO2?4(x+y)F4x(OH)4y, reaching vacancy concentrations of up to 22%, i.e., Ti0.78?0.22O1.12F0.4(OH)0.48. Solid-state 19F NMR spectroscopy reveals that fluoride ions can accommodate up to three different environments, depending on Ti and vacancies (i.e. Ti3-F, Ti2?1-F, and Ti1?2-F), with a preferential location close to vacancies. DFT calculations further confirm the fluoride/vacancy ordering. When its characteristics were evaluated as an electrode for reversible Li-ion storage, the material shows a modified lithium reaction mechanism, which has been rationalized by the occurrence of cationic vacancies acting as additional lithium hosting sites within the anatase framework. Finally, the material shows a fast discharging/charging behavior, compared to TiO2, highlighting the benefits of the structural modifications and paving the way for the design of advanced electrode materials, based on a defect mediated mechanism.","DOI":"10.1021/acs.chemmater.5b01407","ISSN":"0897-4756","journalAbbreviation":"Chem. Mater.","author":[{"family":"Li","given":"Wei"},{"family":"Corradini","given":"Dario"},{"family":"Body","given":"Monique"},{"family":"Legein","given":"Christophe"},{"family":"Salanne","given":"Mathieu"},{"family":"Ma","given":"Jiwei"},{"family":"Chapman","given":"Karena W."},{"family":"Chupas","given":"Peter J."},{"family":"Rollet","given":"Anne-Laure"},{"family":"Julien","given":"Christian"},{"family":"Zhagib","given":"Karim"},{"family":"Duttine","given":"Mathieu"},{"family":"Demourgues","given":"Alain"},{"family":"Groult","given":"Henri"},{"family":"Dambournet","given":"Damien"}],"issued":{"date-parts":[["2015",7,28]]}}}],"schema":"https://github.com/citation-style-language/schema/raw/master/csl-citation.json"} </w:instrText>
      </w:r>
      <w:r>
        <w:fldChar w:fldCharType="separate"/>
      </w:r>
      <w:r w:rsidRPr="003056E0">
        <w:rPr>
          <w:rFonts w:cs="Times"/>
        </w:rPr>
        <w:t>[17]</w:t>
      </w:r>
      <w:r>
        <w:fldChar w:fldCharType="end"/>
      </w:r>
      <w:r>
        <w:rPr>
          <w:vertAlign w:val="subscript"/>
        </w:rPr>
        <w:t xml:space="preserve"> </w:t>
      </w:r>
      <w:r>
        <w:t xml:space="preserve">where </w:t>
      </w:r>
      <w:r>
        <w:lastRenderedPageBreak/>
        <w:sym w:font="Wingdings" w:char="F0A8"/>
      </w:r>
      <w:r>
        <w:t xml:space="preserve"> refers to a </w:t>
      </w:r>
      <w:r w:rsidRPr="001C2BB1">
        <w:t>titanium vacancy.</w:t>
      </w:r>
      <w:bookmarkStart w:id="15" w:name="_Hlk489744511"/>
      <w:r w:rsidRPr="001C2BB1">
        <w:t xml:space="preserve"> The chemical composition was determined using </w:t>
      </w:r>
      <w:r w:rsidRPr="001C2BB1">
        <w:rPr>
          <w:vertAlign w:val="superscript"/>
        </w:rPr>
        <w:t>19</w:t>
      </w:r>
      <w:r w:rsidRPr="001C2BB1">
        <w:t>F solid-state NMR to assess the fluorine content and structural analysis based on PDF data to quantify the number of Ti vacancies, with the number of OH groups then inferred from the constraint of net electroneutrality</w:t>
      </w:r>
      <w:r w:rsidR="00BC2849" w:rsidRPr="001C2BB1">
        <w:t xml:space="preserve"> considering the general chemical formula Ti</w:t>
      </w:r>
      <w:r w:rsidR="00BC2849" w:rsidRPr="001C2BB1">
        <w:rPr>
          <w:vertAlign w:val="subscript"/>
        </w:rPr>
        <w:t>1-x-y</w:t>
      </w:r>
      <w:r w:rsidR="00BC2849" w:rsidRPr="001C2BB1">
        <w:sym w:font="Wingdings" w:char="F0A8"/>
      </w:r>
      <w:r w:rsidR="00BC2849" w:rsidRPr="001C2BB1">
        <w:rPr>
          <w:vertAlign w:val="subscript"/>
        </w:rPr>
        <w:t>x+y</w:t>
      </w:r>
      <w:r w:rsidR="00BC2849" w:rsidRPr="001C2BB1">
        <w:t>O</w:t>
      </w:r>
      <w:r w:rsidR="00BC2849" w:rsidRPr="001C2BB1">
        <w:rPr>
          <w:vertAlign w:val="subscript"/>
        </w:rPr>
        <w:t>2-4(x+y)</w:t>
      </w:r>
      <w:r w:rsidR="00BC2849" w:rsidRPr="001C2BB1">
        <w:t>F</w:t>
      </w:r>
      <w:r w:rsidR="00BC2849" w:rsidRPr="001C2BB1">
        <w:rPr>
          <w:vertAlign w:val="subscript"/>
        </w:rPr>
        <w:t>4x</w:t>
      </w:r>
      <w:r w:rsidR="00BC2849" w:rsidRPr="001C2BB1">
        <w:t>(OH)</w:t>
      </w:r>
      <w:r w:rsidR="00BC2849" w:rsidRPr="001C2BB1">
        <w:rPr>
          <w:vertAlign w:val="subscript"/>
        </w:rPr>
        <w:t>4y</w:t>
      </w:r>
      <w:r w:rsidR="0016631E" w:rsidRPr="001C2BB1">
        <w:t xml:space="preserve"> with titanium and oxide ions oxidation states </w:t>
      </w:r>
      <w:r w:rsidR="00BC2849" w:rsidRPr="001C2BB1">
        <w:t xml:space="preserve">being </w:t>
      </w:r>
      <w:r w:rsidR="0016631E" w:rsidRPr="001C2BB1">
        <w:t xml:space="preserve">+IV and </w:t>
      </w:r>
      <w:r w:rsidR="00097620" w:rsidRPr="001C2BB1">
        <w:t>–</w:t>
      </w:r>
      <w:r w:rsidR="0016631E" w:rsidRPr="001C2BB1">
        <w:t>II</w:t>
      </w:r>
      <w:r w:rsidR="00097620" w:rsidRPr="001C2BB1">
        <w:t>, respectively</w:t>
      </w:r>
      <w:r w:rsidRPr="001C2BB1">
        <w:t>.</w:t>
      </w:r>
      <w:r w:rsidRPr="001C2BB1">
        <w:fldChar w:fldCharType="begin"/>
      </w:r>
      <w:r w:rsidRPr="001C2BB1">
        <w:instrText xml:space="preserve"> ADDIN ZOTERO_ITEM CSL_CITATION {"citationID":"UkHFz1MS","properties":{"formattedCitation":"[17]","plainCitation":"[17]","noteIndex":0},"citationItems":[{"id":205,"uris":["http://zotero.org/users/4816088/items/6ZHA6KTE"],"uri":["http://zotero.org/users/4816088/items/6ZHA6KTE"],"itemData":{"id":205,"type":"article-journal","title":"High Substitution Rate in TiO2 Anatase Nanoparticles with Cationic Vacancies for Fast Lithium Storage","container-title":"Chemistry of Materials","page":"5014-5019","volume":"27","issue":"14","source":"ACS Publications","abstract":"Doping is generally used to tune and enhance the properties of metal oxides. However, their chemical composition cannot be readily modified beyond low dopant amounts without disrupting the crystalline atomic structure. In the case of anatase TiO2, we introduce a new solution-based chemical route allowing the composition to be significantly modified, substituting the divalent O2? anions by monovalent F? and OH? anions resulting in the formation of cationic Ti4+ vacancies (?) whose concentration can be controlled by the reaction temperature. The resulting polyanionic anatase has the general composition Ti1?x?y?x+yO2?4(x+y)F4x(OH)4y, reaching vacancy concentrations of up to 22%, i.e., Ti0.78?0.22O1.12F0.4(OH)0.48. Solid-state 19F NMR spectroscopy reveals that fluoride ions can accommodate up to three different environments, depending on Ti and vacancies (i.e. Ti3-F, Ti2?1-F, and Ti1?2-F), with a preferential location close to vacancies. DFT calculations further confirm the fluoride/vacancy ordering. When its characteristics were evaluated as an electrode for reversible Li-ion storage, the material shows a modified lithium reaction mechanism, which has been rationalized by the occurrence of cationic vacancies acting as additional lithium hosting sites within the anatase framework. Finally, the material shows a fast discharging/charging behavior, compared to TiO2, highlighting the benefits of the structural modifications and paving the way for the design of advanced electrode materials, based on a defect mediated mechanism.","DOI":"10.1021/acs.chemmater.5b01407","ISSN":"0897-4756","journalAbbreviation":"Chem. Mater.","author":[{"family":"Li","given":"Wei"},{"family":"Corradini","given":"Dario"},{"family":"Body","given":"Monique"},{"family":"Legein","given":"Christophe"},{"family":"Salanne","given":"Mathieu"},{"family":"Ma","given":"Jiwei"},{"family":"Chapman","given":"Karena W."},{"family":"Chupas","given":"Peter J."},{"family":"Rollet","given":"Anne-Laure"},{"family":"Julien","given":"Christian"},{"family":"Zhagib","given":"Karim"},{"family":"Duttine","given":"Mathieu"},{"family":"Demourgues","given":"Alain"},{"family":"Groult","given":"Henri"},{"family":"Dambournet","given":"Damien"}],"issued":{"date-parts":[["2015",7,28]]}}}],"schema":"https://github.com/citation-style-language/schema/raw/master/csl-citation.json"} </w:instrText>
      </w:r>
      <w:r w:rsidRPr="001C2BB1">
        <w:fldChar w:fldCharType="separate"/>
      </w:r>
      <w:r w:rsidRPr="001C2BB1">
        <w:rPr>
          <w:rFonts w:cs="Times"/>
        </w:rPr>
        <w:t>[17]</w:t>
      </w:r>
      <w:r w:rsidRPr="001C2BB1">
        <w:fldChar w:fldCharType="end"/>
      </w:r>
      <w:r w:rsidR="0016631E" w:rsidRPr="001C2BB1">
        <w:t xml:space="preserve"> </w:t>
      </w:r>
    </w:p>
    <w:bookmarkEnd w:id="15"/>
    <w:p w14:paraId="59F7D29F" w14:textId="4FB86144" w:rsidR="003056E0" w:rsidRDefault="003056E0" w:rsidP="003056E0">
      <w:pPr>
        <w:pStyle w:val="TCTableBody"/>
        <w:spacing w:line="480" w:lineRule="auto"/>
        <w:rPr>
          <w:bCs/>
        </w:rPr>
      </w:pPr>
      <w:r w:rsidRPr="001C2BB1">
        <w:rPr>
          <w:rFonts w:ascii="Times New Roman" w:hAnsi="Times New Roman"/>
          <w:szCs w:val="24"/>
        </w:rPr>
        <w:t xml:space="preserve">The electrochemical properties were investigated using Mg as the anode and the all-phenyl complex (APC) </w:t>
      </w:r>
      <w:r w:rsidRPr="001C2BB1">
        <w:rPr>
          <w:rFonts w:ascii="Times New Roman" w:hAnsi="Times New Roman"/>
          <w:bCs/>
          <w:szCs w:val="24"/>
        </w:rPr>
        <w:t>Mg</w:t>
      </w:r>
      <w:r w:rsidRPr="001C2BB1">
        <w:rPr>
          <w:rFonts w:ascii="Times New Roman" w:hAnsi="Times New Roman"/>
          <w:bCs/>
          <w:szCs w:val="24"/>
          <w:vertAlign w:val="subscript"/>
        </w:rPr>
        <w:t>2</w:t>
      </w:r>
      <w:r w:rsidRPr="001C2BB1">
        <w:rPr>
          <w:rFonts w:ascii="Times New Roman" w:hAnsi="Times New Roman"/>
          <w:bCs/>
          <w:szCs w:val="24"/>
        </w:rPr>
        <w:t>Cl</w:t>
      </w:r>
      <w:r w:rsidRPr="001C2BB1">
        <w:rPr>
          <w:rFonts w:ascii="Times New Roman" w:hAnsi="Times New Roman"/>
          <w:bCs/>
          <w:szCs w:val="24"/>
          <w:vertAlign w:val="subscript"/>
        </w:rPr>
        <w:t>3</w:t>
      </w:r>
      <w:r w:rsidRPr="001C2BB1">
        <w:rPr>
          <w:rFonts w:ascii="Times New Roman" w:hAnsi="Times New Roman"/>
          <w:bCs/>
          <w:szCs w:val="24"/>
          <w:vertAlign w:val="superscript"/>
        </w:rPr>
        <w:t>+</w:t>
      </w:r>
      <w:r w:rsidRPr="001C2BB1">
        <w:rPr>
          <w:rFonts w:ascii="Times New Roman" w:hAnsi="Times New Roman"/>
          <w:bCs/>
          <w:szCs w:val="24"/>
        </w:rPr>
        <w:t>AlPh</w:t>
      </w:r>
      <w:r w:rsidRPr="001C2BB1">
        <w:rPr>
          <w:rFonts w:ascii="Times New Roman" w:hAnsi="Times New Roman"/>
          <w:bCs/>
          <w:szCs w:val="24"/>
          <w:vertAlign w:val="subscript"/>
        </w:rPr>
        <w:t>2</w:t>
      </w:r>
      <w:r w:rsidRPr="001C2BB1">
        <w:rPr>
          <w:rFonts w:ascii="Times New Roman" w:hAnsi="Times New Roman"/>
          <w:bCs/>
          <w:szCs w:val="24"/>
        </w:rPr>
        <w:t>Cl</w:t>
      </w:r>
      <w:r w:rsidRPr="001C2BB1">
        <w:rPr>
          <w:rFonts w:ascii="Times New Roman" w:hAnsi="Times New Roman"/>
          <w:bCs/>
          <w:szCs w:val="24"/>
          <w:vertAlign w:val="subscript"/>
        </w:rPr>
        <w:t>2</w:t>
      </w:r>
      <w:r w:rsidRPr="001C2BB1">
        <w:rPr>
          <w:rFonts w:ascii="Times New Roman" w:hAnsi="Times New Roman"/>
          <w:bCs/>
          <w:szCs w:val="24"/>
          <w:vertAlign w:val="superscript"/>
        </w:rPr>
        <w:t>-</w:t>
      </w:r>
      <w:r w:rsidRPr="001C2BB1">
        <w:rPr>
          <w:rFonts w:ascii="Times New Roman" w:hAnsi="Times New Roman"/>
          <w:bCs/>
          <w:szCs w:val="24"/>
          <w:vertAlign w:val="subscript"/>
        </w:rPr>
        <w:t xml:space="preserve"> </w:t>
      </w:r>
      <w:r w:rsidRPr="001C2BB1">
        <w:rPr>
          <w:rFonts w:ascii="Times New Roman" w:hAnsi="Times New Roman"/>
          <w:bCs/>
          <w:szCs w:val="24"/>
        </w:rPr>
        <w:t xml:space="preserve">in tetrahydrofuran (THF) as the electrolyte. LiCl was selected as lithium source because it does not alter the electrochemical stability of the electrolyte or the deposition/dissolution of magnesium </w:t>
      </w:r>
      <w:r w:rsidRPr="001C2BB1">
        <w:rPr>
          <w:rFonts w:ascii="Times New Roman" w:hAnsi="Times New Roman"/>
          <w:b/>
          <w:bCs/>
          <w:szCs w:val="24"/>
        </w:rPr>
        <w:t>(Figure S1)</w:t>
      </w:r>
      <w:r w:rsidRPr="001C2BB1">
        <w:rPr>
          <w:rFonts w:ascii="Times New Roman" w:hAnsi="Times New Roman"/>
          <w:bCs/>
          <w:szCs w:val="24"/>
        </w:rPr>
        <w:t>.</w:t>
      </w:r>
      <w:r w:rsidRPr="001C2BB1">
        <w:rPr>
          <w:rFonts w:ascii="Times New Roman" w:hAnsi="Times New Roman"/>
          <w:bCs/>
          <w:szCs w:val="24"/>
        </w:rPr>
        <w:fldChar w:fldCharType="begin"/>
      </w:r>
      <w:r w:rsidRPr="001C2BB1">
        <w:rPr>
          <w:rFonts w:ascii="Times New Roman" w:hAnsi="Times New Roman"/>
          <w:bCs/>
          <w:szCs w:val="24"/>
        </w:rPr>
        <w:instrText xml:space="preserve"> ADDIN ZOTERO_ITEM CSL_CITATION {"citationID":"iI4RjpGV","properties":{"formattedCitation":"[13,18]","plainCitation":"[13,18]","noteIndex":0},"citationItems":[{"id":4766,"uris":["http://zotero.org/users/4816088/items/AI3YR749"],"uri":["http://zotero.org/users/4816088/items/AI3YR749"],"itemData":{"id":4766,"type":"article-journal","title":"Improved Electrolyte Solutions for Rechargeable Magnesium Batteries","container-title":"Electrochemical and Solid-State Letters","page":"A257-A260","volume":"9","issue":"5","source":"esl.ecsdl.org","abstract":"Electrolyte solutions of magnesium organo-halo-aluminates in ethers are suitable for rechargeable magnesium batteries as they enable highly reversible electrodeposition for magnesium while they possess a wide electrochemical window . Adding LiCl or tetrabutylammonium chloride to these solutions considerably improves their ionic conductivity, the kinetics of the Mg deposition-dissolution processes, and the intercalation behavior of Chevrel cathodes. The dissolution of both salts in the electrolytic solutions involves acid-base reactions with complex species. Multinuclei nuclear magnetic resonance and Raman spectroscopy were used in conjunction with electrochemical techniques to study these systems. The nature of these reactions, their products, and the way they influence the various properties of these solutions, are discussed herein.","DOI":"10.1149/1.2186003","ISSN":"1099-0062, 1944-8775","journalAbbreviation":"Electrochem. Solid-State Lett.","language":"en","author":[{"family":"Gofer","given":"Yosef"},{"family":"Chusid","given":"Orit"},{"family":"Gizbar","given":"Haim"},{"family":"Viestfrid","given":"Yulia"},{"family":"Gottlieb","given":"Hugo E."},{"family":"Marks","given":"Vered"},{"family":"Aurbach","given":"Doron"}],"issued":{"date-parts":[["2006",1,5]]}}},{"id":4771,"uris":["http://zotero.org/users/4816088/items/PYVF4DZZ"],"uri":["http://zotero.org/users/4816088/items/PYVF4DZZ"],"itemData":{"id":4771,"type":"article-journal","title":"High Areal Capacity Hybrid Magnesium–Lithium-Ion Battery with 99.9% Coulombic Efficiency for Large-Scale Energy Storage","container-title":"ACS Applied Materials &amp; Interfaces","page":"7001-7007","volume":"7","issue":"12","source":"ACS Publications","abstract":"Hybrid magnesium–lithium-ion batteries (MLIBs) featuring dendrite-free deposition of Mg anode and Li-intercalation cathode are safe alternatives to Li-ion batteries for large-scale energy storage. Here we report for the first time the excellent stability of a high areal capacity MLIB cell and dendrite-free deposition behavior of Mg under high current density (2 mA cm–2). The hybrid cell showed no capacity loss for 100 cycles with Coulombic efficiency as high as 99.9%, whereas the control cell with a Li-metal anode only retained 30% of its original capacity with Coulombic efficiency well below 90%. The use of TiS2 as a cathode enabled the highest specific capacity and one of the best rate performances among reported MLIBs. Postmortem analysis of the cycled cells revealed dendrite-free Mg deposition on a Mg anode surface, while mossy Li dendrites were observed covering the Li surface and penetrated into separators in the Li cell. The energy density of a MLIB could be further improved by developing electrolytes with higher salt concentration and wider electrochemical window, leading to new opportunities for its application in large-scale energy storage.","DOI":"10.1021/acsami.5b01206","ISSN":"1944-8244","journalAbbreviation":"ACS Appl. Mater. Interfaces","author":[{"family":"Yoo","given":"Hyun Deog"},{"family":"Liang","given":"Yanliang"},{"family":"Li","given":"Yifei"},{"family":"Yao","given":"Yan"}],"issued":{"date-parts":[["2015",4,1]]}}}],"schema":"https://github.com/citation-style-language/schema/raw/master/csl-citation.json"} </w:instrText>
      </w:r>
      <w:r w:rsidRPr="001C2BB1">
        <w:rPr>
          <w:rFonts w:ascii="Times New Roman" w:hAnsi="Times New Roman"/>
          <w:bCs/>
          <w:szCs w:val="24"/>
        </w:rPr>
        <w:fldChar w:fldCharType="separate"/>
      </w:r>
      <w:r w:rsidRPr="001C2BB1">
        <w:rPr>
          <w:rFonts w:ascii="Times New Roman" w:hAnsi="Times New Roman"/>
        </w:rPr>
        <w:t>[13,18]</w:t>
      </w:r>
      <w:r w:rsidRPr="001C2BB1">
        <w:rPr>
          <w:rFonts w:ascii="Times New Roman" w:hAnsi="Times New Roman"/>
          <w:bCs/>
          <w:szCs w:val="24"/>
        </w:rPr>
        <w:fldChar w:fldCharType="end"/>
      </w:r>
      <w:r w:rsidRPr="001C2BB1">
        <w:rPr>
          <w:rFonts w:ascii="Times New Roman" w:hAnsi="Times New Roman"/>
          <w:bCs/>
          <w:szCs w:val="24"/>
        </w:rPr>
        <w:t xml:space="preserve"> The concentration was varied from 0 M to 1 M, with the upper value being the solubility limit of LiCl in THF.</w:t>
      </w:r>
      <w:r w:rsidR="00097620" w:rsidRPr="001C2BB1">
        <w:rPr>
          <w:rFonts w:ascii="Times New Roman" w:hAnsi="Times New Roman"/>
          <w:bCs/>
          <w:szCs w:val="24"/>
        </w:rPr>
        <w:t xml:space="preserve"> Note, that salt</w:t>
      </w:r>
      <w:r w:rsidR="00CA4C4F" w:rsidRPr="001C2BB1">
        <w:rPr>
          <w:rFonts w:ascii="Times New Roman" w:hAnsi="Times New Roman"/>
          <w:bCs/>
          <w:szCs w:val="24"/>
        </w:rPr>
        <w:t>s</w:t>
      </w:r>
      <w:r w:rsidR="00097620" w:rsidRPr="001C2BB1">
        <w:rPr>
          <w:rFonts w:ascii="Times New Roman" w:hAnsi="Times New Roman"/>
          <w:bCs/>
          <w:szCs w:val="24"/>
        </w:rPr>
        <w:t xml:space="preserve"> </w:t>
      </w:r>
      <w:r w:rsidR="00CA4C4F" w:rsidRPr="001C2BB1">
        <w:rPr>
          <w:rFonts w:ascii="Times New Roman" w:hAnsi="Times New Roman"/>
          <w:bCs/>
          <w:szCs w:val="24"/>
        </w:rPr>
        <w:t>such as LiBH</w:t>
      </w:r>
      <w:r w:rsidR="00CA4C4F" w:rsidRPr="001C2BB1">
        <w:rPr>
          <w:rFonts w:ascii="Times New Roman" w:hAnsi="Times New Roman"/>
          <w:bCs/>
          <w:szCs w:val="24"/>
          <w:vertAlign w:val="subscript"/>
        </w:rPr>
        <w:t>4</w:t>
      </w:r>
      <w:r w:rsidR="00CA4C4F" w:rsidRPr="001C2BB1">
        <w:rPr>
          <w:rFonts w:ascii="Times New Roman" w:hAnsi="Times New Roman"/>
          <w:bCs/>
          <w:szCs w:val="24"/>
        </w:rPr>
        <w:t xml:space="preserve"> </w:t>
      </w:r>
      <w:r w:rsidR="00097620" w:rsidRPr="001C2BB1">
        <w:rPr>
          <w:rFonts w:ascii="Times New Roman" w:hAnsi="Times New Roman"/>
          <w:bCs/>
          <w:szCs w:val="24"/>
        </w:rPr>
        <w:t xml:space="preserve">with higher solubility can be </w:t>
      </w:r>
      <w:r w:rsidR="00326D11" w:rsidRPr="001C2BB1">
        <w:rPr>
          <w:rFonts w:ascii="Times New Roman" w:hAnsi="Times New Roman"/>
          <w:bCs/>
          <w:szCs w:val="24"/>
        </w:rPr>
        <w:t>envisioned</w:t>
      </w:r>
      <w:r w:rsidR="00097620" w:rsidRPr="001C2BB1">
        <w:rPr>
          <w:rFonts w:ascii="Times New Roman" w:hAnsi="Times New Roman"/>
          <w:bCs/>
          <w:szCs w:val="24"/>
        </w:rPr>
        <w:t xml:space="preserve"> to increase the cell energy density.</w:t>
      </w:r>
      <w:r w:rsidR="00326D11" w:rsidRPr="001C2BB1">
        <w:rPr>
          <w:rFonts w:ascii="Times New Roman" w:hAnsi="Times New Roman"/>
          <w:bCs/>
          <w:szCs w:val="24"/>
        </w:rPr>
        <w:fldChar w:fldCharType="begin"/>
      </w:r>
      <w:r w:rsidR="00326D11" w:rsidRPr="001C2BB1">
        <w:rPr>
          <w:rFonts w:ascii="Times New Roman" w:hAnsi="Times New Roman"/>
          <w:bCs/>
          <w:szCs w:val="24"/>
        </w:rPr>
        <w:instrText xml:space="preserve"> ADDIN ZOTERO_ITEM CSL_CITATION {"citationID":"tKhohZHh","properties":{"formattedCitation":"[18]","plainCitation":"[18]","noteIndex":0},"citationItems":[{"id":4771,"uris":["http://zotero.org/users/4816088/items/PYVF4DZZ"],"uri":["http://zotero.org/users/4816088/items/PYVF4DZZ"],"itemData":{"id":4771,"type":"article-journal","title":"High Areal Capacity Hybrid Magnesium–Lithium-Ion Battery with 99.9% Coulombic Efficiency for Large-Scale Energy Storage","container-title":"ACS Applied Materials &amp; Interfaces","page":"7001-7007","volume":"7","issue":"12","source":"ACS Publications","abstract":"Hybrid magnesium–lithium-ion batteries (MLIBs) featuring dendrite-free deposition of Mg anode and Li-intercalation cathode are safe alternatives to Li-ion batteries for large-scale energy storage. Here we report for the first time the excellent stability of a high areal capacity MLIB cell and dendrite-free deposition behavior of Mg under high current density (2 mA cm–2). The hybrid cell showed no capacity loss for 100 cycles with Coulombic efficiency as high as 99.9%, whereas the control cell with a Li-metal anode only retained 30% of its original capacity with Coulombic efficiency well below 90%. The use of TiS2 as a cathode enabled the highest specific capacity and one of the best rate performances among reported MLIBs. Postmortem analysis of the cycled cells revealed dendrite-free Mg deposition on a Mg anode surface, while mossy Li dendrites were observed covering the Li surface and penetrated into separators in the Li cell. The energy density of a MLIB could be further improved by developing electrolytes with higher salt concentration and wider electrochemical window, leading to new opportunities for its application in large-scale energy storage.","DOI":"10.1021/acsami.5b01206","ISSN":"1944-8244","journalAbbreviation":"ACS Appl. Mater. Interfaces","author":[{"family":"Yoo","given":"Hyun Deog"},{"family":"Liang","given":"Yanliang"},{"family":"Li","given":"Yifei"},{"family":"Yao","given":"Yan"}],"issued":{"date-parts":[["2015",4,1]]}}}],"schema":"https://github.com/citation-style-language/schema/raw/master/csl-citation.json"} </w:instrText>
      </w:r>
      <w:r w:rsidR="00326D11" w:rsidRPr="001C2BB1">
        <w:rPr>
          <w:rFonts w:ascii="Times New Roman" w:hAnsi="Times New Roman"/>
          <w:bCs/>
          <w:szCs w:val="24"/>
        </w:rPr>
        <w:fldChar w:fldCharType="separate"/>
      </w:r>
      <w:r w:rsidR="00326D11" w:rsidRPr="001C2BB1">
        <w:rPr>
          <w:rFonts w:ascii="Times New Roman" w:hAnsi="Times New Roman"/>
        </w:rPr>
        <w:t>[18]</w:t>
      </w:r>
      <w:r w:rsidR="00326D11" w:rsidRPr="001C2BB1">
        <w:rPr>
          <w:rFonts w:ascii="Times New Roman" w:hAnsi="Times New Roman"/>
          <w:bCs/>
          <w:szCs w:val="24"/>
        </w:rPr>
        <w:fldChar w:fldCharType="end"/>
      </w:r>
      <w:r w:rsidR="00097620" w:rsidRPr="001C2BB1">
        <w:rPr>
          <w:rFonts w:ascii="Times New Roman" w:hAnsi="Times New Roman"/>
          <w:bCs/>
          <w:szCs w:val="24"/>
        </w:rPr>
        <w:t xml:space="preserve"> </w:t>
      </w:r>
      <w:r w:rsidRPr="001C2BB1">
        <w:rPr>
          <w:rFonts w:ascii="Times New Roman" w:hAnsi="Times New Roman"/>
          <w:b/>
          <w:bCs/>
          <w:szCs w:val="24"/>
        </w:rPr>
        <w:t>Figure 1</w:t>
      </w:r>
      <w:r w:rsidRPr="001C2BB1">
        <w:rPr>
          <w:rFonts w:ascii="Times New Roman" w:hAnsi="Times New Roman"/>
          <w:bCs/>
          <w:szCs w:val="24"/>
        </w:rPr>
        <w:t xml:space="preserve"> presents the galvanostatic discharge–charge curves and the corresponding derivatives curves obtained for both anatase samples, using a three-electrode Swagelok cell. With no lithium in the electrolyte, anatase TiO</w:t>
      </w:r>
      <w:r w:rsidRPr="001C2BB1">
        <w:rPr>
          <w:rFonts w:ascii="Times New Roman" w:hAnsi="Times New Roman"/>
          <w:bCs/>
          <w:szCs w:val="24"/>
          <w:vertAlign w:val="subscript"/>
        </w:rPr>
        <w:t>2</w:t>
      </w:r>
      <w:r w:rsidRPr="001C2BB1">
        <w:rPr>
          <w:rFonts w:ascii="Times New Roman" w:hAnsi="Times New Roman"/>
          <w:bCs/>
          <w:szCs w:val="24"/>
        </w:rPr>
        <w:t xml:space="preserve"> shows a poor ability to accommodate Mg, with a reversible capacity of only ~25 mA h g</w:t>
      </w:r>
      <w:r w:rsidRPr="001C2BB1">
        <w:rPr>
          <w:rFonts w:ascii="Times New Roman" w:hAnsi="Times New Roman"/>
          <w:bCs/>
          <w:szCs w:val="24"/>
          <w:vertAlign w:val="superscript"/>
        </w:rPr>
        <w:t>-1</w:t>
      </w:r>
      <w:r w:rsidRPr="001C2BB1">
        <w:rPr>
          <w:rFonts w:ascii="Times New Roman" w:hAnsi="Times New Roman"/>
          <w:bCs/>
          <w:szCs w:val="24"/>
        </w:rPr>
        <w:t xml:space="preserve"> in a Mg cell.</w:t>
      </w:r>
      <w:r w:rsidRPr="001C2BB1">
        <w:rPr>
          <w:rFonts w:ascii="Times New Roman" w:hAnsi="Times New Roman"/>
          <w:bCs/>
          <w:szCs w:val="24"/>
        </w:rPr>
        <w:fldChar w:fldCharType="begin"/>
      </w:r>
      <w:r w:rsidRPr="001C2BB1">
        <w:rPr>
          <w:rFonts w:ascii="Times New Roman" w:hAnsi="Times New Roman"/>
          <w:bCs/>
          <w:szCs w:val="24"/>
        </w:rPr>
        <w:instrText xml:space="preserve"> ADDIN ZOTERO_ITEM CSL_CITATION {"citationID":"AByzk9Jk","properties":{"formattedCitation":"[16]","plainCitation":"[16]","noteIndex":0},"citationItems":[{"id":978,"uris":["http://zotero.org/users/4816088/items/C6AZCH5Z"],"uri":["http://zotero.org/users/4816088/items/C6AZCH5Z"],"itemData":{"id":978,"type":"article-journal","title":"Reversible magnesium and aluminium ions insertion in cation-deficient anatase TiO&lt;sub&gt;2&lt;/sub&gt;","container-title":"Nature Materials","page":"1142","volume":"16","issue":"11","source":"www.nature.com","abstract":"&lt;p&gt;Compared to monovalent lithium or sodium ions, the reversible insertion of multivalent ions into battery electrodes has proved challenging. An aliovalent doping strategy involving reversible Mg&lt;sup&gt;2+&lt;/sup&gt; and Al&lt;sup&gt;3+&lt;/sup&gt; insertion in anatase TiO&lt;sub&gt;2&lt;/sub&gt; is now reported.&lt;/p&gt;","DOI":"10.1038/nmat4976","ISSN":"1476-4660","language":"En","author":[{"family":"Koketsu","given":"Toshinari"},{"family":"Ma","given":"Jiwei"},{"family":"Morgan","given":"Benjamin J."},{"family":"Body","given":"Monique"},{"family":"Legein","given":"Christophe"},{"family":"Dachraoui","given":"Walid"},{"family":"Giannini","given":"Mattia"},{"family":"Demortière","given":"Arnaud"},{"family":"Salanne","given":"Mathieu"},{"family":"Dardoize","given":"François"},{"family":"Groult","given":"Henri"},{"family":"Borkiewicz","given":"Olaf J."},{"family":"Chapman","given":"Karena W."},{"family":"Strasser","given":"Peter"},{"family":"Dambournet","given":"Damien"}],"issued":{"date-parts":[["2017",11]]}}}],"schema":"https://github.com/citation-style-language/schema/raw/master/csl-citation.json"} </w:instrText>
      </w:r>
      <w:r w:rsidRPr="001C2BB1">
        <w:rPr>
          <w:rFonts w:ascii="Times New Roman" w:hAnsi="Times New Roman"/>
          <w:bCs/>
          <w:szCs w:val="24"/>
        </w:rPr>
        <w:fldChar w:fldCharType="separate"/>
      </w:r>
      <w:r w:rsidRPr="001C2BB1">
        <w:rPr>
          <w:rFonts w:ascii="Times New Roman" w:hAnsi="Times New Roman"/>
        </w:rPr>
        <w:t>[16]</w:t>
      </w:r>
      <w:r w:rsidRPr="001C2BB1">
        <w:rPr>
          <w:rFonts w:ascii="Times New Roman" w:hAnsi="Times New Roman"/>
          <w:bCs/>
          <w:szCs w:val="24"/>
        </w:rPr>
        <w:fldChar w:fldCharType="end"/>
      </w:r>
      <w:r w:rsidRPr="001C2BB1">
        <w:rPr>
          <w:rFonts w:ascii="Times New Roman" w:hAnsi="Times New Roman"/>
          <w:szCs w:val="24"/>
        </w:rPr>
        <w:t xml:space="preserve"> </w:t>
      </w:r>
      <w:r w:rsidRPr="001C2BB1">
        <w:rPr>
          <w:rFonts w:ascii="Times New Roman" w:hAnsi="Times New Roman"/>
          <w:bCs/>
          <w:szCs w:val="24"/>
        </w:rPr>
        <w:t>Introducing lithium into the electrolyte enhances the electrochemical activity of pure anatase TiO</w:t>
      </w:r>
      <w:r w:rsidRPr="001C2BB1">
        <w:rPr>
          <w:rFonts w:ascii="Times New Roman" w:hAnsi="Times New Roman"/>
          <w:bCs/>
          <w:szCs w:val="24"/>
          <w:vertAlign w:val="subscript"/>
        </w:rPr>
        <w:t>2</w:t>
      </w:r>
      <w:r w:rsidRPr="001C2BB1">
        <w:rPr>
          <w:rFonts w:ascii="Times New Roman" w:hAnsi="Times New Roman"/>
          <w:bCs/>
          <w:szCs w:val="24"/>
        </w:rPr>
        <w:t xml:space="preserve"> </w:t>
      </w:r>
      <w:r w:rsidRPr="001C2BB1">
        <w:rPr>
          <w:rFonts w:ascii="Times New Roman" w:hAnsi="Times New Roman"/>
          <w:b/>
          <w:bCs/>
          <w:szCs w:val="24"/>
        </w:rPr>
        <w:t>(Figure 1a)</w:t>
      </w:r>
      <w:r w:rsidRPr="001C2BB1">
        <w:rPr>
          <w:rFonts w:ascii="Times New Roman" w:hAnsi="Times New Roman"/>
          <w:bCs/>
          <w:szCs w:val="24"/>
        </w:rPr>
        <w:t>. The addition of a small amounts of lithium significantly improves the reversible capacity, which reaches a threshold between 0.2 M and 1 M of LiCl with a reversible capacity of ca. 200 mA h g</w:t>
      </w:r>
      <w:r w:rsidRPr="001C2BB1">
        <w:rPr>
          <w:rFonts w:ascii="Times New Roman" w:hAnsi="Times New Roman"/>
          <w:bCs/>
          <w:szCs w:val="24"/>
          <w:vertAlign w:val="superscript"/>
        </w:rPr>
        <w:t>-1</w:t>
      </w:r>
      <w:r w:rsidRPr="001C2BB1">
        <w:rPr>
          <w:rFonts w:ascii="Times New Roman" w:hAnsi="Times New Roman"/>
          <w:bCs/>
          <w:szCs w:val="24"/>
        </w:rPr>
        <w:t xml:space="preserve">. Moreover, upon </w:t>
      </w:r>
      <w:r w:rsidR="000535B6" w:rsidRPr="001C2BB1">
        <w:rPr>
          <w:rFonts w:ascii="Times New Roman" w:hAnsi="Times New Roman"/>
          <w:bCs/>
          <w:szCs w:val="24"/>
        </w:rPr>
        <w:t>introducing</w:t>
      </w:r>
      <w:r w:rsidRPr="001C2BB1">
        <w:rPr>
          <w:rFonts w:ascii="Times New Roman" w:hAnsi="Times New Roman"/>
          <w:bCs/>
          <w:szCs w:val="24"/>
        </w:rPr>
        <w:t xml:space="preserve"> lithium, we observe </w:t>
      </w:r>
      <w:r w:rsidR="000535B6" w:rsidRPr="001C2BB1">
        <w:rPr>
          <w:rFonts w:ascii="Times New Roman" w:hAnsi="Times New Roman"/>
          <w:bCs/>
          <w:szCs w:val="24"/>
        </w:rPr>
        <w:t xml:space="preserve">the appearance of </w:t>
      </w:r>
      <w:r w:rsidRPr="001C2BB1">
        <w:rPr>
          <w:rFonts w:ascii="Times New Roman" w:hAnsi="Times New Roman"/>
          <w:bCs/>
          <w:szCs w:val="24"/>
        </w:rPr>
        <w:t xml:space="preserve">a plateau region characteristic of a phase transition from tetragonal anatase to the orthorhombic </w:t>
      </w:r>
      <w:r w:rsidR="00627DB5" w:rsidRPr="001C2BB1">
        <w:rPr>
          <w:rFonts w:ascii="Times New Roman" w:hAnsi="Times New Roman"/>
          <w:bCs/>
          <w:szCs w:val="24"/>
        </w:rPr>
        <w:t>lithium</w:t>
      </w:r>
      <w:r w:rsidRPr="001C2BB1">
        <w:rPr>
          <w:rFonts w:ascii="Times New Roman" w:hAnsi="Times New Roman"/>
          <w:bCs/>
          <w:szCs w:val="24"/>
        </w:rPr>
        <w:t xml:space="preserve"> titanate</w:t>
      </w:r>
      <w:r w:rsidRPr="001C2BB1">
        <w:rPr>
          <w:rFonts w:ascii="Times New Roman" w:hAnsi="Times New Roman"/>
          <w:bCs/>
          <w:szCs w:val="24"/>
        </w:rPr>
        <w:fldChar w:fldCharType="begin"/>
      </w:r>
      <w:r w:rsidRPr="001C2BB1">
        <w:rPr>
          <w:rFonts w:ascii="Times New Roman" w:hAnsi="Times New Roman"/>
          <w:bCs/>
          <w:szCs w:val="24"/>
        </w:rPr>
        <w:instrText xml:space="preserve"> ADDIN ZOTERO_ITEM CSL_CITATION {"citationID":"jhLYpgXP","properties":{"formattedCitation":"[19]","plainCitation":"[19]","noteIndex":0},"citationItems":[{"id":525,"uris":["http://zotero.org/users/4816088/items/H8VGHRKB"],"uri":["http://zotero.org/users/4816088/items/H8VGHRKB"],"itemData":{"id":525,"type":"article-journal","title":"Large Impact of Particle Size on Insertion Reactions. A Case for Anatase LixTiO2","container-title":"Journal of the American Chemical Society","page":"4323-4327","volume":"129","issue":"14","source":"ACS Publications","abstract":"Insertion reactions are of key importance for Li ion and hydrogen storage materials and energy storage devices. The particle size dependence of insertion reactions has been investigated for lithiated anatase TiO2, revealing progressively increasing Li capacity and Li-ion solubility for decreasing particle sizes, strongly deviating from the expected Li-rich and Li-poor phase separation as occurs in the bulk material. The phase diagram alters significantly, changing the materials properties already at sizes as large as 40 nm. A rationale is found in the surface strain that occurs between the different intercalated phases, which becomes energetically too costly in small particles. In particular the observed particle size-induced solid solution behavior is expected to have fundamental and practical implications for two-phase lithium or hydrogen insertion reactions.","DOI":"10.1021/ja067733p","ISSN":"0002-7863","journalAbbreviation":"J. Am. Chem. Soc.","author":[{"family":"Wagemaker","given":"Marnix"},{"family":"Borghols","given":"Wouter J. H."},{"family":"Mulder","given":"Fokko M."}],"issued":{"date-parts":[["2007",4,1]]}}}],"schema":"https://github.com/citation-style-language/schema/raw/master/csl-citation.json"} </w:instrText>
      </w:r>
      <w:r w:rsidRPr="001C2BB1">
        <w:rPr>
          <w:rFonts w:ascii="Times New Roman" w:hAnsi="Times New Roman"/>
          <w:bCs/>
          <w:szCs w:val="24"/>
        </w:rPr>
        <w:fldChar w:fldCharType="separate"/>
      </w:r>
      <w:r w:rsidRPr="001C2BB1">
        <w:rPr>
          <w:rFonts w:ascii="Times New Roman" w:hAnsi="Times New Roman"/>
        </w:rPr>
        <w:t>[19]</w:t>
      </w:r>
      <w:r w:rsidRPr="001C2BB1">
        <w:rPr>
          <w:rFonts w:ascii="Times New Roman" w:hAnsi="Times New Roman"/>
          <w:bCs/>
          <w:szCs w:val="24"/>
        </w:rPr>
        <w:fldChar w:fldCharType="end"/>
      </w:r>
      <w:r w:rsidRPr="001C2BB1">
        <w:rPr>
          <w:rFonts w:ascii="Times New Roman" w:hAnsi="Times New Roman"/>
          <w:bCs/>
          <w:szCs w:val="24"/>
        </w:rPr>
        <w:t xml:space="preserve">, </w:t>
      </w:r>
      <w:r w:rsidR="00627DB5" w:rsidRPr="001C2BB1">
        <w:rPr>
          <w:rFonts w:ascii="Times New Roman" w:hAnsi="Times New Roman"/>
          <w:bCs/>
          <w:szCs w:val="24"/>
        </w:rPr>
        <w:t>highlighting the contribution of Li</w:t>
      </w:r>
      <w:r w:rsidR="00627DB5" w:rsidRPr="001C2BB1">
        <w:rPr>
          <w:rFonts w:ascii="Times New Roman" w:hAnsi="Times New Roman"/>
          <w:bCs/>
          <w:szCs w:val="24"/>
          <w:vertAlign w:val="superscript"/>
        </w:rPr>
        <w:t>+</w:t>
      </w:r>
      <w:r w:rsidR="00627DB5" w:rsidRPr="001C2BB1">
        <w:rPr>
          <w:rFonts w:ascii="Times New Roman" w:hAnsi="Times New Roman"/>
          <w:bCs/>
          <w:szCs w:val="24"/>
        </w:rPr>
        <w:t xml:space="preserve"> ions in the charge storage mechanism. The voltage of the </w:t>
      </w:r>
      <w:r w:rsidRPr="001C2BB1">
        <w:rPr>
          <w:rFonts w:ascii="Times New Roman" w:hAnsi="Times New Roman"/>
          <w:bCs/>
          <w:szCs w:val="24"/>
        </w:rPr>
        <w:t xml:space="preserve">plateau </w:t>
      </w:r>
      <w:r w:rsidR="00627DB5" w:rsidRPr="001C2BB1">
        <w:rPr>
          <w:rFonts w:ascii="Times New Roman" w:hAnsi="Times New Roman"/>
          <w:bCs/>
          <w:szCs w:val="24"/>
        </w:rPr>
        <w:t xml:space="preserve">progressively </w:t>
      </w:r>
      <w:r w:rsidRPr="001C2BB1">
        <w:rPr>
          <w:rFonts w:ascii="Times New Roman" w:hAnsi="Times New Roman"/>
          <w:bCs/>
          <w:szCs w:val="24"/>
        </w:rPr>
        <w:t>ris</w:t>
      </w:r>
      <w:r w:rsidR="00627DB5" w:rsidRPr="001C2BB1">
        <w:rPr>
          <w:rFonts w:ascii="Times New Roman" w:hAnsi="Times New Roman"/>
          <w:bCs/>
          <w:szCs w:val="24"/>
        </w:rPr>
        <w:t>es</w:t>
      </w:r>
      <w:r w:rsidRPr="001C2BB1">
        <w:rPr>
          <w:rFonts w:ascii="Times New Roman" w:hAnsi="Times New Roman"/>
          <w:bCs/>
          <w:szCs w:val="24"/>
        </w:rPr>
        <w:t xml:space="preserve"> (upon discharge) with increasing lithium concentration </w:t>
      </w:r>
      <w:r w:rsidRPr="001C2BB1">
        <w:rPr>
          <w:rFonts w:ascii="Times New Roman" w:hAnsi="Times New Roman"/>
          <w:b/>
          <w:bCs/>
          <w:szCs w:val="24"/>
        </w:rPr>
        <w:t>(Figure 1b)</w:t>
      </w:r>
      <w:r w:rsidRPr="001C2BB1">
        <w:rPr>
          <w:rFonts w:ascii="Times New Roman" w:hAnsi="Times New Roman"/>
          <w:bCs/>
          <w:szCs w:val="24"/>
        </w:rPr>
        <w:t xml:space="preserve">. At 1.0 M of LiCl, </w:t>
      </w:r>
      <w:r>
        <w:rPr>
          <w:rFonts w:ascii="Times New Roman" w:hAnsi="Times New Roman"/>
          <w:bCs/>
          <w:szCs w:val="24"/>
        </w:rPr>
        <w:t xml:space="preserve">the plateau </w:t>
      </w:r>
      <w:r>
        <w:rPr>
          <w:rFonts w:ascii="Times New Roman" w:hAnsi="Times New Roman"/>
          <w:bCs/>
          <w:szCs w:val="24"/>
        </w:rPr>
        <w:lastRenderedPageBreak/>
        <w:t xml:space="preserve">region occurs at a voltage of 0.93 V </w:t>
      </w:r>
      <w:r>
        <w:rPr>
          <w:rFonts w:ascii="Times New Roman" w:hAnsi="Times New Roman"/>
          <w:bCs/>
          <w:i/>
          <w:szCs w:val="24"/>
        </w:rPr>
        <w:t>vs</w:t>
      </w:r>
      <w:r>
        <w:rPr>
          <w:rFonts w:ascii="Times New Roman" w:hAnsi="Times New Roman"/>
          <w:bCs/>
          <w:szCs w:val="24"/>
        </w:rPr>
        <w:t>. Mg</w:t>
      </w:r>
      <w:r>
        <w:rPr>
          <w:rFonts w:ascii="Times New Roman" w:hAnsi="Times New Roman"/>
          <w:bCs/>
          <w:szCs w:val="24"/>
          <w:vertAlign w:val="superscript"/>
        </w:rPr>
        <w:t>2+</w:t>
      </w:r>
      <w:r>
        <w:rPr>
          <w:rFonts w:ascii="Times New Roman" w:hAnsi="Times New Roman"/>
          <w:bCs/>
          <w:szCs w:val="24"/>
        </w:rPr>
        <w:t xml:space="preserve">/Mg or 1.67 V </w:t>
      </w:r>
      <w:r>
        <w:rPr>
          <w:rFonts w:ascii="Times New Roman" w:hAnsi="Times New Roman"/>
          <w:bCs/>
          <w:i/>
          <w:szCs w:val="24"/>
        </w:rPr>
        <w:t>vs</w:t>
      </w:r>
      <w:r>
        <w:rPr>
          <w:rFonts w:ascii="Times New Roman" w:hAnsi="Times New Roman"/>
          <w:bCs/>
          <w:szCs w:val="24"/>
        </w:rPr>
        <w:t>. Li</w:t>
      </w:r>
      <w:r>
        <w:rPr>
          <w:rFonts w:ascii="Times New Roman" w:hAnsi="Times New Roman"/>
          <w:bCs/>
          <w:szCs w:val="24"/>
          <w:vertAlign w:val="superscript"/>
        </w:rPr>
        <w:t>+</w:t>
      </w:r>
      <w:r>
        <w:rPr>
          <w:rFonts w:ascii="Times New Roman" w:hAnsi="Times New Roman"/>
          <w:bCs/>
          <w:szCs w:val="24"/>
        </w:rPr>
        <w:t>/Li, which is close to that observed in a lithium cell.</w:t>
      </w:r>
      <w:r>
        <w:rPr>
          <w:rFonts w:ascii="Times New Roman" w:hAnsi="Times New Roman"/>
          <w:bCs/>
          <w:szCs w:val="24"/>
        </w:rPr>
        <w:fldChar w:fldCharType="begin"/>
      </w:r>
      <w:r>
        <w:rPr>
          <w:rFonts w:ascii="Times New Roman" w:hAnsi="Times New Roman"/>
          <w:bCs/>
          <w:szCs w:val="24"/>
        </w:rPr>
        <w:instrText xml:space="preserve"> ADDIN ZOTERO_ITEM CSL_CITATION {"citationID":"gvvPctd9","properties":{"formattedCitation":"[19]","plainCitation":"[19]","noteIndex":0},"citationItems":[{"id":525,"uris":["http://zotero.org/users/4816088/items/H8VGHRKB"],"uri":["http://zotero.org/users/4816088/items/H8VGHRKB"],"itemData":{"id":525,"type":"article-journal","title":"Large Impact of Particle Size on Insertion Reactions. A Case for Anatase LixTiO2","container-title":"Journal of the American Chemical Society","page":"4323-4327","volume":"129","issue":"14","source":"ACS Publications","abstract":"Insertion reactions are of key importance for Li ion and hydrogen storage materials and energy storage devices. The particle size dependence of insertion reactions has been investigated for lithiated anatase TiO2, revealing progressively increasing Li capacity and Li-ion solubility for decreasing particle sizes, strongly deviating from the expected Li-rich and Li-poor phase separation as occurs in the bulk material. The phase diagram alters significantly, changing the materials properties already at sizes as large as 40 nm. A rationale is found in the surface strain that occurs between the different intercalated phases, which becomes energetically too costly in small particles. In particular the observed particle size-induced solid solution behavior is expected to have fundamental and practical implications for two-phase lithium or hydrogen insertion reactions.","DOI":"10.1021/ja067733p","ISSN":"0002-7863","journalAbbreviation":"J. Am. Chem. Soc.","author":[{"family":"Wagemaker","given":"Marnix"},{"family":"Borghols","given":"Wouter J. H."},{"family":"Mulder","given":"Fokko M."}],"issued":{"date-parts":[["2007",4,1]]}}}],"schema":"https://github.com/citation-style-language/schema/raw/master/csl-citation.json"} </w:instrText>
      </w:r>
      <w:r>
        <w:rPr>
          <w:rFonts w:ascii="Times New Roman" w:hAnsi="Times New Roman"/>
          <w:bCs/>
          <w:szCs w:val="24"/>
        </w:rPr>
        <w:fldChar w:fldCharType="separate"/>
      </w:r>
      <w:r w:rsidRPr="003056E0">
        <w:rPr>
          <w:rFonts w:ascii="Times New Roman" w:hAnsi="Times New Roman"/>
        </w:rPr>
        <w:t>[19]</w:t>
      </w:r>
      <w:r>
        <w:rPr>
          <w:rFonts w:ascii="Times New Roman" w:hAnsi="Times New Roman"/>
          <w:bCs/>
          <w:szCs w:val="24"/>
        </w:rPr>
        <w:fldChar w:fldCharType="end"/>
      </w:r>
      <w:r>
        <w:rPr>
          <w:rFonts w:ascii="Times New Roman" w:hAnsi="Times New Roman"/>
          <w:bCs/>
          <w:szCs w:val="24"/>
        </w:rPr>
        <w:t xml:space="preserve"> </w:t>
      </w:r>
    </w:p>
    <w:p w14:paraId="1357F91A" w14:textId="77777777" w:rsidR="003056E0" w:rsidRDefault="003056E0" w:rsidP="003056E0">
      <w:pPr>
        <w:pStyle w:val="TAMainText"/>
        <w:ind w:firstLine="708"/>
      </w:pPr>
      <w:r>
        <w:t xml:space="preserve">In </w:t>
      </w:r>
      <w:bookmarkStart w:id="16" w:name="OLE_LINK2"/>
      <w:bookmarkStart w:id="17" w:name="OLE_LINK1"/>
      <w:bookmarkStart w:id="18" w:name="OLE_LINK6"/>
      <w:bookmarkStart w:id="19" w:name="OLE_LINK5"/>
      <w:r>
        <w:t>Ti</w:t>
      </w:r>
      <w:r>
        <w:rPr>
          <w:vertAlign w:val="subscript"/>
        </w:rPr>
        <w:t>0.78</w:t>
      </w:r>
      <w:r>
        <w:sym w:font="Wingdings" w:char="F0A8"/>
      </w:r>
      <w:r>
        <w:rPr>
          <w:vertAlign w:val="subscript"/>
        </w:rPr>
        <w:t>0.22</w:t>
      </w:r>
      <w:r>
        <w:t>O</w:t>
      </w:r>
      <w:r>
        <w:rPr>
          <w:vertAlign w:val="subscript"/>
        </w:rPr>
        <w:t>1.12</w:t>
      </w:r>
      <w:r>
        <w:t>F</w:t>
      </w:r>
      <w:r>
        <w:rPr>
          <w:vertAlign w:val="subscript"/>
        </w:rPr>
        <w:t>0.40</w:t>
      </w:r>
      <w:r>
        <w:t>(OH)</w:t>
      </w:r>
      <w:r>
        <w:rPr>
          <w:vertAlign w:val="subscript"/>
        </w:rPr>
        <w:t>0.48</w:t>
      </w:r>
      <w:bookmarkEnd w:id="16"/>
      <w:bookmarkEnd w:id="17"/>
      <w:r>
        <w:t xml:space="preserve">, </w:t>
      </w:r>
      <w:bookmarkEnd w:id="18"/>
      <w:bookmarkEnd w:id="19"/>
      <w:r>
        <w:t>the presence of large numbers of Ti vacancies enables magnesium intercalation (without Li in the electrolyte) with a reversible</w:t>
      </w:r>
      <w:r>
        <w:rPr>
          <w:rFonts w:eastAsia="MS Mincho"/>
          <w:lang w:eastAsia="ja-JP"/>
        </w:rPr>
        <w:t xml:space="preserve"> capacity of 150 mA h g</w:t>
      </w:r>
      <w:r>
        <w:rPr>
          <w:rFonts w:eastAsia="MS Mincho"/>
          <w:vertAlign w:val="superscript"/>
          <w:lang w:eastAsia="ja-JP"/>
        </w:rPr>
        <w:t>-1</w:t>
      </w:r>
      <w:r>
        <w:rPr>
          <w:rFonts w:eastAsia="MS Mincho"/>
          <w:lang w:eastAsia="ja-JP"/>
        </w:rPr>
        <w:t xml:space="preserve"> (</w:t>
      </w:r>
      <w:r>
        <w:rPr>
          <w:rFonts w:eastAsia="MS Mincho"/>
          <w:i/>
          <w:lang w:eastAsia="ja-JP"/>
        </w:rPr>
        <w:t>vs</w:t>
      </w:r>
      <w:r>
        <w:rPr>
          <w:rFonts w:eastAsia="MS Mincho"/>
          <w:lang w:eastAsia="ja-JP"/>
        </w:rPr>
        <w:t>. 25 mA h g</w:t>
      </w:r>
      <w:r>
        <w:rPr>
          <w:rFonts w:eastAsia="MS Mincho"/>
          <w:vertAlign w:val="superscript"/>
          <w:lang w:eastAsia="ja-JP"/>
        </w:rPr>
        <w:t>-1</w:t>
      </w:r>
      <w:r>
        <w:rPr>
          <w:rFonts w:eastAsia="MS Mincho"/>
          <w:lang w:eastAsia="ja-JP"/>
        </w:rPr>
        <w:t xml:space="preserve"> for TiO</w:t>
      </w:r>
      <w:r>
        <w:rPr>
          <w:rFonts w:eastAsia="MS Mincho"/>
          <w:vertAlign w:val="subscript"/>
          <w:lang w:eastAsia="ja-JP"/>
        </w:rPr>
        <w:t>2</w:t>
      </w:r>
      <w:r>
        <w:rPr>
          <w:rFonts w:eastAsia="MS Mincho"/>
          <w:lang w:eastAsia="ja-JP"/>
        </w:rPr>
        <w:t>),</w:t>
      </w:r>
      <w:r>
        <w:rPr>
          <w:rFonts w:eastAsia="MS Mincho"/>
          <w:lang w:eastAsia="ja-JP"/>
        </w:rPr>
        <w:fldChar w:fldCharType="begin"/>
      </w:r>
      <w:r>
        <w:rPr>
          <w:rFonts w:eastAsia="MS Mincho"/>
          <w:lang w:eastAsia="ja-JP"/>
        </w:rPr>
        <w:instrText xml:space="preserve"> ADDIN ZOTERO_ITEM CSL_CITATION {"citationID":"zZTJh3DK","properties":{"formattedCitation":"[16]","plainCitation":"[16]","noteIndex":0},"citationItems":[{"id":978,"uris":["http://zotero.org/users/4816088/items/C6AZCH5Z"],"uri":["http://zotero.org/users/4816088/items/C6AZCH5Z"],"itemData":{"id":978,"type":"article-journal","title":"Reversible magnesium and aluminium ions insertion in cation-deficient anatase TiO&lt;sub&gt;2&lt;/sub&gt;","container-title":"Nature Materials","page":"1142","volume":"16","issue":"11","source":"www.nature.com","abstract":"&lt;p&gt;Compared to monovalent lithium or sodium ions, the reversible insertion of multivalent ions into battery electrodes has proved challenging. An aliovalent doping strategy involving reversible Mg&lt;sup&gt;2+&lt;/sup&gt; and Al&lt;sup&gt;3+&lt;/sup&gt; insertion in anatase TiO&lt;sub&gt;2&lt;/sub&gt; is now reported.&lt;/p&gt;","DOI":"10.1038/nmat4976","ISSN":"1476-4660","language":"En","author":[{"family":"Koketsu","given":"Toshinari"},{"family":"Ma","given":"Jiwei"},{"family":"Morgan","given":"Benjamin J."},{"family":"Body","given":"Monique"},{"family":"Legein","given":"Christophe"},{"family":"Dachraoui","given":"Walid"},{"family":"Giannini","given":"Mattia"},{"family":"Demortière","given":"Arnaud"},{"family":"Salanne","given":"Mathieu"},{"family":"Dardoize","given":"François"},{"family":"Groult","given":"Henri"},{"family":"Borkiewicz","given":"Olaf J."},{"family":"Chapman","given":"Karena W."},{"family":"Strasser","given":"Peter"},{"family":"Dambournet","given":"Damien"}],"issued":{"date-parts":[["2017",11]]}}}],"schema":"https://github.com/citation-style-language/schema/raw/master/csl-citation.json"} </w:instrText>
      </w:r>
      <w:r>
        <w:rPr>
          <w:rFonts w:eastAsia="MS Mincho"/>
          <w:lang w:eastAsia="ja-JP"/>
        </w:rPr>
        <w:fldChar w:fldCharType="separate"/>
      </w:r>
      <w:r w:rsidRPr="003056E0">
        <w:rPr>
          <w:rFonts w:cs="Times"/>
        </w:rPr>
        <w:t>[16]</w:t>
      </w:r>
      <w:r>
        <w:rPr>
          <w:rFonts w:eastAsia="MS Mincho"/>
          <w:lang w:eastAsia="ja-JP"/>
        </w:rPr>
        <w:fldChar w:fldCharType="end"/>
      </w:r>
      <w:r>
        <w:rPr>
          <w:rFonts w:eastAsia="MS Mincho"/>
          <w:lang w:eastAsia="ja-JP"/>
        </w:rPr>
        <w:t xml:space="preserve"> albeit with a high polarization, as shown in </w:t>
      </w:r>
      <w:r>
        <w:rPr>
          <w:rFonts w:eastAsia="MS Mincho"/>
          <w:b/>
          <w:lang w:eastAsia="ja-JP"/>
        </w:rPr>
        <w:t>Figure 1c</w:t>
      </w:r>
      <w:r>
        <w:rPr>
          <w:rFonts w:eastAsia="MS Mincho"/>
          <w:lang w:eastAsia="ja-JP"/>
        </w:rPr>
        <w:t>.</w:t>
      </w:r>
      <w:r>
        <w:t xml:space="preserve"> For this defect-rich electrode, </w:t>
      </w:r>
      <w:r w:rsidRPr="001C2BB1">
        <w:t>adding lithium to the electrolyte improves the reversible capacity and, reduces polarization, thus significantly increases the cell energy density. These two effects are observed even for low concentrations of lithium (0.05 M–0.1 M) with the capacity reaching more than 250 mA h g</w:t>
      </w:r>
      <w:r w:rsidRPr="001C2BB1">
        <w:rPr>
          <w:vertAlign w:val="superscript"/>
        </w:rPr>
        <w:t>-1</w:t>
      </w:r>
      <w:r w:rsidRPr="001C2BB1">
        <w:t xml:space="preserve"> at 0.1 M. For 1.0 M of LiCl, we measure a capacity of 300 mA h g</w:t>
      </w:r>
      <w:r w:rsidRPr="001C2BB1">
        <w:rPr>
          <w:vertAlign w:val="superscript"/>
        </w:rPr>
        <w:t>-1</w:t>
      </w:r>
      <w:r w:rsidRPr="001C2BB1">
        <w:t xml:space="preserve"> (</w:t>
      </w:r>
      <w:r w:rsidRPr="001C2BB1">
        <w:rPr>
          <w:i/>
        </w:rPr>
        <w:t>vs</w:t>
      </w:r>
      <w:r w:rsidRPr="001C2BB1">
        <w:t>. 200 mA h g</w:t>
      </w:r>
      <w:r w:rsidRPr="001C2BB1">
        <w:rPr>
          <w:vertAlign w:val="superscript"/>
        </w:rPr>
        <w:t>-1</w:t>
      </w:r>
      <w:r w:rsidRPr="001C2BB1">
        <w:t xml:space="preserve"> for TiO</w:t>
      </w:r>
      <w:r w:rsidRPr="001C2BB1">
        <w:rPr>
          <w:vertAlign w:val="subscript"/>
        </w:rPr>
        <w:t>2</w:t>
      </w:r>
      <w:r w:rsidR="00CA4C4F" w:rsidRPr="001C2BB1">
        <w:t>). Lithium and magnesium insertion into anatase were previously shown to imply the Ti</w:t>
      </w:r>
      <w:r w:rsidR="00CA4C4F" w:rsidRPr="001C2BB1">
        <w:rPr>
          <w:vertAlign w:val="superscript"/>
        </w:rPr>
        <w:t>4+</w:t>
      </w:r>
      <w:r w:rsidR="00CA4C4F" w:rsidRPr="001C2BB1">
        <w:t>/Ti</w:t>
      </w:r>
      <w:r w:rsidR="00CA4C4F" w:rsidRPr="001C2BB1">
        <w:rPr>
          <w:vertAlign w:val="superscript"/>
        </w:rPr>
        <w:t>3+</w:t>
      </w:r>
      <w:r w:rsidR="00CA4C4F" w:rsidRPr="001C2BB1">
        <w:t xml:space="preserve"> redox couple.</w:t>
      </w:r>
      <w:r w:rsidR="00CA4C4F" w:rsidRPr="001C2BB1">
        <w:fldChar w:fldCharType="begin"/>
      </w:r>
      <w:r w:rsidR="00CA4C4F" w:rsidRPr="001C2BB1">
        <w:instrText xml:space="preserve"> ADDIN ZOTERO_ITEM CSL_CITATION {"citationID":"MAGCzCJV","properties":{"unsorted":true,"formattedCitation":"[20,16]","plainCitation":"[20,16]","noteIndex":0},"citationItems":[{"id":5277,"uris":["http://zotero.org/users/4816088/items/LQDPJ3YZ"],"uri":["http://zotero.org/users/4816088/items/LQDPJ3YZ"],"itemData":{"id":5277,"type":"article-journal","title":"Lithium intercalation in nanoporous anatase TiO2 studied with XPS","container-title":"Journal of Physical Chemistry B","page":"3087-3090","volume":"101","issue":"16","source":"Web of Science","abstract":"Intercalation of lithium ions in nanoporous anatase TiO2 was studied with XPS using a novel electrochemical preparation technique. The electrolyte was 0.5 M LiClO4 in acetonitrile (not water-free). The electrochemical insertion of lithium ions creates reduced Ti ions (Ti3+), which was observed as a new well-resolved state in the Ti 2p core level spectrum shifted 2.1 eV to lower binding energy. The new Ti 2p state was reversible when the electrode was deintercalated. Changes in the O 1s core spectra were also observed and discussed in terms of hydrated lithium ions in the Helmholtz layer, or formation of Li(2)OniOH.","DOI":"10.1021/jp9639399","ISSN":"1089-5647","note":"WOS:A1997WU63000011","journalAbbreviation":"J. Phys. Chem. B","language":"English","author":[{"family":"Sodergren","given":"S."},{"family":"Siegbahn","given":"H."},{"family":"Rensmo","given":"H."},{"family":"Lindstrom","given":"H."},{"family":"Hagfeldt","given":"A."},{"family":"Lindquist","given":"S. E."}],"issued":{"date-parts":[["1997",4,17]]}}},{"id":978,"uris":["http://zotero.org/users/4816088/items/C6AZCH5Z"],"uri":["http://zotero.org/users/4816088/items/C6AZCH5Z"],"itemData":{"id":978,"type":"article-journal","title":"Reversible magnesium and aluminium ions insertion in cation-deficient anatase TiO&lt;sub&gt;2&lt;/sub&gt;","container-title":"Nature Materials","page":"1142","volume":"16","issue":"11","source":"www.nature.com","abstract":"&lt;p&gt;Compared to monovalent lithium or sodium ions, the reversible insertion of multivalent ions into battery electrodes has proved challenging. An aliovalent doping strategy involving reversible Mg&lt;sup&gt;2+&lt;/sup&gt; and Al&lt;sup&gt;3+&lt;/sup&gt; insertion in anatase TiO&lt;sub&gt;2&lt;/sub&gt; is now reported.&lt;/p&gt;","DOI":"10.1038/nmat4976","ISSN":"1476-4660","language":"En","author":[{"family":"Koketsu","given":"Toshinari"},{"family":"Ma","given":"Jiwei"},{"family":"Morgan","given":"Benjamin J."},{"family":"Body","given":"Monique"},{"family":"Legein","given":"Christophe"},{"family":"Dachraoui","given":"Walid"},{"family":"Giannini","given":"Mattia"},{"family":"Demortière","given":"Arnaud"},{"family":"Salanne","given":"Mathieu"},{"family":"Dardoize","given":"François"},{"family":"Groult","given":"Henri"},{"family":"Borkiewicz","given":"Olaf J."},{"family":"Chapman","given":"Karena W."},{"family":"Strasser","given":"Peter"},{"family":"Dambournet","given":"Damien"}],"issued":{"date-parts":[["2017",11]]}}}],"schema":"https://github.com/citation-style-language/schema/raw/master/csl-citation.json"} </w:instrText>
      </w:r>
      <w:r w:rsidR="00CA4C4F" w:rsidRPr="001C2BB1">
        <w:fldChar w:fldCharType="separate"/>
      </w:r>
      <w:r w:rsidR="00CA4C4F" w:rsidRPr="001C2BB1">
        <w:rPr>
          <w:rFonts w:cs="Times"/>
        </w:rPr>
        <w:t>[20,16]</w:t>
      </w:r>
      <w:r w:rsidR="00CA4C4F" w:rsidRPr="001C2BB1">
        <w:fldChar w:fldCharType="end"/>
      </w:r>
      <w:r w:rsidR="00CA4C4F" w:rsidRPr="001C2BB1">
        <w:t xml:space="preserve"> The </w:t>
      </w:r>
      <w:r w:rsidRPr="001C2BB1">
        <w:t>theoretical maximum capacity based on the Ti</w:t>
      </w:r>
      <w:r w:rsidRPr="001C2BB1">
        <w:rPr>
          <w:vertAlign w:val="superscript"/>
        </w:rPr>
        <w:t>4+</w:t>
      </w:r>
      <w:r w:rsidRPr="001C2BB1">
        <w:t>/Ti</w:t>
      </w:r>
      <w:r w:rsidRPr="001C2BB1">
        <w:rPr>
          <w:vertAlign w:val="superscript"/>
        </w:rPr>
        <w:t>3+</w:t>
      </w:r>
      <w:r w:rsidRPr="001C2BB1">
        <w:t xml:space="preserve"> redox couple </w:t>
      </w:r>
      <w:r w:rsidR="00D36227" w:rsidRPr="001C2BB1">
        <w:t xml:space="preserve">is </w:t>
      </w:r>
      <w:r w:rsidRPr="001C2BB1">
        <w:t>290 mA h g</w:t>
      </w:r>
      <w:r w:rsidRPr="001C2BB1">
        <w:rPr>
          <w:vertAlign w:val="superscript"/>
        </w:rPr>
        <w:t>-1</w:t>
      </w:r>
      <w:r w:rsidRPr="001C2BB1">
        <w:t xml:space="preserve"> showing a full utilization of the </w:t>
      </w:r>
      <w:r w:rsidR="00D36227" w:rsidRPr="001C2BB1">
        <w:t>active centers</w:t>
      </w:r>
      <w:r w:rsidRPr="001C2BB1">
        <w:t>.</w:t>
      </w:r>
      <w:r w:rsidRPr="001C2BB1">
        <w:rPr>
          <w:vertAlign w:val="subscript"/>
        </w:rPr>
        <w:t xml:space="preserve"> </w:t>
      </w:r>
      <w:r w:rsidRPr="001C2BB1">
        <w:t xml:space="preserve">This capacity is, to our knowledge, the highest reported for a dual-ion battery and demonstrates the potential benefits of using defect-engineered-electrodes in these devices. In addition, as observed on the derivative curves </w:t>
      </w:r>
      <w:r w:rsidRPr="001C2BB1">
        <w:rPr>
          <w:b/>
        </w:rPr>
        <w:t>(Figure 1d)</w:t>
      </w:r>
      <w:r w:rsidRPr="001C2BB1">
        <w:t xml:space="preserve">, the insertion voltage progressively </w:t>
      </w:r>
      <w:r>
        <w:t>increases with the lithium concentration, with peaks shifting from 0.77 V for 0.05 M LiCl to 1 V for 1.0 M LiCl</w:t>
      </w:r>
      <w:r w:rsidR="00F152E9">
        <w:t>.</w:t>
      </w:r>
      <w:r>
        <w:t xml:space="preserve"> </w:t>
      </w:r>
    </w:p>
    <w:p w14:paraId="30FC1E08" w14:textId="77777777" w:rsidR="003056E0" w:rsidRDefault="003056E0" w:rsidP="003056E0">
      <w:pPr>
        <w:pStyle w:val="Head1"/>
        <w:jc w:val="center"/>
      </w:pPr>
      <w:r>
        <w:rPr>
          <w:noProof/>
          <w:lang w:val="fr-FR" w:eastAsia="fr-FR"/>
        </w:rPr>
        <w:lastRenderedPageBreak/>
        <w:drawing>
          <wp:inline distT="0" distB="0" distL="0" distR="0" wp14:anchorId="246A87F5" wp14:editId="25EE8897">
            <wp:extent cx="5581650" cy="5153025"/>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8">
                      <a:extLst>
                        <a:ext uri="{28A0092B-C50C-407E-A947-70E740481C1C}">
                          <a14:useLocalDpi xmlns:a14="http://schemas.microsoft.com/office/drawing/2010/main" val="0"/>
                        </a:ext>
                      </a:extLst>
                    </a:blip>
                    <a:srcRect l="3215" t="1299" r="19759" b="3911"/>
                    <a:stretch>
                      <a:fillRect/>
                    </a:stretch>
                  </pic:blipFill>
                  <pic:spPr bwMode="auto">
                    <a:xfrm>
                      <a:off x="0" y="0"/>
                      <a:ext cx="5581650" cy="5153025"/>
                    </a:xfrm>
                    <a:prstGeom prst="rect">
                      <a:avLst/>
                    </a:prstGeom>
                    <a:noFill/>
                    <a:ln>
                      <a:noFill/>
                    </a:ln>
                  </pic:spPr>
                </pic:pic>
              </a:graphicData>
            </a:graphic>
          </wp:inline>
        </w:drawing>
      </w:r>
    </w:p>
    <w:p w14:paraId="5318EC9A" w14:textId="77777777" w:rsidR="003056E0" w:rsidRDefault="003056E0" w:rsidP="003056E0">
      <w:pPr>
        <w:pStyle w:val="VAFigureCaption"/>
      </w:pPr>
      <w:r>
        <w:rPr>
          <w:b/>
        </w:rPr>
        <w:t>Figure 1.</w:t>
      </w:r>
      <w:r>
        <w:t xml:space="preserve"> Discharge–charge curves and corresponding derivative curves for Mg/TiO</w:t>
      </w:r>
      <w:r>
        <w:rPr>
          <w:vertAlign w:val="subscript"/>
        </w:rPr>
        <w:t>2</w:t>
      </w:r>
      <w:r>
        <w:t xml:space="preserve"> </w:t>
      </w:r>
      <w:r>
        <w:rPr>
          <w:b/>
        </w:rPr>
        <w:t>(a,b)</w:t>
      </w:r>
      <w:r>
        <w:t xml:space="preserve"> and Mg/Ti</w:t>
      </w:r>
      <w:r>
        <w:rPr>
          <w:vertAlign w:val="subscript"/>
        </w:rPr>
        <w:t>0.78</w:t>
      </w:r>
      <w:r>
        <w:sym w:font="Wingdings" w:char="F0A8"/>
      </w:r>
      <w:r>
        <w:rPr>
          <w:vertAlign w:val="subscript"/>
        </w:rPr>
        <w:t>0.22</w:t>
      </w:r>
      <w:r>
        <w:t>O</w:t>
      </w:r>
      <w:r>
        <w:rPr>
          <w:vertAlign w:val="subscript"/>
        </w:rPr>
        <w:t>1.12</w:t>
      </w:r>
      <w:r>
        <w:t>F</w:t>
      </w:r>
      <w:r>
        <w:rPr>
          <w:vertAlign w:val="subscript"/>
        </w:rPr>
        <w:t>0.40</w:t>
      </w:r>
      <w:r>
        <w:t>(OH)</w:t>
      </w:r>
      <w:r>
        <w:rPr>
          <w:vertAlign w:val="subscript"/>
        </w:rPr>
        <w:t>0.48</w:t>
      </w:r>
      <w:r>
        <w:t xml:space="preserve"> </w:t>
      </w:r>
      <w:r>
        <w:rPr>
          <w:b/>
        </w:rPr>
        <w:t>(c,d)</w:t>
      </w:r>
      <w:r>
        <w:t xml:space="preserve"> cells cycled at 20 mA g</w:t>
      </w:r>
      <w:r>
        <w:rPr>
          <w:vertAlign w:val="superscript"/>
        </w:rPr>
        <w:t xml:space="preserve">-1 </w:t>
      </w:r>
      <w:r>
        <w:t xml:space="preserve">using 0.2 M APC with various LiCl concentrations. The discharge-charge curves were obtained after two cycles of activation. </w:t>
      </w:r>
    </w:p>
    <w:p w14:paraId="7E39A5A9" w14:textId="77777777" w:rsidR="003056E0" w:rsidRDefault="003056E0" w:rsidP="003056E0">
      <w:pPr>
        <w:pStyle w:val="TAMainText"/>
        <w:ind w:firstLine="708"/>
      </w:pPr>
      <w:r>
        <w:t>We now consider the rate capability of Ti</w:t>
      </w:r>
      <w:r>
        <w:rPr>
          <w:vertAlign w:val="subscript"/>
        </w:rPr>
        <w:t>0.78</w:t>
      </w:r>
      <w:r>
        <w:sym w:font="Wingdings" w:char="F0A8"/>
      </w:r>
      <w:r>
        <w:rPr>
          <w:vertAlign w:val="subscript"/>
        </w:rPr>
        <w:t>0.22</w:t>
      </w:r>
      <w:r>
        <w:t>O</w:t>
      </w:r>
      <w:r>
        <w:rPr>
          <w:vertAlign w:val="subscript"/>
        </w:rPr>
        <w:t>1.12</w:t>
      </w:r>
      <w:r>
        <w:t>F</w:t>
      </w:r>
      <w:r>
        <w:rPr>
          <w:vertAlign w:val="subscript"/>
        </w:rPr>
        <w:t>0.40</w:t>
      </w:r>
      <w:r>
        <w:t>(OH)</w:t>
      </w:r>
      <w:r>
        <w:rPr>
          <w:vertAlign w:val="subscript"/>
        </w:rPr>
        <w:t>0.48</w:t>
      </w:r>
      <w:r>
        <w:t xml:space="preserve"> as a function of the lithium concentration in the electrolyte. </w:t>
      </w:r>
      <w:r>
        <w:rPr>
          <w:b/>
        </w:rPr>
        <w:t>Figure 2a</w:t>
      </w:r>
      <w:r>
        <w:t xml:space="preserve"> shows the evolution of the capacity when increasing the current density, for different lithium-electrolyte concentrations. When increasing the lithium concentration, a significant improvement in the reversible capacity under increasing </w:t>
      </w:r>
      <w:r>
        <w:rPr>
          <w:i/>
        </w:rPr>
        <w:t>C</w:t>
      </w:r>
      <w:r>
        <w:t>-rate is observed. At current densities below 100 mA g</w:t>
      </w:r>
      <w:r>
        <w:rPr>
          <w:vertAlign w:val="superscript"/>
        </w:rPr>
        <w:t>-1</w:t>
      </w:r>
      <w:r>
        <w:t xml:space="preserve">, high reversible capacities of 260 and </w:t>
      </w:r>
      <w:r>
        <w:lastRenderedPageBreak/>
        <w:t>275 mA h g</w:t>
      </w:r>
      <w:r>
        <w:rPr>
          <w:vertAlign w:val="superscript"/>
        </w:rPr>
        <w:t>-1</w:t>
      </w:r>
      <w:r>
        <w:t xml:space="preserve"> are obtained for 0.2 M and 1 M of LiCl, respectively. At current densities higher than 100 mA g</w:t>
      </w:r>
      <w:r>
        <w:rPr>
          <w:vertAlign w:val="superscript"/>
        </w:rPr>
        <w:t>-1</w:t>
      </w:r>
      <w:r>
        <w:t>, the rate capability depends on the lithium concentration High capacities, up to 200 mA h g</w:t>
      </w:r>
      <w:r>
        <w:rPr>
          <w:vertAlign w:val="superscript"/>
        </w:rPr>
        <w:t>-1</w:t>
      </w:r>
      <w:r>
        <w:t xml:space="preserve"> under 1000 mA g</w:t>
      </w:r>
      <w:r>
        <w:rPr>
          <w:vertAlign w:val="superscript"/>
        </w:rPr>
        <w:t>-1</w:t>
      </w:r>
      <w:r>
        <w:t>, were obtained for a lithium concentration of 1 M. These capacities are more than 2 times higher than those obtained for stoichiometric TiO</w:t>
      </w:r>
      <w:r>
        <w:rPr>
          <w:vertAlign w:val="subscript"/>
        </w:rPr>
        <w:t>2</w:t>
      </w:r>
      <w:r>
        <w:t xml:space="preserve"> under the same conditions </w:t>
      </w:r>
      <w:r>
        <w:rPr>
          <w:color w:val="FF0000"/>
        </w:rPr>
        <w:t>(</w:t>
      </w:r>
      <w:r>
        <w:rPr>
          <w:b/>
          <w:color w:val="FF0000"/>
        </w:rPr>
        <w:t>Figure S2</w:t>
      </w:r>
      <w:r>
        <w:rPr>
          <w:color w:val="FF0000"/>
        </w:rPr>
        <w:t>)</w:t>
      </w:r>
      <w:r>
        <w:t>. Subsequently, we cycled cells containing electrolytes with 0.2 M and 1 M LiCl under 1000 mA g</w:t>
      </w:r>
      <w:r>
        <w:rPr>
          <w:vertAlign w:val="superscript"/>
        </w:rPr>
        <w:t>-1</w:t>
      </w:r>
      <w:r>
        <w:t xml:space="preserve"> for 400 cycles </w:t>
      </w:r>
      <w:r>
        <w:rPr>
          <w:b/>
        </w:rPr>
        <w:t>(Figure 2b)</w:t>
      </w:r>
      <w:r>
        <w:t xml:space="preserve">. While the capacity largely depends on the lithium concentration, in both cases, the cell shows excellent cyclability, with capacity retention greater than 90 % after 400 cycles. </w:t>
      </w:r>
    </w:p>
    <w:p w14:paraId="04953CCF" w14:textId="77777777" w:rsidR="003056E0" w:rsidRDefault="003056E0" w:rsidP="003056E0">
      <w:pPr>
        <w:spacing w:line="480" w:lineRule="auto"/>
      </w:pPr>
      <w:r>
        <w:t>To better understand the lithium concentration dependence on the electrochemical properties, the proportions of Li</w:t>
      </w:r>
      <w:r>
        <w:rPr>
          <w:vertAlign w:val="superscript"/>
        </w:rPr>
        <w:t>+</w:t>
      </w:r>
      <w:r>
        <w:t xml:space="preserve"> and Mg</w:t>
      </w:r>
      <w:r>
        <w:rPr>
          <w:vertAlign w:val="superscript"/>
        </w:rPr>
        <w:t>2+</w:t>
      </w:r>
      <w:r>
        <w:t xml:space="preserve"> ions within discharged electrodes were assessed using inductively coupled plasma atomic emission spectroscopy (ICP-AES). </w:t>
      </w:r>
      <w:r>
        <w:rPr>
          <w:b/>
        </w:rPr>
        <w:t>Figure 2c</w:t>
      </w:r>
      <w:r>
        <w:t xml:space="preserve"> gathers the Li, Mg content, with respect to chemical formulae, measured after discharging electrodes under different electrolytic conditions. In pure APC (no LiCl), the number of Mg</w:t>
      </w:r>
      <w:r>
        <w:rPr>
          <w:vertAlign w:val="superscript"/>
        </w:rPr>
        <w:t>2+</w:t>
      </w:r>
      <w:r>
        <w:t xml:space="preserve"> matches the measured discharge capacity for both anatase samples. The introduction of 0.2 M LiCl produces a significant increase in the capacity, which is almost entirely due to the additional insertion of lithium. Strikingly, we observed that anatase TiO</w:t>
      </w:r>
      <w:r>
        <w:rPr>
          <w:vertAlign w:val="subscript"/>
        </w:rPr>
        <w:t>2</w:t>
      </w:r>
      <w:r>
        <w:t xml:space="preserve"> can accommodate twice as much Mg</w:t>
      </w:r>
      <w:r>
        <w:rPr>
          <w:vertAlign w:val="superscript"/>
        </w:rPr>
        <w:t>2+</w:t>
      </w:r>
      <w:r>
        <w:t xml:space="preserve"> after the introduction of lithium in the electrolyte (although this remains a small contribution relative to the Li</w:t>
      </w:r>
      <w:r>
        <w:rPr>
          <w:vertAlign w:val="superscript"/>
        </w:rPr>
        <w:t>+</w:t>
      </w:r>
      <w:r>
        <w:t xml:space="preserve"> insertion). This confirms the work of Ichitsubo </w:t>
      </w:r>
      <w:r>
        <w:rPr>
          <w:i/>
        </w:rPr>
        <w:t>et al.</w:t>
      </w:r>
      <w:r>
        <w:rPr>
          <w:i/>
        </w:rPr>
        <w:fldChar w:fldCharType="begin"/>
      </w:r>
      <w:r>
        <w:rPr>
          <w:i/>
        </w:rPr>
        <w:instrText xml:space="preserve"> ADDIN ZOTERO_ITEM CSL_CITATION {"citationID":"k53QAop9","properties":{"formattedCitation":"[15]","plainCitation":"[15]","noteIndex":0},"citationItems":[{"id":4710,"uris":["http://zotero.org/users/4816088/items/64J2U3FP"],"uri":["http://zotero.org/users/4816088/items/64J2U3FP"],"itemData":{"id":4710,"type":"article-journal","title":"Fast Diffusion of Multivalent Ions Facilitated by Concerted Interactions in Dual-Ion Battery Systems","container-title":"Advanced Energy Materials","page":"1801475","volume":"8","issue":"27","source":"Wiley Online Library","abstract":"Sluggish solid-phase diffusion has been an essential issue in developing intercalation electrode materials using multivalent ions. Compared to monovalent Li ions, the diffusion of multivalent ions is still not well understood. Here, combining first-principles calculations with electrochemical experiments, it is shown that the diffusion of divalent Mg ions is significantly facilitated in Li–Mg dual-ion systems, and the activation energy is remarkably reduced by the concerted interactions of the preceding Li ions and following Mg ions. Thus, making dual-ion systems is a promising way to construct high-energy-density, rechargeable batteries with multivalent ions. This work will provide a new perspective on solid-phase diffusion that is typically a rate-controlling process in battery systems and fuel cell devices.","DOI":"10.1002/aenm.201801475","ISSN":"1614-6840","language":"en","author":[{"family":"Li","given":"Hongyi"},{"family":"Okamoto","given":"Norihiko L."},{"family":"Hatakeyama","given":"Takuya"},{"family":"Kumagai","given":"Yu"},{"family":"Oba","given":"Fumiyasu"},{"family":"Ichitsubo","given":"Tetsu"}],"issued":{"date-parts":[["2018",9,1]]}}}],"schema":"https://github.com/citation-style-language/schema/raw/master/csl-citation.json"} </w:instrText>
      </w:r>
      <w:r>
        <w:rPr>
          <w:i/>
        </w:rPr>
        <w:fldChar w:fldCharType="separate"/>
      </w:r>
      <w:r w:rsidRPr="003056E0">
        <w:rPr>
          <w:rFonts w:cs="Times"/>
        </w:rPr>
        <w:t>[15]</w:t>
      </w:r>
      <w:r>
        <w:rPr>
          <w:i/>
        </w:rPr>
        <w:fldChar w:fldCharType="end"/>
      </w:r>
      <w:r>
        <w:rPr>
          <w:i/>
        </w:rPr>
        <w:t xml:space="preserve"> </w:t>
      </w:r>
      <w:r>
        <w:t>who have proposed that interactions between intercalated Li</w:t>
      </w:r>
      <w:r>
        <w:rPr>
          <w:vertAlign w:val="superscript"/>
        </w:rPr>
        <w:t>+</w:t>
      </w:r>
      <w:r>
        <w:t xml:space="preserve"> and Mg</w:t>
      </w:r>
      <w:r>
        <w:rPr>
          <w:vertAlign w:val="superscript"/>
        </w:rPr>
        <w:t>2+</w:t>
      </w:r>
      <w:r>
        <w:t xml:space="preserve"> increase the ability of the framework to accommodate Mg</w:t>
      </w:r>
      <w:r>
        <w:rPr>
          <w:vertAlign w:val="superscript"/>
        </w:rPr>
        <w:t>2+</w:t>
      </w:r>
      <w:r>
        <w:t xml:space="preserve"> ions. In the case of Ti</w:t>
      </w:r>
      <w:r>
        <w:rPr>
          <w:vertAlign w:val="subscript"/>
        </w:rPr>
        <w:t>0.78</w:t>
      </w:r>
      <w:r>
        <w:sym w:font="Wingdings" w:char="F0A8"/>
      </w:r>
      <w:r>
        <w:rPr>
          <w:vertAlign w:val="subscript"/>
        </w:rPr>
        <w:t>0.22</w:t>
      </w:r>
      <w:r>
        <w:t>O</w:t>
      </w:r>
      <w:r>
        <w:rPr>
          <w:vertAlign w:val="subscript"/>
        </w:rPr>
        <w:t>1.12</w:t>
      </w:r>
      <w:r>
        <w:t>F</w:t>
      </w:r>
      <w:r>
        <w:rPr>
          <w:vertAlign w:val="subscript"/>
        </w:rPr>
        <w:t>0.40</w:t>
      </w:r>
      <w:r>
        <w:t>(OH)</w:t>
      </w:r>
      <w:r>
        <w:rPr>
          <w:vertAlign w:val="subscript"/>
        </w:rPr>
        <w:t>0.48</w:t>
      </w:r>
      <w:r>
        <w:t>, our analysis confirms the co-intercalation mechanism, with 0.47 Li</w:t>
      </w:r>
      <w:r>
        <w:rPr>
          <w:vertAlign w:val="superscript"/>
        </w:rPr>
        <w:t>+</w:t>
      </w:r>
      <w:r>
        <w:t xml:space="preserve"> and 0.18 Mg</w:t>
      </w:r>
      <w:r>
        <w:rPr>
          <w:vertAlign w:val="superscript"/>
        </w:rPr>
        <w:t>2+</w:t>
      </w:r>
      <w:r>
        <w:t xml:space="preserve"> ions (0.83 electron) inserted per 0.78 mole of Ti, which is slightly higher than theoretically expected </w:t>
      </w:r>
      <w:r w:rsidRPr="00CA4C4F">
        <w:t>based on Ti</w:t>
      </w:r>
      <w:r w:rsidRPr="00CA4C4F">
        <w:rPr>
          <w:vertAlign w:val="superscript"/>
        </w:rPr>
        <w:t>4+</w:t>
      </w:r>
      <w:r w:rsidRPr="00CA4C4F">
        <w:t>/Ti</w:t>
      </w:r>
      <w:r w:rsidRPr="00CA4C4F">
        <w:rPr>
          <w:vertAlign w:val="superscript"/>
        </w:rPr>
        <w:t>3+</w:t>
      </w:r>
      <w:r w:rsidRPr="00CA4C4F">
        <w:t xml:space="preserve"> redox couple</w:t>
      </w:r>
      <w:r w:rsidR="005E46AC">
        <w:t xml:space="preserve">. </w:t>
      </w:r>
      <w:r w:rsidR="005E46AC" w:rsidRPr="001C2BB1">
        <w:t xml:space="preserve">Such a difference can be explained by extra-capacity arising from the degradation of the </w:t>
      </w:r>
      <w:r w:rsidRPr="001C2BB1">
        <w:t xml:space="preserve"> </w:t>
      </w:r>
      <w:r w:rsidRPr="001C2BB1">
        <w:lastRenderedPageBreak/>
        <w:t>electrolyte</w:t>
      </w:r>
      <w:r w:rsidR="005E46AC" w:rsidRPr="001C2BB1">
        <w:fldChar w:fldCharType="begin"/>
      </w:r>
      <w:r w:rsidR="00CA4C4F" w:rsidRPr="001C2BB1">
        <w:instrText xml:space="preserve"> ADDIN ZOTERO_ITEM CSL_CITATION {"citationID":"VFL7ElPJ","properties":{"formattedCitation":"[21]","plainCitation":"[21]","noteIndex":0},"citationItems":[{"id":5274,"uris":["http://zotero.org/users/4816088/items/676BGHRH"],"uri":["http://zotero.org/users/4816088/items/676BGHRH"],"itemData":{"id":5274,"type":"webpage","title":"High catalytic activity of anatase titanium dioxide for decomposition of electrolyte solution in lithium ion battery - ScienceDirect","URL":"https://www.sciencedirect.com/science/article/pii/S0378775314009306","accessed":{"date-parts":[["2019",9,18]]}}}],"schema":"https://github.com/citation-style-language/schema/raw/master/csl-citation.json"} </w:instrText>
      </w:r>
      <w:r w:rsidR="005E46AC" w:rsidRPr="001C2BB1">
        <w:fldChar w:fldCharType="separate"/>
      </w:r>
      <w:r w:rsidR="00CA4C4F" w:rsidRPr="001C2BB1">
        <w:rPr>
          <w:rFonts w:cs="Times"/>
        </w:rPr>
        <w:t>[21]</w:t>
      </w:r>
      <w:r w:rsidR="005E46AC" w:rsidRPr="001C2BB1">
        <w:fldChar w:fldCharType="end"/>
      </w:r>
      <w:r w:rsidR="005E46AC" w:rsidRPr="001C2BB1">
        <w:t xml:space="preserve"> which is common for this type of materials</w:t>
      </w:r>
      <w:r w:rsidRPr="001C2BB1">
        <w:t xml:space="preserve">. At 1.0 </w:t>
      </w:r>
      <w:r>
        <w:t>M of LiCl, the proportion of lithium inserted into anatase increases significantly, showing that the intercalation chemistry becomes dominated by this ion. Moreover, under increasing current densities, the proportion of inserted Li</w:t>
      </w:r>
      <w:r>
        <w:rPr>
          <w:vertAlign w:val="superscript"/>
        </w:rPr>
        <w:t>+</w:t>
      </w:r>
      <w:r>
        <w:t xml:space="preserve"> increases with respect to Mg</w:t>
      </w:r>
      <w:r>
        <w:rPr>
          <w:vertAlign w:val="superscript"/>
        </w:rPr>
        <w:t>2+</w:t>
      </w:r>
      <w:r>
        <w:t>, which may be due to a higher solid-state diffusion rate of Li</w:t>
      </w:r>
      <w:r>
        <w:rPr>
          <w:vertAlign w:val="superscript"/>
        </w:rPr>
        <w:t>+</w:t>
      </w:r>
      <w:r>
        <w:t xml:space="preserve"> in Ti</w:t>
      </w:r>
      <w:r>
        <w:rPr>
          <w:vertAlign w:val="subscript"/>
        </w:rPr>
        <w:t>0.78</w:t>
      </w:r>
      <w:r>
        <w:sym w:font="Wingdings" w:char="F0A8"/>
      </w:r>
      <w:r>
        <w:rPr>
          <w:vertAlign w:val="subscript"/>
        </w:rPr>
        <w:t>0.22</w:t>
      </w:r>
      <w:r>
        <w:t>O</w:t>
      </w:r>
      <w:r>
        <w:rPr>
          <w:vertAlign w:val="subscript"/>
        </w:rPr>
        <w:t>1.12</w:t>
      </w:r>
      <w:r>
        <w:t>F</w:t>
      </w:r>
      <w:r>
        <w:rPr>
          <w:vertAlign w:val="subscript"/>
        </w:rPr>
        <w:t>0.40</w:t>
      </w:r>
      <w:r>
        <w:t>(OH)</w:t>
      </w:r>
      <w:r>
        <w:rPr>
          <w:vertAlign w:val="subscript"/>
        </w:rPr>
        <w:t>0.48</w:t>
      </w:r>
      <w:r>
        <w:t xml:space="preserve">. </w:t>
      </w:r>
    </w:p>
    <w:p w14:paraId="6C4A80C7" w14:textId="77777777" w:rsidR="003056E0" w:rsidRDefault="003056E0" w:rsidP="003056E0">
      <w:pPr>
        <w:spacing w:line="480" w:lineRule="auto"/>
      </w:pPr>
      <w:r>
        <w:rPr>
          <w:noProof/>
          <w:lang w:val="fr-FR" w:eastAsia="fr-FR"/>
        </w:rPr>
        <w:drawing>
          <wp:inline distT="0" distB="0" distL="0" distR="0" wp14:anchorId="4AFAC061" wp14:editId="10B31392">
            <wp:extent cx="5762625" cy="510540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9">
                      <a:extLst>
                        <a:ext uri="{28A0092B-C50C-407E-A947-70E740481C1C}">
                          <a14:useLocalDpi xmlns:a14="http://schemas.microsoft.com/office/drawing/2010/main" val="0"/>
                        </a:ext>
                      </a:extLst>
                    </a:blip>
                    <a:srcRect l="1904" t="2539" r="23808" b="9741"/>
                    <a:stretch>
                      <a:fillRect/>
                    </a:stretch>
                  </pic:blipFill>
                  <pic:spPr bwMode="auto">
                    <a:xfrm>
                      <a:off x="0" y="0"/>
                      <a:ext cx="5762625" cy="5105400"/>
                    </a:xfrm>
                    <a:prstGeom prst="rect">
                      <a:avLst/>
                    </a:prstGeom>
                    <a:noFill/>
                    <a:ln>
                      <a:noFill/>
                    </a:ln>
                  </pic:spPr>
                </pic:pic>
              </a:graphicData>
            </a:graphic>
          </wp:inline>
        </w:drawing>
      </w:r>
    </w:p>
    <w:p w14:paraId="013B3940" w14:textId="77777777" w:rsidR="003056E0" w:rsidRDefault="003056E0" w:rsidP="003056E0">
      <w:pPr>
        <w:pStyle w:val="VAFigureCaption"/>
      </w:pPr>
      <w:r>
        <w:rPr>
          <w:b/>
        </w:rPr>
        <w:t>Figure 2. a)</w:t>
      </w:r>
      <w:r>
        <w:t xml:space="preserve"> Rate capability plots of Mg/Ti</w:t>
      </w:r>
      <w:r>
        <w:rPr>
          <w:vertAlign w:val="subscript"/>
        </w:rPr>
        <w:t>0.78</w:t>
      </w:r>
      <w:r>
        <w:sym w:font="Wingdings" w:char="F0A8"/>
      </w:r>
      <w:r>
        <w:rPr>
          <w:vertAlign w:val="subscript"/>
        </w:rPr>
        <w:t>0.22</w:t>
      </w:r>
      <w:r>
        <w:t>O</w:t>
      </w:r>
      <w:r>
        <w:rPr>
          <w:vertAlign w:val="subscript"/>
        </w:rPr>
        <w:t>1.12</w:t>
      </w:r>
      <w:r>
        <w:t>F</w:t>
      </w:r>
      <w:r>
        <w:rPr>
          <w:vertAlign w:val="subscript"/>
        </w:rPr>
        <w:t>0.40</w:t>
      </w:r>
      <w:r>
        <w:t>(OH)</w:t>
      </w:r>
      <w:r>
        <w:rPr>
          <w:vertAlign w:val="subscript"/>
        </w:rPr>
        <w:t>0.48</w:t>
      </w:r>
      <w:r>
        <w:t xml:space="preserve"> cells cycled with different lithium concentrations. </w:t>
      </w:r>
      <w:r>
        <w:rPr>
          <w:b/>
        </w:rPr>
        <w:t>b)</w:t>
      </w:r>
      <w:r>
        <w:t xml:space="preserve"> Long term cycling of Mg/Ti</w:t>
      </w:r>
      <w:r>
        <w:rPr>
          <w:vertAlign w:val="subscript"/>
        </w:rPr>
        <w:t>0.78</w:t>
      </w:r>
      <w:r>
        <w:sym w:font="Wingdings" w:char="F0A8"/>
      </w:r>
      <w:r>
        <w:rPr>
          <w:vertAlign w:val="subscript"/>
        </w:rPr>
        <w:t>0.22</w:t>
      </w:r>
      <w:r>
        <w:t>O</w:t>
      </w:r>
      <w:r>
        <w:rPr>
          <w:vertAlign w:val="subscript"/>
        </w:rPr>
        <w:t>1.12</w:t>
      </w:r>
      <w:r>
        <w:t>F</w:t>
      </w:r>
      <w:r>
        <w:rPr>
          <w:vertAlign w:val="subscript"/>
        </w:rPr>
        <w:t>0.40</w:t>
      </w:r>
      <w:r>
        <w:t>(OH)</w:t>
      </w:r>
      <w:r>
        <w:rPr>
          <w:vertAlign w:val="subscript"/>
        </w:rPr>
        <w:t>0.48</w:t>
      </w:r>
      <w:r>
        <w:t xml:space="preserve"> cells under 1000 mA g</w:t>
      </w:r>
      <w:r>
        <w:rPr>
          <w:vertAlign w:val="superscript"/>
        </w:rPr>
        <w:t>-1</w:t>
      </w:r>
      <w:r>
        <w:t xml:space="preserve"> with 0.2 M and 1.0 M LiCl. </w:t>
      </w:r>
      <w:r>
        <w:rPr>
          <w:b/>
        </w:rPr>
        <w:t>c)</w:t>
      </w:r>
      <w:r>
        <w:t xml:space="preserve"> Li and Mg contents in discharged electrodes of anatase </w:t>
      </w:r>
      <w:r>
        <w:lastRenderedPageBreak/>
        <w:t>TiO</w:t>
      </w:r>
      <w:r>
        <w:rPr>
          <w:vertAlign w:val="subscript"/>
        </w:rPr>
        <w:t>2</w:t>
      </w:r>
      <w:r>
        <w:t xml:space="preserve"> and Ti</w:t>
      </w:r>
      <w:r>
        <w:rPr>
          <w:vertAlign w:val="subscript"/>
        </w:rPr>
        <w:t>0.78</w:t>
      </w:r>
      <w:r>
        <w:sym w:font="Wingdings" w:char="F0A8"/>
      </w:r>
      <w:r>
        <w:rPr>
          <w:vertAlign w:val="subscript"/>
        </w:rPr>
        <w:t>0.22</w:t>
      </w:r>
      <w:r>
        <w:t>O</w:t>
      </w:r>
      <w:r>
        <w:rPr>
          <w:vertAlign w:val="subscript"/>
        </w:rPr>
        <w:t>1.12</w:t>
      </w:r>
      <w:r>
        <w:t>F</w:t>
      </w:r>
      <w:r>
        <w:rPr>
          <w:vertAlign w:val="subscript"/>
        </w:rPr>
        <w:t>0.40</w:t>
      </w:r>
      <w:r>
        <w:t>(OH)</w:t>
      </w:r>
      <w:r>
        <w:rPr>
          <w:vertAlign w:val="subscript"/>
        </w:rPr>
        <w:t xml:space="preserve">0.48 </w:t>
      </w:r>
      <w:r>
        <w:t>using different electrolytes, from chemical analyses (ICP-AES).</w:t>
      </w:r>
    </w:p>
    <w:p w14:paraId="580FEF8A" w14:textId="77777777" w:rsidR="003056E0" w:rsidRDefault="003056E0" w:rsidP="003056E0">
      <w:pPr>
        <w:rPr>
          <w:lang w:eastAsia="zh-CN"/>
        </w:rPr>
      </w:pPr>
    </w:p>
    <w:p w14:paraId="7665702D" w14:textId="77777777" w:rsidR="003056E0" w:rsidRDefault="003056E0" w:rsidP="003056E0">
      <w:pPr>
        <w:spacing w:line="480" w:lineRule="auto"/>
        <w:ind w:firstLine="708"/>
        <w:rPr>
          <w:lang w:eastAsia="ja-JP"/>
        </w:rPr>
      </w:pPr>
      <w:r>
        <w:t>To further investigate the intercalation mechanism of dual-ions in Ti</w:t>
      </w:r>
      <w:r>
        <w:rPr>
          <w:vertAlign w:val="subscript"/>
        </w:rPr>
        <w:t>0.78</w:t>
      </w:r>
      <w:r>
        <w:sym w:font="Wingdings" w:char="F0A8"/>
      </w:r>
      <w:r>
        <w:rPr>
          <w:vertAlign w:val="subscript"/>
        </w:rPr>
        <w:t>0.22</w:t>
      </w:r>
      <w:r>
        <w:t>O</w:t>
      </w:r>
      <w:r>
        <w:rPr>
          <w:vertAlign w:val="subscript"/>
        </w:rPr>
        <w:t>1.12</w:t>
      </w:r>
      <w:r>
        <w:t>F</w:t>
      </w:r>
      <w:r>
        <w:rPr>
          <w:vertAlign w:val="subscript"/>
        </w:rPr>
        <w:t>0.40</w:t>
      </w:r>
      <w:r>
        <w:t>(OH)</w:t>
      </w:r>
      <w:r>
        <w:rPr>
          <w:vertAlign w:val="subscript"/>
        </w:rPr>
        <w:t>0.48</w:t>
      </w:r>
      <w:r>
        <w:t>, we focused on the hybrid electrolyte with 0.2 M APC and 0.2 M LiCl, giving 2 Mg</w:t>
      </w:r>
      <w:r>
        <w:rPr>
          <w:vertAlign w:val="superscript"/>
        </w:rPr>
        <w:t>2+</w:t>
      </w:r>
      <w:r>
        <w:t xml:space="preserve"> per 1 Li</w:t>
      </w:r>
      <w:r>
        <w:rPr>
          <w:vertAlign w:val="superscript"/>
        </w:rPr>
        <w:t>+</w:t>
      </w:r>
      <w:r>
        <w:t xml:space="preserve">. Galvanostatic-intermittent-titration-technique (GITT) was applied during the first discharge </w:t>
      </w:r>
      <w:r>
        <w:rPr>
          <w:b/>
        </w:rPr>
        <w:t>(Figure 3a)</w:t>
      </w:r>
      <w:r>
        <w:t>.</w:t>
      </w:r>
      <w:r>
        <w:fldChar w:fldCharType="begin"/>
      </w:r>
      <w:r w:rsidR="00CA4C4F">
        <w:instrText xml:space="preserve"> ADDIN ZOTERO_ITEM CSL_CITATION {"citationID":"j6R6dnSm","properties":{"formattedCitation":"[22]","plainCitation":"[22]","noteIndex":0},"citationItems":[{"id":4697,"uris":["http://zotero.org/users/4816088/items/HPFWIT8F"],"uri":["http://zotero.org/users/4816088/items/HPFWIT8F"],"itemData":{"id":4697,"type":"article-journal","title":"Determination of the Kinetic Parameters of Mixed</w:instrText>
      </w:r>
      <w:r w:rsidR="00CA4C4F">
        <w:rPr>
          <w:rFonts w:ascii="Cambria Math" w:hAnsi="Cambria Math" w:cs="Cambria Math"/>
        </w:rPr>
        <w:instrText>‐</w:instrText>
      </w:r>
      <w:r w:rsidR="00CA4C4F">
        <w:instrText>Conducting Electrodes and Application to the System Li3Sb","container-title":"Journal of The Electrochemical Society","page":"1569-1578","volume":"124","issue":"10","source":"jes.ecsdl.org","abstract":"An electrochemical galvanostatic intermittent titration technique (GITT) is described which combines both transient and steady</w:instrText>
      </w:r>
      <w:r w:rsidR="00CA4C4F">
        <w:rPr>
          <w:rFonts w:ascii="Cambria Math" w:hAnsi="Cambria Math" w:cs="Cambria Math"/>
        </w:rPr>
        <w:instrText>‐</w:instrText>
      </w:r>
      <w:r w:rsidR="00CA4C4F">
        <w:instrText>state measurements to obtain kinetic properties of solid mixed</w:instrText>
      </w:r>
      <w:r w:rsidR="00CA4C4F">
        <w:rPr>
          <w:rFonts w:ascii="Cambria Math" w:hAnsi="Cambria Math" w:cs="Cambria Math"/>
        </w:rPr>
        <w:instrText>‐</w:instrText>
      </w:r>
      <w:r w:rsidR="00CA4C4F">
        <w:instrText xml:space="preserve">conducting electrodes, as well as thermodynamic data. The derivation of quantities such as the chemical and component diffusion coefficients, the partial conductivity, the mobility, the thermodynamic enhancement factor, and the parabolic rate constant as a function of stoichiometry is presented. A description of the factors governing the equilibration of composition gradients in such phases is included. The technique is applied to the determination of the kinetic parameters of the compound which has a narrow composition range. For the chemical diffusion coefficient is at 360°C. This value is quite high, due to a large thermodynamic enhancement factor of . The lithium component diffusion coefficient is comparatively small at this composition, . The partial conductivity and electrical mobility of lithium are and , respectively, at the same stoichiometry and temperature. Because of the very large values of the chemical diffusion coefficient and the fact that 3 moles of lithium can react per mole of antimony, this system may be of interest for use in new types of secondary batteries.","DOI":"10.1149/1.2133112","ISSN":"0013-4651, 1945-7111","journalAbbreviation":"J. Electrochem. Soc.","language":"en","author":[{"family":"Weppner","given":"W."},{"family":"Huggins","given":"R. A."}],"issued":{"date-parts":[["1977",1,10]]}}}],"schema":"https://github.com/citation-style-language/schema/raw/master/csl-citation.json"} </w:instrText>
      </w:r>
      <w:r>
        <w:fldChar w:fldCharType="separate"/>
      </w:r>
      <w:r w:rsidR="00CA4C4F" w:rsidRPr="00CA4C4F">
        <w:rPr>
          <w:rFonts w:cs="Times"/>
        </w:rPr>
        <w:t>[22]</w:t>
      </w:r>
      <w:r>
        <w:fldChar w:fldCharType="end"/>
      </w:r>
      <w:r>
        <w:t xml:space="preserve"> The absence of a constant voltage plateau is consistent with a co-intercalation mechanism occurring via a solid-solution behavior, in contrast with the phase transformation mechanism</w:t>
      </w:r>
      <w:r>
        <w:fldChar w:fldCharType="begin"/>
      </w:r>
      <w:r>
        <w:instrText xml:space="preserve"> ADDIN ZOTERO_ITEM CSL_CITATION {"citationID":"QVYAqiZE","properties":{"formattedCitation":"[19]","plainCitation":"[19]","noteIndex":0},"citationItems":[{"id":525,"uris":["http://zotero.org/users/4816088/items/H8VGHRKB"],"uri":["http://zotero.org/users/4816088/items/H8VGHRKB"],"itemData":{"id":525,"type":"article-journal","title":"Large Impact of Particle Size on Insertion Reactions. A Case for Anatase LixTiO2","container-title":"Journal of the American Chemical Society","page":"4323-4327","volume":"129","issue":"14","source":"ACS Publications","abstract":"Insertion reactions are of key importance for Li ion and hydrogen storage materials and energy storage devices. The particle size dependence of insertion reactions has been investigated for lithiated anatase TiO2, revealing progressively increasing Li capacity and Li-ion solubility for decreasing particle sizes, strongly deviating from the expected Li-rich and Li-poor phase separation as occurs in the bulk material. The phase diagram alters significantly, changing the materials properties already at sizes as large as 40 nm. A rationale is found in the surface strain that occurs between the different intercalated phases, which becomes energetically too costly in small particles. In particular the observed particle size-induced solid solution behavior is expected to have fundamental and practical implications for two-phase lithium or hydrogen insertion reactions.","DOI":"10.1021/ja067733p","ISSN":"0002-7863","journalAbbreviation":"J. Am. Chem. Soc.","author":[{"family":"Wagemaker","given":"Marnix"},{"family":"Borghols","given":"Wouter J. H."},{"family":"Mulder","given":"Fokko M."}],"issued":{"date-parts":[["2007",4,1]]}}}],"schema":"https://github.com/citation-style-language/schema/raw/master/csl-citation.json"} </w:instrText>
      </w:r>
      <w:r>
        <w:fldChar w:fldCharType="separate"/>
      </w:r>
      <w:r w:rsidRPr="003056E0">
        <w:rPr>
          <w:rFonts w:cs="Times"/>
        </w:rPr>
        <w:t>[19]</w:t>
      </w:r>
      <w:r>
        <w:fldChar w:fldCharType="end"/>
      </w:r>
      <w:r>
        <w:t xml:space="preserve"> observed for stoichiometric TiO</w:t>
      </w:r>
      <w:r>
        <w:rPr>
          <w:vertAlign w:val="subscript"/>
        </w:rPr>
        <w:t>2</w:t>
      </w:r>
      <w:r>
        <w:t>.</w:t>
      </w:r>
      <w:r>
        <w:rPr>
          <w:color w:val="FF0000"/>
        </w:rPr>
        <w:t xml:space="preserve"> </w:t>
      </w:r>
      <w:r>
        <w:t>This solid solution behavior was previously observed for pure Li</w:t>
      </w:r>
      <w:r>
        <w:rPr>
          <w:vertAlign w:val="superscript"/>
        </w:rPr>
        <w:t>+</w:t>
      </w:r>
      <w:r>
        <w:t xml:space="preserve"> and Mg</w:t>
      </w:r>
      <w:r>
        <w:rPr>
          <w:vertAlign w:val="superscript"/>
        </w:rPr>
        <w:t>2+</w:t>
      </w:r>
      <w:r>
        <w:t xml:space="preserve"> intercalation chemistries in Ti</w:t>
      </w:r>
      <w:r>
        <w:rPr>
          <w:vertAlign w:val="subscript"/>
        </w:rPr>
        <w:t>0.78</w:t>
      </w:r>
      <w:r>
        <w:sym w:font="Wingdings" w:char="F0A8"/>
      </w:r>
      <w:r>
        <w:rPr>
          <w:vertAlign w:val="subscript"/>
        </w:rPr>
        <w:t>0.22</w:t>
      </w:r>
      <w:r>
        <w:t>O</w:t>
      </w:r>
      <w:r>
        <w:rPr>
          <w:vertAlign w:val="subscript"/>
        </w:rPr>
        <w:t>1.12</w:t>
      </w:r>
      <w:r>
        <w:t>F</w:t>
      </w:r>
      <w:r>
        <w:rPr>
          <w:vertAlign w:val="subscript"/>
        </w:rPr>
        <w:t>0.40</w:t>
      </w:r>
      <w:r>
        <w:t>(OH)</w:t>
      </w:r>
      <w:r>
        <w:rPr>
          <w:vertAlign w:val="subscript"/>
        </w:rPr>
        <w:t>0.48</w:t>
      </w:r>
      <w:r>
        <w:t xml:space="preserve"> and was attributed to the presence of cationic vacancies and heterogeneous anion environments, that suppress the formation of pairs of edge-sharing LiO</w:t>
      </w:r>
      <w:r>
        <w:rPr>
          <w:vertAlign w:val="subscript"/>
        </w:rPr>
        <w:t>6</w:t>
      </w:r>
      <w:r>
        <w:t xml:space="preserve"> octahedra associated with the tetragonal to orthorhombic phase transition in pure TiO</w:t>
      </w:r>
      <w:r>
        <w:rPr>
          <w:vertAlign w:val="subscript"/>
        </w:rPr>
        <w:t>2</w:t>
      </w:r>
      <w:r>
        <w:t>.</w:t>
      </w:r>
      <w:r>
        <w:fldChar w:fldCharType="begin"/>
      </w:r>
      <w:r w:rsidR="00CA4C4F">
        <w:instrText xml:space="preserve"> ADDIN ZOTERO_ITEM CSL_CITATION {"citationID":"kgmmF95s","properties":{"formattedCitation":"[16,17,23,24]","plainCitation":"[16,17,23,24]","noteIndex":0},"citationItems":[{"id":978,"uris":["http://zotero.org/users/4816088/items/C6AZCH5Z"],"uri":["http://zotero.org/users/4816088/items/C6AZCH5Z"],"itemData":{"id":978,"type":"article-journal","title":"Reversible magnesium and aluminium ions insertion in cation-deficient anatase TiO&lt;sub&gt;2&lt;/sub&gt;","container-title":"Nature Materials","page":"1142","volume":"16","issue":"11","source":"www.nature.com","abstract":"&lt;p&gt;Compared to monovalent lithium or sodium ions, the reversible insertion of multivalent ions into battery electrodes has proved challenging. An aliovalent doping strategy involving reversible Mg&lt;sup&gt;2+&lt;/sup&gt; and Al&lt;sup&gt;3+&lt;/sup&gt; insertion in anatase TiO&lt;sub&gt;2&lt;/sub&gt; is now reported.&lt;/p&gt;","DOI":"10.1038/nmat4976","ISSN":"1476-4660","language":"En","author":[{"family":"Koketsu","given":"Toshinari"},{"family":"Ma","given":"Jiwei"},{"family":"Morgan","given":"Benjamin J."},{"family":"Body","given":"Monique"},{"family":"Legein","given":"Christophe"},{"family":"Dachraoui","given":"Walid"},{"family":"Giannini","given":"Mattia"},{"family":"Demortière","given":"Arnaud"},{"family":"Salanne","given":"Mathieu"},{"family":"Dardoize","given":"François"},{"family":"Groult","given":"Henri"},{"family":"Borkiewicz","given":"Olaf J."},{"family":"Chapman","given":"Karena W."},{"family":"Strasser","given":"Peter"},{"family":"Dambournet","given":"Damien"}],"issued":{"date-parts":[["2017",11]]}}},{"id":205,"uris":["http://zotero.org/users/4816088/items/6ZHA6KTE"],"uri":["http://zotero.org/users/4816088/items/6ZHA6KTE"],"itemData":{"id":205,"type":"article-journal","title":"High Substitution Rate in TiO2 Anatase Nanoparticles with Cationic Vacancies for Fast Lithium Storage","container-title":"Chemistry of Materials","page":"5014-5019","volume":"27","issue":"14","source":"ACS Publications","abstract":"Doping is generally used to tune and enhance the properties of metal oxides. However, their chemical composition cannot be readily modified beyond low dopant amounts without disrupting the crystalline atomic structure. In the case of anatase TiO2, we introduce a new solution-based chemical route allowing the composition to be significantly modified, substituting the divalent O2? anions by monovalent F? and OH? anions resulting in the formation of cationic Ti4+ vacancies (?) whose concentration can be controlled by the reaction temperature. The resulting polyanionic anatase has the general composition Ti1?x?y?x+yO2?4(x+y)F4x(OH)4y, reaching vacancy concentrations of up to 22%, i.e., Ti0.78?0.22O1.12F0.4(OH)0.48. Solid-state 19F NMR spectroscopy reveals that fluoride ions can accommodate up to three different environments, depending on Ti and vacancies (i.e. Ti3-F, Ti2?1-F, and Ti1?2-F), with a preferential location close to vacancies. DFT calculations further confirm the fluoride/vacancy ordering. When its characteristics were evaluated as an electrode for reversible Li-ion storage, the material shows a modified lithium reaction mechanism, which has been rationalized by the occurrence of cationic vacancies acting as additional lithium hosting sites within the anatase framework. Finally, the material shows a fast discharging/charging behavior, compared to TiO2, highlighting the benefits of the structural modifications and paving the way for the design of advanced electrode materials, based on a defect mediated mechanism.","DOI":"10.1021/acs.chemmater.5b01407","ISSN":"0897-4756","journalAbbreviation":"Chem. Mater.","author":[{"family":"Li","given":"Wei"},{"family":"Corradini","given":"Dario"},{"family":"Body","given":"Monique"},{"family":"Legein","given":"Christophe"},{"family":"Salanne","given":"Mathieu"},{"family":"Ma","given":"Jiwei"},{"family":"Chapman","given":"Karena W."},{"family":"Chupas","given":"Peter J."},{"family":"Rollet","given":"Anne-Laure"},{"family":"Julien","given":"Christian"},{"family":"Zhagib","given":"Karim"},{"family":"Duttine","given":"Mathieu"},{"family":"Demourgues","given":"Alain"},{"family":"Groult","given":"Henri"},{"family":"Dambournet","given":"Damien"}],"issued":{"date-parts":[["2015",7,28]]}}},{"id":451,"uris":["http://zotero.org/users/4816088/items/AE562TXH"],"uri":["http://zotero.org/users/4816088/items/AE562TXH"],"itemData":{"id":451,"type":"article-journal","title":"Role of Lithium Ordering in the LixTiO2 Anatase → Titanate Phase Transition","container-title":"The Journal of Physical Chemistry Letters","page":"1657-1661","volume":"2","issue":"14","source":"ACS Publications","abstract":"The mechanism of the tetragonal ↔ orthorhombic phase separation of Li-intercalated anatase TiO2 has previously been proposed to be a cooperative Jahn–Teller distortion due to occupation of low-lying Ti 3dxz,yz orbitals. Using density functional calculations, we show that the orthorhombic distortion of Li0.5TiO2 is not a purely electronic phenomenon and that intercalated Li plays a critical role. For a 2 × 1 × 1 expanded supercell for 0 ≤ x(Li) ≤ 1, the intercalation voltage is minimized for x(Li) = 0.5. The low-energy structures display a common structural motif of edge-sharing pairs of LiO6 octahedra, which allows all Li to adopt favorable oxygen coordination. Long-ranged disorder of these subunits explains the apparent random Li distribution seen in experimental diffraction data.","DOI":"10.1021/jz200718e","ISSN":"1948-7185","journalAbbreviation":"J. Phys. Chem. Lett.","author":[{"family":"Morgan","given":"Benjamin J."},{"family":"Watson","given":"Graeme W."}],"issued":{"date-parts":[["2011",7,21]]}}},{"id":4989,"uris":["http://zotero.org/users/4816088/items/S3BFKN7L"],"uri":["http://zotero.org/users/4816088/items/S3BFKN7L"],"itemData":{"id":4989,"type":"article-journal","title":"Kinetics of Anatase Electrodes: The Role of Ordering, Anisotropy, and Shape Memory Effects","container-title":"Chemistry of Materials","page":"2894-2898","volume":"24","issue":"15","source":"ACS Publications","abstract":"We perform a comprehensive first-principles statistical mechanical study of the thermodynamic and kinetic properties of lithiated anatase LixTiO2. We establish that the experimentally observed step in the voltage vs lithium composition curve between x = 0.5 and 0.6 is due to Li ordering. Furthermore, we predict that full lithiation of anatase TiO2 is thermodynamically possible at positive voltages but that there is an enormous difference in Li diffusion coefficients in the dilute and fully lithiated forms of TiO2, providing an explanation for the limited capacity in large electrode particles. We also predict that Li diffusion in the ordered phase (Li0.5TiO2) is strictly one-dimensional. The TiO2 to Li0.5TiO2 phase transition has much in common with shape memory alloys. Crystallographically, it can support strain invariant interfaces separating TiO2 and Li0.5TiO2 within the same particle. The strain invariant interfaces are parallel to the one-dimensional diffusion direction in Li0.5TiO2, which, we argue, has important consequences for the role of particle shape on achievable capacity, charge and discharge rates, and hysteresis.","DOI":"10.1021/cm300881t","ISSN":"0897-4756","shortTitle":"Kinetics of Anatase Electrodes","journalAbbreviation":"Chem. Mater.","author":[{"family":"Belak","given":"Anna A."},{"family":"Wang","given":"Yizhou"},{"family":"Van der Ven","given":"Anton"}],"issued":{"date-parts":[["2012",8,14]]}}}],"schema":"https://github.com/citation-style-language/schema/raw/master/csl-citation.json"} </w:instrText>
      </w:r>
      <w:r>
        <w:fldChar w:fldCharType="separate"/>
      </w:r>
      <w:r w:rsidR="00CA4C4F" w:rsidRPr="00CA4C4F">
        <w:rPr>
          <w:rFonts w:cs="Times"/>
        </w:rPr>
        <w:t>[16,17,23,24]</w:t>
      </w:r>
      <w:r>
        <w:fldChar w:fldCharType="end"/>
      </w:r>
      <w:r>
        <w:t xml:space="preserve"> Moreover, GITT allows the equilibrium potential to be determined at different states of discharge. The difference between the measured potential and the equilibrium potential represents the overpotential (</w:t>
      </w:r>
      <w:r>
        <w:sym w:font="Symbol" w:char="F068"/>
      </w:r>
      <w:r>
        <w:t>), which includes contributions from charge- and mass-transfer kinetics, and other chemical events.</w:t>
      </w:r>
      <w:r>
        <w:fldChar w:fldCharType="begin"/>
      </w:r>
      <w:r w:rsidR="00CA4C4F">
        <w:instrText xml:space="preserve"> ADDIN ZOTERO_ITEM CSL_CITATION {"citationID":"GhjWsYOg","properties":{"formattedCitation":"[22]","plainCitation":"[22]","noteIndex":0},"citationItems":[{"id":4697,"uris":["http://zotero.org/users/4816088/items/HPFWIT8F"],"uri":["http://zotero.org/users/4816088/items/HPFWIT8F"],"itemData":{"id":4697,"type":"article-journal","title":"Determination of the Kinetic Parameters of Mixed</w:instrText>
      </w:r>
      <w:r w:rsidR="00CA4C4F">
        <w:rPr>
          <w:rFonts w:ascii="Cambria Math" w:hAnsi="Cambria Math" w:cs="Cambria Math"/>
        </w:rPr>
        <w:instrText>‐</w:instrText>
      </w:r>
      <w:r w:rsidR="00CA4C4F">
        <w:instrText>Conducting Electrodes and Application to the System Li3Sb","container-title":"Journal of The Electrochemical Society","page":"1569-1578","volume":"124","issue":"10","source":"jes.ecsdl.org","abstract":"An electrochemical galvanostatic intermittent titration technique (GITT) is described which combines both transient and steady</w:instrText>
      </w:r>
      <w:r w:rsidR="00CA4C4F">
        <w:rPr>
          <w:rFonts w:ascii="Cambria Math" w:hAnsi="Cambria Math" w:cs="Cambria Math"/>
        </w:rPr>
        <w:instrText>‐</w:instrText>
      </w:r>
      <w:r w:rsidR="00CA4C4F">
        <w:instrText>state measurements to obtain kinetic properties of solid mixed</w:instrText>
      </w:r>
      <w:r w:rsidR="00CA4C4F">
        <w:rPr>
          <w:rFonts w:ascii="Cambria Math" w:hAnsi="Cambria Math" w:cs="Cambria Math"/>
        </w:rPr>
        <w:instrText>‐</w:instrText>
      </w:r>
      <w:r w:rsidR="00CA4C4F">
        <w:instrText xml:space="preserve">conducting electrodes, as well as thermodynamic data. The derivation of quantities such as the chemical and component diffusion coefficients, the partial conductivity, the mobility, the thermodynamic enhancement factor, and the parabolic rate constant as a function of stoichiometry is presented. A description of the factors governing the equilibration of composition gradients in such phases is included. The technique is applied to the determination of the kinetic parameters of the compound which has a narrow composition range. For the chemical diffusion coefficient is at 360°C. This value is quite high, due to a large thermodynamic enhancement factor of . The lithium component diffusion coefficient is comparatively small at this composition, . The partial conductivity and electrical mobility of lithium are and , respectively, at the same stoichiometry and temperature. Because of the very large values of the chemical diffusion coefficient and the fact that 3 moles of lithium can react per mole of antimony, this system may be of interest for use in new types of secondary batteries.","DOI":"10.1149/1.2133112","ISSN":"0013-4651, 1945-7111","journalAbbreviation":"J. Electrochem. Soc.","language":"en","author":[{"family":"Weppner","given":"W."},{"family":"Huggins","given":"R. A."}],"issued":{"date-parts":[["1977",1,10]]}}}],"schema":"https://github.com/citation-style-language/schema/raw/master/csl-citation.json"} </w:instrText>
      </w:r>
      <w:r>
        <w:fldChar w:fldCharType="separate"/>
      </w:r>
      <w:r w:rsidR="00CA4C4F" w:rsidRPr="00CA4C4F">
        <w:rPr>
          <w:rFonts w:cs="Times"/>
        </w:rPr>
        <w:t>[22]</w:t>
      </w:r>
      <w:r>
        <w:fldChar w:fldCharType="end"/>
      </w:r>
      <w:r>
        <w:t xml:space="preserve"> Although the physical origin of the rate-determining step in the overpotential cannot be simply identified,</w:t>
      </w:r>
      <w:r>
        <w:fldChar w:fldCharType="begin"/>
      </w:r>
      <w:r w:rsidR="00CA4C4F">
        <w:instrText xml:space="preserve"> ADDIN ZOTERO_ITEM CSL_CITATION {"citationID":"PH3YPplZ","properties":{"formattedCitation":"[25]","plainCitation":"[25]","noteIndex":0},"citationItems":[{"id":4700,"uris":["http://zotero.org/users/4816088/items/9PMAXK3P"],"uri":["http://zotero.org/users/4816088/items/9PMAXK3P"],"itemData":{"id":4700,"type":"article-journal","title":"High rate capabilities Fe&lt;sub&gt;3&lt;/sub&gt;O&lt;sub&gt;4&lt;/sub&gt;-based Cu nano-architectured electrodes for lithium-ion battery applications","container-title":"Nature Materials","page":"567-573","volume":"5","issue":"7","source":"www.nature.com","abstract":"All battery technologies are known to suffer from kinetic problems linked to the solid-state diffusion of Li in intercalation electrodes, the conductivity of the electrolyte in some cases and the quality of interfaces. For Li-ion technology the latter effect is especially acute when conversion rather than intercalation electrodes are used. Nano-architectured electrodes are usually suggested to enhance kinetics, although their realization is cumbersome. To tackle this issue for the conversion electrode material Fe3O4, we have used a two-step electrode design consisting of the electrochemically assisted template growth of Cu nanorods onto a current collector followed by electrochemical plating of Fe3O4. Using such electrodes, we demonstrate a factor of six improvement in power density over planar electrodes while maintaining the same total discharge time. The capacity at the 8C rate was 80% of the total capacity and was sustained over 100 cycles. The origin of the large hysteresis between charge and discharge, intrinsic to conversion reactions, is discussed and approaches to reduce it are proposed. We hope that such findings will help pave the way for the use of conversion reaction electrodes in future-generation Li-ion batteries.","DOI":"10.1038/nmat1672","ISSN":"1476-4660","language":"en","author":[{"family":"Taberna","given":"P. L."},{"family":"Mitra","given":"S."},{"family":"Poizot","given":"P."},{"family":"Simon","given":"P."},{"family":"Tarascon","given":"J.-M."}],"issued":{"date-parts":[["2006",7]]}}}],"schema":"https://github.com/citation-style-language/schema/raw/master/csl-citation.json"} </w:instrText>
      </w:r>
      <w:r>
        <w:fldChar w:fldCharType="separate"/>
      </w:r>
      <w:r w:rsidR="00CA4C4F" w:rsidRPr="00CA4C4F">
        <w:rPr>
          <w:rFonts w:cs="Times"/>
        </w:rPr>
        <w:t>[25]</w:t>
      </w:r>
      <w:r>
        <w:fldChar w:fldCharType="end"/>
      </w:r>
      <w:r>
        <w:t xml:space="preserve"> we have compared the overpotential measured with and without lithium in the electrolyte </w:t>
      </w:r>
      <w:r>
        <w:rPr>
          <w:b/>
        </w:rPr>
        <w:t>(Figure 3a)</w:t>
      </w:r>
      <w:r>
        <w:t>. The intercalation of Mg</w:t>
      </w:r>
      <w:r>
        <w:rPr>
          <w:vertAlign w:val="superscript"/>
        </w:rPr>
        <w:t>2+</w:t>
      </w:r>
      <w:r>
        <w:t xml:space="preserve"> within Ti</w:t>
      </w:r>
      <w:r>
        <w:rPr>
          <w:vertAlign w:val="subscript"/>
        </w:rPr>
        <w:t>0.78</w:t>
      </w:r>
      <w:r>
        <w:sym w:font="Wingdings" w:char="F0A8"/>
      </w:r>
      <w:r>
        <w:rPr>
          <w:vertAlign w:val="subscript"/>
        </w:rPr>
        <w:t>0.22</w:t>
      </w:r>
      <w:r>
        <w:t>O</w:t>
      </w:r>
      <w:r>
        <w:rPr>
          <w:vertAlign w:val="subscript"/>
        </w:rPr>
        <w:t>1.12</w:t>
      </w:r>
      <w:r>
        <w:t>F</w:t>
      </w:r>
      <w:r>
        <w:rPr>
          <w:vertAlign w:val="subscript"/>
        </w:rPr>
        <w:t>0.40</w:t>
      </w:r>
      <w:r>
        <w:t>(OH)</w:t>
      </w:r>
      <w:r>
        <w:rPr>
          <w:vertAlign w:val="subscript"/>
        </w:rPr>
        <w:t>0.48</w:t>
      </w:r>
      <w:r>
        <w:t xml:space="preserve"> induces a progressive increase of the overpotential, which may be related to the concentration dependence of the solid-state diffusion of Mg</w:t>
      </w:r>
      <w:r>
        <w:rPr>
          <w:vertAlign w:val="superscript"/>
        </w:rPr>
        <w:t>2+</w:t>
      </w:r>
      <w:r>
        <w:t>within the anatase framework.</w:t>
      </w:r>
      <w:r>
        <w:fldChar w:fldCharType="begin"/>
      </w:r>
      <w:r w:rsidR="00CA4C4F">
        <w:instrText xml:space="preserve"> ADDIN ZOTERO_ITEM CSL_CITATION {"citationID":"cpa81DAC","properties":{"formattedCitation":"[16,26]","plainCitation":"[16,26]","noteIndex":0},"citationItems":[{"id":978,"uris":["http://zotero.org/users/4816088/items/C6AZCH5Z"],"uri":["http://zotero.org/users/4816088/items/C6AZCH5Z"],"itemData":{"id":978,"type":"article-journal","title":"Reversible magnesium and aluminium ions insertion in cation-deficient anatase TiO&lt;sub&gt;2&lt;/sub&gt;","container-title":"Nature Materials","page":"1142","volume":"16","issue":"11","source":"www.nature.com","abstract":"&lt;p&gt;Compared to monovalent lithium or sodium ions, the reversible insertion of multivalent ions into battery electrodes has proved challenging. An aliovalent doping strategy involving reversible Mg&lt;sup&gt;2+&lt;/sup&gt; and Al&lt;sup&gt;3+&lt;/sup&gt; insertion in anatase TiO&lt;sub&gt;2&lt;/sub&gt; is now reported.&lt;/p&gt;","DOI":"10.1038/nmat4976","ISSN":"1476-4660","language":"En","author":[{"family":"Koketsu","given":"Toshinari"},{"family":"Ma","given":"Jiwei"},{"family":"Morgan","given":"Benjamin J."},{"family":"Body","given":"Monique"},{"family":"Legein","given":"Christophe"},{"family":"Dachraoui","given":"Walid"},{"family":"Giannini","given":"Mattia"},{"family":"Demortière","given":"Arnaud"},{"family":"Salanne","given":"Mathieu"},{"family":"Dardoize","given":"François"},{"family":"Groult","given":"Henri"},{"family":"Borkiewicz","given":"Olaf J."},{"family":"Chapman","given":"Karena W."},{"family":"Strasser","given":"Peter"},{"family":"Dambournet","given":"Damien"}],"issued":{"date-parts":[["2017",11]]}}},{"id":4707,"uris":["http://zotero.org/users/4816088/items/PCLUHDVV"],"uri":["http://zotero.org/users/4816088/items/PCLUHDVV"],"itemData":{"id":4707,"type":"article-journal","title":"Controlled hydroxy-fluorination reaction of anatase to promote Mg2+ mobility in rechargeable magnesium batteries","container-title":"Chemical Communications","page":"10080-10083","volume":"54","issue":"72","source":"pubs.rsc.org","abstract":"In anatase TiO2, substituting oxide anions with singly charged (F,OH) anions allows the controlled formation of cation vacancies, which act as reversible intercalation sites for Mg2+. We show that ion-transport (diffusion coefficients) and intercalation (reversible capacity) properties are controlled by two critical parameters: the vacancy concentration and the local anionic environment. Our results emphasise the complexity of this behaviour, and highlight the potential benefits of chemically controlling cationic-defects in electrode materials for rechargeable multivalent-ion batteries.","DOI":"10.1039/C8CC04136A","ISSN":"1364-548X","journalAbbreviation":"Chem. Commun.","language":"en","author":[{"family":"Ma","given":"Jiwei"},{"family":"Koketsu","given":"Toshinari"},{"family":"Morgan","given":"Benjamin J."},{"family":"Legein","given":"Christophe"},{"family":"Body","given":"Monique"},{"family":"Strasser","given":"Peter"},{"family":"Dambournet","given":"Damien"}],"issued":{"date-parts":[["2018",9,6]]}}}],"schema":"https://github.com/citation-style-language/schema/raw/master/csl-citation.json"} </w:instrText>
      </w:r>
      <w:r>
        <w:fldChar w:fldCharType="separate"/>
      </w:r>
      <w:r w:rsidR="00CA4C4F" w:rsidRPr="00CA4C4F">
        <w:rPr>
          <w:rFonts w:cs="Times"/>
        </w:rPr>
        <w:t>[16,26]</w:t>
      </w:r>
      <w:r>
        <w:fldChar w:fldCharType="end"/>
      </w:r>
      <w:r>
        <w:t xml:space="preserve"> On the other hand, the presence of lithium induces a noticeable </w:t>
      </w:r>
      <w:r>
        <w:lastRenderedPageBreak/>
        <w:t>decrease of the overpotential even though the total number of inserted ions is far greater using the hybrid electrolyte.</w:t>
      </w:r>
    </w:p>
    <w:p w14:paraId="2C8D5AFF" w14:textId="77777777" w:rsidR="003056E0" w:rsidRPr="001C2BB1" w:rsidRDefault="003056E0" w:rsidP="003056E0">
      <w:pPr>
        <w:spacing w:line="480" w:lineRule="auto"/>
      </w:pPr>
      <w:r>
        <w:t xml:space="preserve">To further understand the dual-ion intercalation mechanism, the number of ions inserted during the first discharge was assessed by ICP-AES </w:t>
      </w:r>
      <w:r>
        <w:rPr>
          <w:b/>
        </w:rPr>
        <w:t>(Figure 3b)</w:t>
      </w:r>
      <w:r>
        <w:t>. This revealed that co-intercalation of Li</w:t>
      </w:r>
      <w:r>
        <w:rPr>
          <w:vertAlign w:val="superscript"/>
        </w:rPr>
        <w:t>+</w:t>
      </w:r>
      <w:r>
        <w:t xml:space="preserve"> and Mg</w:t>
      </w:r>
      <w:r>
        <w:rPr>
          <w:vertAlign w:val="superscript"/>
        </w:rPr>
        <w:t>2+</w:t>
      </w:r>
      <w:r>
        <w:t xml:space="preserve"> occurs simultaneously during the whole discharge process. Such a behavior is in contrast with the Mg-Li dual ion insertion mechanism studied by Ichitsubo et </w:t>
      </w:r>
      <w:r>
        <w:rPr>
          <w:i/>
        </w:rPr>
        <w:t>al</w:t>
      </w:r>
      <w:r>
        <w:t>.</w:t>
      </w:r>
      <w:r>
        <w:fldChar w:fldCharType="begin"/>
      </w:r>
      <w:r>
        <w:instrText xml:space="preserve"> ADDIN ZOTERO_ITEM CSL_CITATION {"citationID":"mXU30B68","properties":{"formattedCitation":"[15]","plainCitation":"[15]","noteIndex":0},"citationItems":[{"id":4710,"uris":["http://zotero.org/users/4816088/items/64J2U3FP"],"uri":["http://zotero.org/users/4816088/items/64J2U3FP"],"itemData":{"id":4710,"type":"article-journal","title":"Fast Diffusion of Multivalent Ions Facilitated by Concerted Interactions in Dual-Ion Battery Systems","container-title":"Advanced Energy Materials","page":"1801475","volume":"8","issue":"27","source":"Wiley Online Library","abstract":"Sluggish solid-phase diffusion has been an essential issue in developing intercalation electrode materials using multivalent ions. Compared to monovalent Li ions, the diffusion of multivalent ions is still not well understood. Here, combining first-principles calculations with electrochemical experiments, it is shown that the diffusion of divalent Mg ions is significantly facilitated in Li–Mg dual-ion systems, and the activation energy is remarkably reduced by the concerted interactions of the preceding Li ions and following Mg ions. Thus, making dual-ion systems is a promising way to construct high-energy-density, rechargeable batteries with multivalent ions. This work will provide a new perspective on solid-phase diffusion that is typically a rate-controlling process in battery systems and fuel cell devices.","DOI":"10.1002/aenm.201801475","ISSN":"1614-6840","language":"en","author":[{"family":"Li","given":"Hongyi"},{"family":"Okamoto","given":"Norihiko L."},{"family":"Hatakeyama","given":"Takuya"},{"family":"Kumagai","given":"Yu"},{"family":"Oba","given":"Fumiyasu"},{"family":"Ichitsubo","given":"Tetsu"}],"issued":{"date-parts":[["2018",9,1]]}}}],"schema":"https://github.com/citation-style-language/schema/raw/master/csl-citation.json"} </w:instrText>
      </w:r>
      <w:r>
        <w:fldChar w:fldCharType="separate"/>
      </w:r>
      <w:r w:rsidRPr="003056E0">
        <w:rPr>
          <w:rFonts w:cs="Times"/>
        </w:rPr>
        <w:t>[15]</w:t>
      </w:r>
      <w:r>
        <w:fldChar w:fldCharType="end"/>
      </w:r>
      <w:r>
        <w:t xml:space="preserve"> who observed that Mg insertion occurs after the preferential intercalation of Li</w:t>
      </w:r>
      <w:r>
        <w:rPr>
          <w:vertAlign w:val="superscript"/>
        </w:rPr>
        <w:t>+</w:t>
      </w:r>
      <w:r>
        <w:t xml:space="preserve"> ions within Mo</w:t>
      </w:r>
      <w:r>
        <w:rPr>
          <w:vertAlign w:val="subscript"/>
        </w:rPr>
        <w:t>6</w:t>
      </w:r>
      <w:r>
        <w:t>S</w:t>
      </w:r>
      <w:r>
        <w:rPr>
          <w:vertAlign w:val="subscript"/>
        </w:rPr>
        <w:t>8</w:t>
      </w:r>
      <w:r>
        <w:t xml:space="preserve"> host structure. At the end of the reduction, the inserted Mg</w:t>
      </w:r>
      <w:r>
        <w:rPr>
          <w:vertAlign w:val="superscript"/>
        </w:rPr>
        <w:t>2+</w:t>
      </w:r>
      <w:r>
        <w:t xml:space="preserve"> stoichiometry is 0.18, which is lower than in the </w:t>
      </w:r>
      <w:r w:rsidRPr="001C2BB1">
        <w:t>case of pure APC electrolyte. In the latter case, Mg</w:t>
      </w:r>
      <w:r w:rsidRPr="001C2BB1">
        <w:rPr>
          <w:vertAlign w:val="superscript"/>
        </w:rPr>
        <w:t>2+</w:t>
      </w:r>
      <w:r w:rsidRPr="001C2BB1">
        <w:t xml:space="preserve"> ions are selectively inserted and fully occupy the titanium vacancies, giving a final Mg stoichiometry of 0.22.</w:t>
      </w:r>
      <w:r w:rsidRPr="001C2BB1">
        <w:fldChar w:fldCharType="begin"/>
      </w:r>
      <w:r w:rsidRPr="001C2BB1">
        <w:instrText xml:space="preserve"> ADDIN ZOTERO_ITEM CSL_CITATION {"citationID":"v52zaHf1","properties":{"formattedCitation":"[16]","plainCitation":"[16]","noteIndex":0},"citationItems":[{"id":978,"uris":["http://zotero.org/users/4816088/items/C6AZCH5Z"],"uri":["http://zotero.org/users/4816088/items/C6AZCH5Z"],"itemData":{"id":978,"type":"article-journal","title":"Reversible magnesium and aluminium ions insertion in cation-deficient anatase TiO&lt;sub&gt;2&lt;/sub&gt;","container-title":"Nature Materials","page":"1142","volume":"16","issue":"11","source":"www.nature.com","abstract":"&lt;p&gt;Compared to monovalent lithium or sodium ions, the reversible insertion of multivalent ions into battery electrodes has proved challenging. An aliovalent doping strategy involving reversible Mg&lt;sup&gt;2+&lt;/sup&gt; and Al&lt;sup&gt;3+&lt;/sup&gt; insertion in anatase TiO&lt;sub&gt;2&lt;/sub&gt; is now reported.&lt;/p&gt;","DOI":"10.1038/nmat4976","ISSN":"1476-4660","language":"En","author":[{"family":"Koketsu","given":"Toshinari"},{"family":"Ma","given":"Jiwei"},{"family":"Morgan","given":"Benjamin J."},{"family":"Body","given":"Monique"},{"family":"Legein","given":"Christophe"},{"family":"Dachraoui","given":"Walid"},{"family":"Giannini","given":"Mattia"},{"family":"Demortière","given":"Arnaud"},{"family":"Salanne","given":"Mathieu"},{"family":"Dardoize","given":"François"},{"family":"Groult","given":"Henri"},{"family":"Borkiewicz","given":"Olaf J."},{"family":"Chapman","given":"Karena W."},{"family":"Strasser","given":"Peter"},{"family":"Dambournet","given":"Damien"}],"issued":{"date-parts":[["2017",11]]}}}],"schema":"https://github.com/citation-style-language/schema/raw/master/csl-citation.json"} </w:instrText>
      </w:r>
      <w:r w:rsidRPr="001C2BB1">
        <w:fldChar w:fldCharType="separate"/>
      </w:r>
      <w:r w:rsidRPr="001C2BB1">
        <w:rPr>
          <w:rFonts w:cs="Times"/>
        </w:rPr>
        <w:t>[16]</w:t>
      </w:r>
      <w:r w:rsidRPr="001C2BB1">
        <w:fldChar w:fldCharType="end"/>
      </w:r>
      <w:r w:rsidRPr="001C2BB1">
        <w:t xml:space="preserve"> </w:t>
      </w:r>
      <w:r w:rsidR="00C84F96" w:rsidRPr="001C2BB1">
        <w:t xml:space="preserve">We suggest </w:t>
      </w:r>
      <w:r w:rsidRPr="001C2BB1">
        <w:t xml:space="preserve">that </w:t>
      </w:r>
      <w:r w:rsidR="00C84F96" w:rsidRPr="001C2BB1">
        <w:t xml:space="preserve">such a </w:t>
      </w:r>
      <w:r w:rsidRPr="001C2BB1">
        <w:t xml:space="preserve">difference </w:t>
      </w:r>
      <w:r w:rsidR="00C84F96" w:rsidRPr="001C2BB1">
        <w:t>might be due</w:t>
      </w:r>
      <w:r w:rsidRPr="001C2BB1">
        <w:t xml:space="preserve"> to a small fraction of Li</w:t>
      </w:r>
      <w:r w:rsidRPr="001C2BB1">
        <w:rPr>
          <w:vertAlign w:val="superscript"/>
        </w:rPr>
        <w:t>+</w:t>
      </w:r>
      <w:r w:rsidRPr="001C2BB1">
        <w:t xml:space="preserve"> (0.04 Li</w:t>
      </w:r>
      <w:r w:rsidRPr="001C2BB1">
        <w:rPr>
          <w:vertAlign w:val="superscript"/>
        </w:rPr>
        <w:t>+</w:t>
      </w:r>
      <w:r w:rsidRPr="001C2BB1">
        <w:t xml:space="preserve">) </w:t>
      </w:r>
      <w:r w:rsidR="00C84F96" w:rsidRPr="001C2BB1">
        <w:t xml:space="preserve">being inserted within </w:t>
      </w:r>
      <w:r w:rsidRPr="001C2BB1">
        <w:t>the titanium vacancy sites</w:t>
      </w:r>
      <w:r w:rsidR="009F3AC5" w:rsidRPr="001C2BB1">
        <w:t xml:space="preserve"> as further confirmed by DFT-calculations (see below)</w:t>
      </w:r>
      <w:r w:rsidRPr="001C2BB1">
        <w:t xml:space="preserve">. To probe the structural changes induced by the dual-ion intercalation, we used </w:t>
      </w:r>
      <w:r>
        <w:t>the pair distribution function (PDF) obtained by Fourier Transform of the total-scattering structure factors.</w:t>
      </w:r>
      <w:r>
        <w:fldChar w:fldCharType="begin"/>
      </w:r>
      <w:r w:rsidR="00CA4C4F">
        <w:instrText xml:space="preserve"> ADDIN ZOTERO_ITEM CSL_CITATION {"citationID":"iIr6M6BH","properties":{"formattedCitation":"[27]","plainCitation":"[27]","noteIndex":0},"citationItems":[{"id":2968,"uris":["http://zotero.org/users/4816088/items/5C9BM4F4"],"uri":["http://zotero.org/users/4816088/items/5C9BM4F4"],"itemData":{"id":2968,"type":"article-journal","title":"A comparison of various commonly used correlation functions for describing total scattering","container-title":"Journal of Applied Crystallography","page":"172-177","volume":"34","issue":"2","source":"journals.iucr.org","abstract":"Total scattering, an increasingly important crystallographic research area, is defined theoretically in terms of correlation functions. Different researchers use different definitions for these functions, frequently leading to confusion in the literature. Here, a consistent set of equations for total-scattering correlation functions are developed and explicitly compared with other, often encountered, definitions. It is hoped that this will lead to increased transparency for newcomers to the field of total scattering.","DOI":"10.1107/S0021889800019993","ISSN":"0021-8898","journalAbbreviation":"J Appl Cryst, J Appl Crystallogr","language":"en","author":[{"family":"Keen","given":"D. A."}],"issued":{"date-parts":[["2001",4,1]]}}}],"schema":"https://github.com/citation-style-language/schema/raw/master/csl-citation.json"} </w:instrText>
      </w:r>
      <w:r>
        <w:fldChar w:fldCharType="separate"/>
      </w:r>
      <w:r w:rsidR="00CA4C4F" w:rsidRPr="00CA4C4F">
        <w:rPr>
          <w:rFonts w:cs="Times"/>
        </w:rPr>
        <w:t>[27]</w:t>
      </w:r>
      <w:r>
        <w:fldChar w:fldCharType="end"/>
      </w:r>
      <w:r>
        <w:t xml:space="preserve"> The PDF represents the probability of finding a pair of atoms separated by a distance </w:t>
      </w:r>
      <w:r>
        <w:rPr>
          <w:i/>
        </w:rPr>
        <w:t>r</w:t>
      </w:r>
      <w:r>
        <w:t>, and is particularly well suited to probe the structure of disordered material.</w:t>
      </w:r>
      <w:r>
        <w:fldChar w:fldCharType="begin"/>
      </w:r>
      <w:r w:rsidR="00CA4C4F">
        <w:instrText xml:space="preserve"> ADDIN ZOTERO_ITEM CSL_CITATION {"citationID":"9h6gUVfJ","properties":{"formattedCitation":"[28]","plainCitation":"[28]","noteIndex":0},"citationItems":[{"id":2881,"uris":["http://zotero.org/users/4816088/items/ZUR7PD2G"],"uri":["http://zotero.org/users/4816088/items/ZUR7PD2G"],"itemData":{"id":2881,"type":"article-journal","title":"The Problem with Determining Atomic Structure at the Nanoscale","container-title":"Science","page":"561-565","volume":"316","issue":"5824","source":"science.sciencemag.org","abstract":"Emerging complex functional materials often have atomic order limited to the nanoscale. Examples include nanoparticles, species encapsulated in mesoporous hosts, and bulk crystals with intrinsic nanoscale order. The powerful methods that we have for solving the atomic structure of bulk crystals fail for such materials. Currently, no broadly applicable, quantitative, and robust methods exist to replace crystallography at the nanoscale. We provide an overview of various classes of nanostructured materials and review the methods that are currently used to study their structure. We suggest that successful solutions to these nanostructure problems will involve interactions among researchers from materials science, physics, chemistry, computer science, and applied mathematics, working within a “complex modeling” paradigm that combines theory and experiment in a self-consistent computational framework.","DOI":"10.1126/science.1135080","ISSN":"0036-8075, 1095-9203","note":"PMID: 17463280","language":"en","author":[{"family":"Billinge","given":"Simon J. L."},{"family":"Levin","given":"Igor"}],"issued":{"date-parts":[["2007",4,27]]}}}],"schema":"https://github.com/citation-style-language/schema/raw/master/csl-citation.json"} </w:instrText>
      </w:r>
      <w:r>
        <w:fldChar w:fldCharType="separate"/>
      </w:r>
      <w:r w:rsidR="00CA4C4F" w:rsidRPr="00CA4C4F">
        <w:rPr>
          <w:rFonts w:cs="Times"/>
        </w:rPr>
        <w:t>[28]</w:t>
      </w:r>
      <w:r>
        <w:fldChar w:fldCharType="end"/>
      </w:r>
      <w:r>
        <w:t xml:space="preserve"> The discharge reaction produces a broadening of the PDF peaks, which suggests overall reduced long-ranged ordering in the structure </w:t>
      </w:r>
      <w:r>
        <w:rPr>
          <w:b/>
        </w:rPr>
        <w:t>(Figure 3c)</w:t>
      </w:r>
      <w:r>
        <w:t xml:space="preserve">. </w:t>
      </w:r>
      <w:r>
        <w:rPr>
          <w:lang w:val="en-GB"/>
        </w:rPr>
        <w:t xml:space="preserve">Assuming a solid-solution mechanism, as indicated by the GITT data described above, </w:t>
      </w:r>
      <w:r>
        <w:t xml:space="preserve">the PDF of the discharged electrode was fitted using the pristine tetragonal symmetry. The refinement confirms that the long-ranged anatase structure is maintained and further points to local structural distortions as revealed by the occurrence of features in the difference curve that cannot be captured by the used structural model. These structural distortions might be due to a difference in terms of polarizing power of the two charge </w:t>
      </w:r>
      <w:r>
        <w:lastRenderedPageBreak/>
        <w:t xml:space="preserve">carriers, resulting in different local cation–anion bond lengths and local disruption to the framework periodicity. The dual-ion intercalation is also characterized by changes in the unit cell parameters: </w:t>
      </w:r>
      <w:r>
        <w:rPr>
          <w:i/>
        </w:rPr>
        <w:t>a </w:t>
      </w:r>
      <w:r>
        <w:t xml:space="preserve">= 3.7991(7) Å, </w:t>
      </w:r>
      <w:r>
        <w:rPr>
          <w:i/>
        </w:rPr>
        <w:t>c </w:t>
      </w:r>
      <w:r>
        <w:t xml:space="preserve">= 9.475(2) Å for the pristine electrode, while </w:t>
      </w:r>
      <w:r>
        <w:rPr>
          <w:i/>
        </w:rPr>
        <w:t>a </w:t>
      </w:r>
      <w:r>
        <w:t xml:space="preserve">= 3.875(2) Å, </w:t>
      </w:r>
      <w:r>
        <w:rPr>
          <w:i/>
        </w:rPr>
        <w:t>c </w:t>
      </w:r>
      <w:r>
        <w:t>= 9.325(6) Å for the discharged sample. Previous works have shown that for intercalation of Mg</w:t>
      </w:r>
      <w:r>
        <w:rPr>
          <w:vertAlign w:val="superscript"/>
        </w:rPr>
        <w:t>2+</w:t>
      </w:r>
      <w:r>
        <w:t xml:space="preserve"> ions in titanium vacancies, using pure APC as electrolyte, the unit cell parameters do not vary (</w:t>
      </w:r>
      <w:r>
        <w:sym w:font="Symbol" w:char="F044"/>
      </w:r>
      <w:r>
        <w:t>V/V</w:t>
      </w:r>
      <w:r>
        <w:sym w:font="Symbol" w:char="F07E"/>
      </w:r>
      <w:r>
        <w:t>0.6%).</w:t>
      </w:r>
      <w:r>
        <w:fldChar w:fldCharType="begin"/>
      </w:r>
      <w:r>
        <w:instrText xml:space="preserve"> ADDIN ZOTERO_ITEM CSL_CITATION {"citationID":"99RCujdk","properties":{"formattedCitation":"[16]","plainCitation":"[16]","noteIndex":0},"citationItems":[{"id":978,"uris":["http://zotero.org/users/4816088/items/C6AZCH5Z"],"uri":["http://zotero.org/users/4816088/items/C6AZCH5Z"],"itemData":{"id":978,"type":"article-journal","title":"Reversible magnesium and aluminium ions insertion in cation-deficient anatase TiO&lt;sub&gt;2&lt;/sub&gt;","container-title":"Nature Materials","page":"1142","volume":"16","issue":"11","source":"www.nature.com","abstract":"&lt;p&gt;Compared to monovalent lithium or sodium ions, the reversible insertion of multivalent ions into battery electrodes has proved challenging. An aliovalent doping strategy involving reversible Mg&lt;sup&gt;2+&lt;/sup&gt; and Al&lt;sup&gt;3+&lt;/sup&gt; insertion in anatase TiO&lt;sub&gt;2&lt;/sub&gt; is now reported.&lt;/p&gt;","DOI":"10.1038/nmat4976","ISSN":"1476-4660","language":"En","author":[{"family":"Koketsu","given":"Toshinari"},{"family":"Ma","given":"Jiwei"},{"family":"Morgan","given":"Benjamin J."},{"family":"Body","given":"Monique"},{"family":"Legein","given":"Christophe"},{"family":"Dachraoui","given":"Walid"},{"family":"Giannini","given":"Mattia"},{"family":"Demortière","given":"Arnaud"},{"family":"Salanne","given":"Mathieu"},{"family":"Dardoize","given":"François"},{"family":"Groult","given":"Henri"},{"family":"Borkiewicz","given":"Olaf J."},{"family":"Chapman","given":"Karena W."},{"family":"Strasser","given":"Peter"},{"family":"Dambournet","given":"Damien"}],"issued":{"date-parts":[["2017",11]]}}}],"schema":"https://github.com/citation-style-language/schema/raw/master/csl-citation.json"} </w:instrText>
      </w:r>
      <w:r>
        <w:fldChar w:fldCharType="separate"/>
      </w:r>
      <w:r w:rsidRPr="003056E0">
        <w:rPr>
          <w:rFonts w:cs="Times"/>
        </w:rPr>
        <w:t>[16]</w:t>
      </w:r>
      <w:r>
        <w:fldChar w:fldCharType="end"/>
      </w:r>
      <w:r>
        <w:t xml:space="preserve"> Furthermore, in a pure lithium-ion cell, lithium insertion into anatase Ti</w:t>
      </w:r>
      <w:r>
        <w:rPr>
          <w:vertAlign w:val="subscript"/>
        </w:rPr>
        <w:t>0.78</w:t>
      </w:r>
      <w:r>
        <w:sym w:font="Wingdings" w:char="F0A8"/>
      </w:r>
      <w:r>
        <w:rPr>
          <w:vertAlign w:val="subscript"/>
        </w:rPr>
        <w:t>0.22</w:t>
      </w:r>
      <w:r>
        <w:t>O</w:t>
      </w:r>
      <w:r>
        <w:rPr>
          <w:vertAlign w:val="subscript"/>
        </w:rPr>
        <w:t>1.12</w:t>
      </w:r>
      <w:r>
        <w:t>F</w:t>
      </w:r>
      <w:r>
        <w:rPr>
          <w:vertAlign w:val="subscript"/>
        </w:rPr>
        <w:t>0.40</w:t>
      </w:r>
      <w:r>
        <w:t>(OH)</w:t>
      </w:r>
      <w:r>
        <w:rPr>
          <w:vertAlign w:val="subscript"/>
        </w:rPr>
        <w:t>0.48</w:t>
      </w:r>
      <w:r>
        <w:t xml:space="preserve"> modifies the unit cell parameters in proportion with the lithium concentration (Vegard’s law) </w:t>
      </w:r>
      <w:r w:rsidRPr="001C2BB1">
        <w:t xml:space="preserve">with </w:t>
      </w:r>
      <w:r w:rsidRPr="001C2BB1">
        <w:rPr>
          <w:i/>
        </w:rPr>
        <w:t>a</w:t>
      </w:r>
      <w:r w:rsidRPr="001C2BB1">
        <w:t xml:space="preserve"> increase and </w:t>
      </w:r>
      <w:r w:rsidRPr="001C2BB1">
        <w:rPr>
          <w:i/>
        </w:rPr>
        <w:t>c</w:t>
      </w:r>
      <w:r w:rsidRPr="001C2BB1">
        <w:t xml:space="preserve"> decrease. We therefore conclude that the changes in the unit cell parameters observed for dual-ion intercalation are due to the insertion of lithium within the native interstitial sites</w:t>
      </w:r>
      <w:r w:rsidR="00C84F96" w:rsidRPr="001C2BB1">
        <w:t xml:space="preserve"> (4b Wyckoff site)</w:t>
      </w:r>
      <w:r w:rsidRPr="001C2BB1">
        <w:t>. According to the unit cell parameter values, it is possible to assess a concentration of lithium located at interstitial sites leading to 0.30–0.35 Li</w:t>
      </w:r>
      <w:r w:rsidRPr="001C2BB1">
        <w:rPr>
          <w:vertAlign w:val="superscript"/>
        </w:rPr>
        <w:t>+</w:t>
      </w:r>
      <w:r w:rsidRPr="001C2BB1">
        <w:t>.</w:t>
      </w:r>
      <w:r w:rsidRPr="001C2BB1">
        <w:fldChar w:fldCharType="begin"/>
      </w:r>
      <w:r w:rsidR="00CA4C4F" w:rsidRPr="001C2BB1">
        <w:instrText xml:space="preserve"> ADDIN ZOTERO_ITEM CSL_CITATION {"citationID":"K2gN9blw","properties":{"formattedCitation":"[17,29,30]","plainCitation":"[17,29,30]","noteIndex":0},"citationItems":[{"id":205,"uris":["http://zotero.org/users/4816088/items/6ZHA6KTE"],"uri":["http://zotero.org/users/4816088/items/6ZHA6KTE"],"itemData":{"id":205,"type":"article-journal","title":"High Substitution Rate in TiO2 Anatase Nanoparticles with Cationic Vacancies for Fast Lithium Storage","container-title":"Chemistry of Materials","page":"5014-5019","volume":"27","issue":"14","source":"ACS Publications","abstract":"Doping is generally used to tune and enhance the properties of metal oxides. However, their chemical composition cannot be readily modified beyond low dopant amounts without disrupting the crystalline atomic structure. In the case of anatase TiO2, we introduce a new solution-based chemical route allowing the composition to be significantly modified, substituting the divalent O2? anions by monovalent F? and OH? anions resulting in the formation of cationic Ti4+ vacancies (?) whose concentration can be controlled by the reaction temperature. The resulting polyanionic anatase has the general composition Ti1?x?y?x+yO2?4(x+y)F4x(OH)4y, reaching vacancy concentrations of up to 22%, i.e., Ti0.78?0.22O1.12F0.4(OH)0.48. Solid-state 19F NMR spectroscopy reveals that fluoride ions can accommodate up to three different environments, depending on Ti and vacancies (i.e. Ti3-F, Ti2?1-F, and Ti1?2-F), with a preferential location close to vacancies. DFT calculations further confirm the fluoride/vacancy ordering. When its characteristics were evaluated as an electrode for reversible Li-ion storage, the material shows a modified lithium reaction mechanism, which has been rationalized by the occurrence of cationic vacancies acting as additional lithium hosting sites within the anatase framework. Finally, the material shows a fast discharging/charging behavior, compared to TiO2, highlighting the benefits of the structural modifications and paving the way for the design of advanced electrode materials, based on a defect mediated mechanism.","DOI":"10.1021/acs.chemmater.5b01407","ISSN":"0897-4756","journalAbbreviation":"Chem. Mater.","author":[{"family":"Li","given":"Wei"},{"family":"Corradini","given":"Dario"},{"family":"Body","given":"Monique"},{"family":"Legein","given":"Christophe"},{"family":"Salanne","given":"Mathieu"},{"family":"Ma","given":"Jiwei"},{"family":"Chapman","given":"Karena W."},{"family":"Chupas","given":"Peter J."},{"family":"Rollet","given":"Anne-Laure"},{"family":"Julien","given":"Christian"},{"family":"Zhagib","given":"Karim"},{"family":"Duttine","given":"Mathieu"},{"family":"Demourgues","given":"Alain"},{"family":"Groult","given":"Henri"},{"family":"Dambournet","given":"Damien"}],"issued":{"date-parts":[["2015",7,28]]}}},{"id":4716,"uris":["http://zotero.org/users/4816088/items/KC5DZNMM"],"uri":["http://zotero.org/users/4816088/items/KC5DZNMM"],"itemData":{"id":4716,"type":"article-journal","title":"Multiple Li Positions inside Oxygen Octahedra in Lithiated TiO2 Anatase","container-title":"Journal of the American Chemical Society","page":"840-848","volume":"125","issue":"3","source":"ACS Publications","abstract":"Intercalation of Li in TiO2 anatase results in a phase separation in a Li-poor and a Li-rich phase. The local lithium configuration in the coexisting crystallographic phases is resolved by detailed analysis of neutron diffraction data. In each of the phases, two distinct positions within the octahedral interstices are found, with a temperature-dependent occupancy. A combination of quasi-elastic neutron scattering and force field molecular dynamics simulations shows that Li is hopping on a picosecond time scale between the two sites in the octahedral interstices. The results also suggest a specific Li arrangement along the crystallographic a direction, albeit without long range order. It is likely that multiple discrete Li sites within a distorted oxygen octahedron occur not only in intercalated TiO2 anatase but also in other (transition metal) oxides.","DOI":"10.1021/ja028165q","ISSN":"0002-7863","journalAbbreviation":"J. Am. Chem. Soc.","author":[{"family":"Wagemaker","given":"Marnix"},{"family":"Kearley","given":"Gordon J."},{"family":"Well","given":"Ad A.","non-dropping-particle":"van"},{"family":"Mutka","given":"Hannu"},{"family":"Mulder","given":"Fokko M."}],"issued":{"date-parts":[["2003",1,1]]}}},{"id":4718,"uris":["http://zotero.org/users/4816088/items/J62FT585"],"uri":["http://zotero.org/users/4816088/items/J62FT585"],"itemData":{"id":4718,"type":"article-journal","title":"Impact of Particle Size on the Non-Equilibrium Phase Transition of Lithium-Inserted Anatase TiO2","container-title":"Chemistry of Materials","page":"1608-1615","volume":"26","issue":"4","source":"ACS Publications","abstract":"The phase transformation behavior in Li-ion battery electrodes is critical for the electrode kinetics and cycle life. Here we reveal unexpected particle size-dependent phase transformation behavior in anatase TiO2 by in situ X-ray diffraction. The equilibrium voltage measured by the galvanostatic intermittent titration technique decreases progressively with a decrease in particle size, which can attributed to the difference in the surface energy of the pristine and lithiated phases. On the basis of the evolution of the domain size and phase fraction of the two phases, we conclude that the first-order phase transition proceeds by continuous nucleation upon lithium insertion. For all particle sizes, the phase boundary is found to migrate under nonequilibrium conditions even under very slow (dis)charge conditions, as reflected by a distinct deviation from the Li solubility limit during the phase transformation. Remarkably, the degree of nonequilibrium increases with a decrease in particle size, which is rationalized by the difference in the observed phase transition behavior between small and large particles. The absence of phase coexistence in smaller particles in combination with the sluggish ionic transport rationalizes the better electrochemical performance of the nanostructured anatase TiO2 compared to that of the microsized material. These results suggest a very low nucleation barrier for the formation and movement of the phase boundary in combination with sluggish ionic migration. Therefore, strategies for improving the rate performance of nanostructured anatase TiO2 should concentrate on improving the interstitial diffusion, for instance by appropriate doping.","DOI":"10.1021/cm4037346","ISSN":"0897-4756","journalAbbreviation":"Chem. Mater.","author":[{"family":"Shen","given":"Kun"},{"family":"Chen","given":"Hao"},{"family":"Klaver","given":"Frits"},{"family":"Mulder","given":"Fokko M."},{"family":"Wagemaker","given":"Marnix"}],"issued":{"date-parts":[["2014",2,25]]}}}],"schema":"https://github.com/citation-style-language/schema/raw/master/csl-citation.json"} </w:instrText>
      </w:r>
      <w:r w:rsidRPr="001C2BB1">
        <w:fldChar w:fldCharType="separate"/>
      </w:r>
      <w:r w:rsidR="00CA4C4F" w:rsidRPr="001C2BB1">
        <w:rPr>
          <w:rFonts w:cs="Times"/>
        </w:rPr>
        <w:t>[17,29,30]</w:t>
      </w:r>
      <w:r w:rsidRPr="001C2BB1">
        <w:fldChar w:fldCharType="end"/>
      </w:r>
      <w:r w:rsidRPr="001C2BB1">
        <w:t xml:space="preserve"> We further attempted to refine the presence of Mg</w:t>
      </w:r>
      <w:r w:rsidRPr="001C2BB1">
        <w:rPr>
          <w:vertAlign w:val="superscript"/>
        </w:rPr>
        <w:t>2+</w:t>
      </w:r>
      <w:r w:rsidRPr="001C2BB1">
        <w:t xml:space="preserve"> within the interstitial sites which led to negligible value. Finally, we have confirmed the selective insertion of Mg</w:t>
      </w:r>
      <w:r w:rsidRPr="001C2BB1">
        <w:rPr>
          <w:vertAlign w:val="superscript"/>
        </w:rPr>
        <w:t>2+</w:t>
      </w:r>
      <w:r w:rsidRPr="001C2BB1">
        <w:t xml:space="preserve"> at the Ti v</w:t>
      </w:r>
      <w:r w:rsidR="00C84F96" w:rsidRPr="001C2BB1">
        <w:t>acancy site (4a Wyckoff site) by refining its rate occupancy</w:t>
      </w:r>
      <w:r w:rsidRPr="001C2BB1">
        <w:t xml:space="preserve">. Based on chemical and PDF analyses, we hypothesize that the </w:t>
      </w:r>
      <w:r w:rsidR="00C84F96" w:rsidRPr="001C2BB1">
        <w:t xml:space="preserve">insertion mechanism </w:t>
      </w:r>
      <w:r w:rsidRPr="001C2BB1">
        <w:t xml:space="preserve">occurs as follows: </w:t>
      </w:r>
    </w:p>
    <w:p w14:paraId="45E8AACC" w14:textId="77777777" w:rsidR="003056E0" w:rsidRPr="001C2BB1" w:rsidRDefault="003056E0" w:rsidP="003056E0">
      <w:pPr>
        <w:spacing w:line="480" w:lineRule="auto"/>
        <w:rPr>
          <w:lang w:val="fr-FR"/>
        </w:rPr>
      </w:pPr>
      <w:bookmarkStart w:id="20" w:name="OLE_LINK27"/>
      <w:bookmarkStart w:id="21" w:name="OLE_LINK26"/>
      <w:r w:rsidRPr="001C2BB1">
        <w:rPr>
          <w:lang w:val="fr-FR"/>
        </w:rPr>
        <w:t>[Ti</w:t>
      </w:r>
      <w:r w:rsidRPr="001C2BB1">
        <w:rPr>
          <w:vertAlign w:val="subscript"/>
          <w:lang w:val="fr-FR"/>
        </w:rPr>
        <w:t>0.78</w:t>
      </w:r>
      <w:r w:rsidRPr="001C2BB1">
        <w:sym w:font="Wingdings 2" w:char="F0A3"/>
      </w:r>
      <w:r w:rsidRPr="001C2BB1">
        <w:rPr>
          <w:vertAlign w:val="subscript"/>
          <w:lang w:val="fr-FR"/>
        </w:rPr>
        <w:t>0.22</w:t>
      </w:r>
      <w:r w:rsidRPr="001C2BB1">
        <w:rPr>
          <w:lang w:val="fr-FR"/>
        </w:rPr>
        <w:t>]</w:t>
      </w:r>
      <w:r w:rsidRPr="001C2BB1">
        <w:rPr>
          <w:vertAlign w:val="superscript"/>
          <w:lang w:val="fr-FR"/>
        </w:rPr>
        <w:t>4a</w:t>
      </w:r>
      <w:r w:rsidRPr="001C2BB1">
        <w:rPr>
          <w:lang w:val="fr-FR"/>
        </w:rPr>
        <w:t>O</w:t>
      </w:r>
      <w:r w:rsidRPr="001C2BB1">
        <w:rPr>
          <w:vertAlign w:val="subscript"/>
          <w:lang w:val="fr-FR"/>
        </w:rPr>
        <w:t>1.12</w:t>
      </w:r>
      <w:r w:rsidRPr="001C2BB1">
        <w:rPr>
          <w:lang w:val="fr-FR"/>
        </w:rPr>
        <w:t>F</w:t>
      </w:r>
      <w:r w:rsidRPr="001C2BB1">
        <w:rPr>
          <w:vertAlign w:val="subscript"/>
          <w:lang w:val="fr-FR"/>
        </w:rPr>
        <w:t>0.40</w:t>
      </w:r>
      <w:r w:rsidRPr="001C2BB1">
        <w:rPr>
          <w:lang w:val="fr-FR"/>
        </w:rPr>
        <w:t>(OH)</w:t>
      </w:r>
      <w:r w:rsidRPr="001C2BB1">
        <w:rPr>
          <w:vertAlign w:val="subscript"/>
          <w:lang w:val="fr-FR"/>
        </w:rPr>
        <w:t>0.48</w:t>
      </w:r>
      <w:r w:rsidRPr="001C2BB1">
        <w:rPr>
          <w:lang w:val="fr-FR"/>
        </w:rPr>
        <w:t xml:space="preserve"> + (</w:t>
      </w:r>
      <w:r w:rsidRPr="001C2BB1">
        <w:rPr>
          <w:i/>
          <w:lang w:val="fr-FR"/>
        </w:rPr>
        <w:t>x+</w:t>
      </w:r>
      <w:r w:rsidRPr="001C2BB1">
        <w:rPr>
          <w:lang w:val="fr-FR"/>
        </w:rPr>
        <w:t>y) Li</w:t>
      </w:r>
      <w:r w:rsidRPr="001C2BB1">
        <w:rPr>
          <w:vertAlign w:val="superscript"/>
          <w:lang w:val="fr-FR"/>
        </w:rPr>
        <w:t>+</w:t>
      </w:r>
      <w:r w:rsidRPr="001C2BB1">
        <w:rPr>
          <w:lang w:val="fr-FR"/>
        </w:rPr>
        <w:t xml:space="preserve"> + </w:t>
      </w:r>
      <w:r w:rsidRPr="001C2BB1">
        <w:rPr>
          <w:i/>
          <w:lang w:val="fr-FR"/>
        </w:rPr>
        <w:t>z</w:t>
      </w:r>
      <w:r w:rsidRPr="001C2BB1">
        <w:rPr>
          <w:lang w:val="fr-FR"/>
        </w:rPr>
        <w:t xml:space="preserve"> Mg</w:t>
      </w:r>
      <w:r w:rsidRPr="001C2BB1">
        <w:rPr>
          <w:vertAlign w:val="superscript"/>
          <w:lang w:val="fr-FR"/>
        </w:rPr>
        <w:t>2+</w:t>
      </w:r>
      <w:r w:rsidRPr="001C2BB1">
        <w:rPr>
          <w:lang w:val="fr-FR"/>
        </w:rPr>
        <w:t xml:space="preserve"> + </w:t>
      </w:r>
      <w:bookmarkStart w:id="22" w:name="OLE_LINK21"/>
      <w:bookmarkStart w:id="23" w:name="OLE_LINK20"/>
      <w:r w:rsidRPr="001C2BB1">
        <w:rPr>
          <w:lang w:val="fr-FR"/>
        </w:rPr>
        <w:t>(</w:t>
      </w:r>
      <w:r w:rsidRPr="001C2BB1">
        <w:rPr>
          <w:i/>
          <w:lang w:val="fr-FR"/>
        </w:rPr>
        <w:t>x</w:t>
      </w:r>
      <w:r w:rsidRPr="001C2BB1">
        <w:rPr>
          <w:vertAlign w:val="subscript"/>
          <w:lang w:val="fr-FR"/>
        </w:rPr>
        <w:t xml:space="preserve"> </w:t>
      </w:r>
      <w:r w:rsidRPr="001C2BB1">
        <w:rPr>
          <w:i/>
          <w:lang w:val="fr-FR"/>
        </w:rPr>
        <w:t>+ y + 2z</w:t>
      </w:r>
      <w:r w:rsidRPr="001C2BB1">
        <w:rPr>
          <w:lang w:val="fr-FR"/>
        </w:rPr>
        <w:t>)</w:t>
      </w:r>
      <w:r w:rsidRPr="001C2BB1">
        <w:rPr>
          <w:i/>
          <w:lang w:val="fr-FR"/>
        </w:rPr>
        <w:t xml:space="preserve"> </w:t>
      </w:r>
      <w:bookmarkEnd w:id="22"/>
      <w:bookmarkEnd w:id="23"/>
      <w:r w:rsidRPr="001C2BB1">
        <w:rPr>
          <w:i/>
          <w:lang w:val="fr-FR"/>
        </w:rPr>
        <w:t>e</w:t>
      </w:r>
      <w:r w:rsidRPr="001C2BB1">
        <w:rPr>
          <w:vertAlign w:val="superscript"/>
          <w:lang w:val="fr-FR"/>
        </w:rPr>
        <w:t>-</w:t>
      </w:r>
      <w:bookmarkEnd w:id="20"/>
      <w:bookmarkEnd w:id="21"/>
    </w:p>
    <w:p w14:paraId="09ED3CDD" w14:textId="77777777" w:rsidR="003056E0" w:rsidRPr="001C2BB1" w:rsidRDefault="003056E0" w:rsidP="003056E0">
      <w:pPr>
        <w:spacing w:line="480" w:lineRule="auto"/>
        <w:rPr>
          <w:lang w:val="fr-FR"/>
        </w:rPr>
      </w:pPr>
      <w:r w:rsidRPr="001C2BB1">
        <w:rPr>
          <w:rFonts w:ascii="Cambria Math" w:hAnsi="Cambria Math" w:cs="Cambria Math"/>
          <w:lang w:val="fr-FR"/>
        </w:rPr>
        <w:t xml:space="preserve"> ⇄</w:t>
      </w:r>
      <w:r w:rsidRPr="001C2BB1">
        <w:rPr>
          <w:lang w:val="fr-FR"/>
        </w:rPr>
        <w:t xml:space="preserve"> [Li</w:t>
      </w:r>
      <w:r w:rsidRPr="001C2BB1">
        <w:rPr>
          <w:i/>
          <w:vertAlign w:val="subscript"/>
          <w:lang w:val="fr-FR"/>
        </w:rPr>
        <w:t>x</w:t>
      </w:r>
      <w:r w:rsidRPr="001C2BB1">
        <w:rPr>
          <w:lang w:val="fr-FR"/>
        </w:rPr>
        <w:t>]</w:t>
      </w:r>
      <w:r w:rsidRPr="001C2BB1">
        <w:rPr>
          <w:vertAlign w:val="superscript"/>
          <w:lang w:val="fr-FR"/>
        </w:rPr>
        <w:t>4b</w:t>
      </w:r>
      <w:r w:rsidRPr="001C2BB1">
        <w:rPr>
          <w:lang w:val="fr-FR"/>
        </w:rPr>
        <w:t>[Li</w:t>
      </w:r>
      <w:r w:rsidRPr="001C2BB1">
        <w:rPr>
          <w:vertAlign w:val="subscript"/>
          <w:lang w:val="fr-FR"/>
        </w:rPr>
        <w:t>y</w:t>
      </w:r>
      <w:r w:rsidRPr="001C2BB1">
        <w:rPr>
          <w:lang w:val="fr-FR"/>
        </w:rPr>
        <w:t>Mg</w:t>
      </w:r>
      <w:r w:rsidRPr="001C2BB1">
        <w:rPr>
          <w:i/>
          <w:vertAlign w:val="subscript"/>
          <w:lang w:val="fr-FR"/>
        </w:rPr>
        <w:t>z</w:t>
      </w:r>
      <w:r w:rsidRPr="001C2BB1">
        <w:rPr>
          <w:lang w:val="fr-FR"/>
        </w:rPr>
        <w:t>Ti</w:t>
      </w:r>
      <w:r w:rsidRPr="001C2BB1">
        <w:rPr>
          <w:vertAlign w:val="subscript"/>
          <w:lang w:val="fr-FR"/>
        </w:rPr>
        <w:t>0.78</w:t>
      </w:r>
      <w:r w:rsidRPr="001C2BB1">
        <w:sym w:font="Wingdings 2" w:char="F0A3"/>
      </w:r>
      <w:r w:rsidRPr="001C2BB1">
        <w:rPr>
          <w:vertAlign w:val="subscript"/>
          <w:lang w:val="fr-FR"/>
        </w:rPr>
        <w:t>0.22-(</w:t>
      </w:r>
      <w:r w:rsidRPr="001C2BB1">
        <w:rPr>
          <w:i/>
          <w:vertAlign w:val="subscript"/>
          <w:lang w:val="fr-FR"/>
        </w:rPr>
        <w:t>y+z)</w:t>
      </w:r>
      <w:r w:rsidRPr="001C2BB1">
        <w:rPr>
          <w:lang w:val="fr-FR"/>
        </w:rPr>
        <w:t>]</w:t>
      </w:r>
      <w:r w:rsidRPr="001C2BB1">
        <w:rPr>
          <w:vertAlign w:val="superscript"/>
          <w:lang w:val="fr-FR"/>
        </w:rPr>
        <w:t>4a</w:t>
      </w:r>
      <w:r w:rsidRPr="001C2BB1">
        <w:rPr>
          <w:lang w:val="fr-FR"/>
        </w:rPr>
        <w:t>O</w:t>
      </w:r>
      <w:r w:rsidRPr="001C2BB1">
        <w:rPr>
          <w:vertAlign w:val="subscript"/>
          <w:lang w:val="fr-FR"/>
        </w:rPr>
        <w:t>1.12</w:t>
      </w:r>
      <w:r w:rsidRPr="001C2BB1">
        <w:rPr>
          <w:lang w:val="fr-FR"/>
        </w:rPr>
        <w:t>F</w:t>
      </w:r>
      <w:r w:rsidRPr="001C2BB1">
        <w:rPr>
          <w:vertAlign w:val="subscript"/>
          <w:lang w:val="fr-FR"/>
        </w:rPr>
        <w:t>0.40</w:t>
      </w:r>
      <w:r w:rsidRPr="001C2BB1">
        <w:rPr>
          <w:lang w:val="fr-FR"/>
        </w:rPr>
        <w:t>(OH)</w:t>
      </w:r>
      <w:r w:rsidRPr="001C2BB1">
        <w:rPr>
          <w:vertAlign w:val="subscript"/>
          <w:lang w:val="fr-FR"/>
        </w:rPr>
        <w:t>0.48</w:t>
      </w:r>
      <w:r w:rsidRPr="001C2BB1">
        <w:rPr>
          <w:lang w:val="fr-FR"/>
        </w:rPr>
        <w:t>.</w:t>
      </w:r>
    </w:p>
    <w:p w14:paraId="6D449B36" w14:textId="77777777" w:rsidR="003056E0" w:rsidRDefault="00C84F96" w:rsidP="003056E0">
      <w:pPr>
        <w:spacing w:line="480" w:lineRule="auto"/>
      </w:pPr>
      <w:r w:rsidRPr="001C2BB1">
        <w:t>W</w:t>
      </w:r>
      <w:r w:rsidR="003056E0" w:rsidRPr="001C2BB1">
        <w:t>ith</w:t>
      </w:r>
      <w:r w:rsidRPr="001C2BB1">
        <w:t xml:space="preserve"> 4a and 4b being the Wyckoff sites of titanium and interstitial sites, respectively</w:t>
      </w:r>
      <w:r w:rsidR="00F919A6" w:rsidRPr="001C2BB1">
        <w:t>;</w:t>
      </w:r>
      <w:r w:rsidR="003056E0" w:rsidRPr="001C2BB1">
        <w:t xml:space="preserve"> </w:t>
      </w:r>
      <w:r w:rsidR="003056E0" w:rsidRPr="001C2BB1">
        <w:rPr>
          <w:i/>
        </w:rPr>
        <w:t xml:space="preserve">x </w:t>
      </w:r>
      <w:r w:rsidR="003056E0" w:rsidRPr="001C2BB1">
        <w:t xml:space="preserve">≈ 0.3–0.35, </w:t>
      </w:r>
      <w:r w:rsidR="003056E0" w:rsidRPr="001C2BB1">
        <w:rPr>
          <w:i/>
        </w:rPr>
        <w:t>y</w:t>
      </w:r>
      <w:r w:rsidR="003056E0" w:rsidRPr="001C2BB1">
        <w:t xml:space="preserve"> ≈ 0.04 and </w:t>
      </w:r>
      <w:r w:rsidR="003056E0" w:rsidRPr="001C2BB1">
        <w:rPr>
          <w:i/>
        </w:rPr>
        <w:t>z</w:t>
      </w:r>
      <w:r w:rsidR="003056E0" w:rsidRPr="001C2BB1">
        <w:t xml:space="preserve"> ≈ 0.18, leading to a capacity of 264 mA h g</w:t>
      </w:r>
      <w:r w:rsidR="003056E0" w:rsidRPr="001C2BB1">
        <w:rPr>
          <w:vertAlign w:val="superscript"/>
        </w:rPr>
        <w:t>-1</w:t>
      </w:r>
      <w:r w:rsidR="003056E0" w:rsidRPr="001C2BB1">
        <w:t>–284 mA h g</w:t>
      </w:r>
      <w:r w:rsidR="003056E0" w:rsidRPr="001C2BB1">
        <w:rPr>
          <w:vertAlign w:val="superscript"/>
        </w:rPr>
        <w:t>-1</w:t>
      </w:r>
      <w:r w:rsidR="003056E0" w:rsidRPr="001C2BB1">
        <w:t xml:space="preserve">, which is close to that measured experimentally, a small fraction of this capacity being assigned </w:t>
      </w:r>
      <w:r w:rsidR="003056E0">
        <w:t>to electrolyte decomposition. During the charge, the structure of the pristine electrode is fully recovered (</w:t>
      </w:r>
      <w:r w:rsidR="003056E0">
        <w:rPr>
          <w:i/>
        </w:rPr>
        <w:t>a </w:t>
      </w:r>
      <w:r w:rsidR="003056E0">
        <w:t xml:space="preserve">= 3.805(1) Å, </w:t>
      </w:r>
      <w:r w:rsidR="003056E0">
        <w:rPr>
          <w:i/>
        </w:rPr>
        <w:t>c</w:t>
      </w:r>
      <w:r w:rsidR="003056E0">
        <w:t> = 9.477(3) Å) demonstrating the reversible co-insertion of Li</w:t>
      </w:r>
      <w:r w:rsidR="003056E0">
        <w:rPr>
          <w:vertAlign w:val="superscript"/>
        </w:rPr>
        <w:t>+</w:t>
      </w:r>
      <w:r w:rsidR="003056E0">
        <w:t xml:space="preserve"> and Mg</w:t>
      </w:r>
      <w:r w:rsidR="003056E0">
        <w:rPr>
          <w:vertAlign w:val="superscript"/>
        </w:rPr>
        <w:t>2+</w:t>
      </w:r>
      <w:r w:rsidR="003056E0">
        <w:t>.</w:t>
      </w:r>
    </w:p>
    <w:p w14:paraId="7C0357E8" w14:textId="77777777" w:rsidR="003056E0" w:rsidRDefault="003056E0" w:rsidP="003056E0">
      <w:pPr>
        <w:spacing w:line="480" w:lineRule="auto"/>
        <w:jc w:val="center"/>
        <w:rPr>
          <w:noProof/>
          <w:lang w:eastAsia="zh-CN"/>
        </w:rPr>
      </w:pPr>
      <w:r>
        <w:rPr>
          <w:noProof/>
          <w:lang w:val="fr-FR" w:eastAsia="fr-FR"/>
        </w:rPr>
        <w:lastRenderedPageBreak/>
        <w:drawing>
          <wp:inline distT="0" distB="0" distL="0" distR="0" wp14:anchorId="410282B5" wp14:editId="185D3C36">
            <wp:extent cx="3857625" cy="426720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0">
                      <a:extLst>
                        <a:ext uri="{28A0092B-C50C-407E-A947-70E740481C1C}">
                          <a14:useLocalDpi xmlns:a14="http://schemas.microsoft.com/office/drawing/2010/main" val="0"/>
                        </a:ext>
                      </a:extLst>
                    </a:blip>
                    <a:srcRect l="16040" t="185" r="16898" b="992"/>
                    <a:stretch>
                      <a:fillRect/>
                    </a:stretch>
                  </pic:blipFill>
                  <pic:spPr bwMode="auto">
                    <a:xfrm>
                      <a:off x="0" y="0"/>
                      <a:ext cx="3857625" cy="4267200"/>
                    </a:xfrm>
                    <a:prstGeom prst="rect">
                      <a:avLst/>
                    </a:prstGeom>
                    <a:noFill/>
                    <a:ln>
                      <a:noFill/>
                    </a:ln>
                  </pic:spPr>
                </pic:pic>
              </a:graphicData>
            </a:graphic>
          </wp:inline>
        </w:drawing>
      </w:r>
    </w:p>
    <w:p w14:paraId="275051B3" w14:textId="77777777" w:rsidR="003056E0" w:rsidRDefault="003056E0" w:rsidP="003056E0">
      <w:pPr>
        <w:rPr>
          <w:lang w:eastAsia="ja-JP"/>
        </w:rPr>
      </w:pPr>
      <w:bookmarkStart w:id="24" w:name="OLE_LINK47"/>
      <w:r>
        <w:rPr>
          <w:b/>
          <w:kern w:val="20"/>
          <w:lang w:eastAsia="zh-CN"/>
        </w:rPr>
        <w:t xml:space="preserve">Figure 3. a) </w:t>
      </w:r>
      <w:r>
        <w:t xml:space="preserve">Galvanostatic-intermittent-titration-technique performed during the first discharge (bottom) and evolution of the overpotential during the first discharge with (APC +0.2M of LiCl) and without (APC) lithium. </w:t>
      </w:r>
      <w:r>
        <w:rPr>
          <w:b/>
        </w:rPr>
        <w:t>b)</w:t>
      </w:r>
      <w:r>
        <w:t xml:space="preserve"> Chemical analyses (ICP-AES) of Li, Mg contents during the first cycle. The electrolyte was APC with 0.2M of LiCl. </w:t>
      </w:r>
      <w:r>
        <w:rPr>
          <w:b/>
        </w:rPr>
        <w:t xml:space="preserve">c) </w:t>
      </w:r>
      <w:r>
        <w:t>Refinements of the PDF data of pristine, discharged and cycled electrodes.</w:t>
      </w:r>
    </w:p>
    <w:p w14:paraId="4F5B0197" w14:textId="77777777" w:rsidR="003056E0" w:rsidRDefault="003056E0" w:rsidP="003056E0">
      <w:pPr>
        <w:spacing w:line="480" w:lineRule="auto"/>
      </w:pPr>
    </w:p>
    <w:p w14:paraId="7158D538" w14:textId="77777777" w:rsidR="003056E0" w:rsidRDefault="003056E0" w:rsidP="003056E0">
      <w:pPr>
        <w:autoSpaceDE w:val="0"/>
        <w:autoSpaceDN w:val="0"/>
        <w:adjustRightInd w:val="0"/>
        <w:spacing w:line="480" w:lineRule="auto"/>
        <w:rPr>
          <w:bCs/>
        </w:rPr>
      </w:pPr>
      <w:r>
        <w:rPr>
          <w:vertAlign w:val="superscript"/>
        </w:rPr>
        <w:t>19</w:t>
      </w:r>
      <w:r>
        <w:t>F solid-state NMR was previously shown to be a suitable marker for the presence of different cationic species in the vicinity of fluorine atoms.</w:t>
      </w:r>
      <w:r>
        <w:fldChar w:fldCharType="begin"/>
      </w:r>
      <w:r>
        <w:instrText xml:space="preserve"> ADDIN ZOTERO_ITEM CSL_CITATION {"citationID":"fiXP2f9T","properties":{"formattedCitation":"\\super [16,24]\\nosupersub{}","plainCitation":"[16,24]","dontUpdate":true,"noteIndex":0},"citationItems":[{"id":978,"uris":["http://zotero.org/users/4816088/items/C6AZCH5Z"],"uri":["http://zotero.org/users/4816088/items/C6AZCH5Z"],"itemData":{"id":978,"type":"article-journal","title":"Reversible magnesium and aluminium ions insertion in cation-deficient anatase TiO&lt;sub&gt;2&lt;/sub&gt;","container-title":"Nature Materials","page":"1142","volume":"16","issue":"11","source":"www.nature.com","abstract":"&lt;p&gt;Compared to monovalent lithium or sodium ions, the reversible insertion of multivalent ions into battery electrodes has proved challenging. An aliovalent doping strategy involving reversible Mg&lt;sup&gt;2+&lt;/sup&gt; and Al&lt;sup&gt;3+&lt;/sup&gt; insertion in anatase TiO&lt;sub&gt;2&lt;/sub&gt; is now reported.&lt;/p&gt;","DOI":"10.1038/nmat4976","ISSN":"1476-4660","language":"En","author":[{"family":"Koketsu","given":"Toshinari"},{"family":"Ma","given":"Jiwei"},{"family":"Morgan","given":"Benjamin J."},{"family":"Body","given":"Monique"},{"family":"Legein","given":"Christophe"},{"family":"Dachraoui","given":"Walid"},{"family":"Giannini","given":"Mattia"},{"family":"Demortière","given":"Arnaud"},{"family":"Salanne","given":"Mathieu"},{"family":"Dardoize","given":"François"},{"family":"Groult","given":"Henri"},{"family":"Borkiewicz","given":"Olaf J."},{"family":"Chapman","given":"Karena W."},{"family":"Strasser","given":"Peter"},{"family":"Dambournet","given":"Damien"}],"issued":{"date-parts":[["2017",11]]}}},{"id":4707,"uris":["http://zotero.org/users/4816088/items/PCLUHDVV"],"uri":["http://zotero.org/users/4816088/items/PCLUHDVV"],"itemData":{"id":4707,"type":"article-journal","title":"Controlled hydroxy-fluorination reaction of anatase to promote Mg2+ mobility in rechargeable magnesium batteries","container-title":"Chemical Communications","page":"10080-10083","volume":"54","issue":"72","source":"pubs.rsc.org","abstract":"In anatase TiO2, substituting oxide anions with singly charged (F,OH) anions allows the controlled formation of cation vacancies, which act as reversible intercalation sites for Mg2+. We show that ion-transport (diffusion coefficients) and intercalation (reversible capacity) properties are controlled by two critical parameters: the vacancy concentration and the local anionic environment. Our results emphasise the complexity of this behaviour, and highlight the potential benefits of chemically controlling cationic-defects in electrode materials for rechargeable multivalent-ion batteries.","DOI":"10.1039/C8CC04136A","ISSN":"1364-548X","journalAbbreviation":"Chem. Commun.","language":"en","author":[{"family":"Ma","given":"Jiwei"},{"family":"Koketsu","given":"Toshinari"},{"family":"Morgan","given":"Benjamin J."},{"family":"Legein","given":"Christophe"},{"family":"Body","given":"Monique"},{"family":"Strasser","given":"Peter"},{"family":"Dambournet","given":"Damien"}],"issued":{"date-parts":[["2018",9,6]]}}}],"schema":"https://github.com/citation-style-language/schema/raw/master/csl-citation.json"} </w:instrText>
      </w:r>
      <w:r>
        <w:fldChar w:fldCharType="separate"/>
      </w:r>
      <w:r>
        <w:rPr>
          <w:vertAlign w:val="superscript"/>
        </w:rPr>
        <w:t>[16,17,24]</w:t>
      </w:r>
      <w:r>
        <w:fldChar w:fldCharType="end"/>
      </w:r>
      <w:r>
        <w:t xml:space="preserve"> </w:t>
      </w:r>
      <w:r>
        <w:rPr>
          <w:b/>
        </w:rPr>
        <w:t>Figure 4</w:t>
      </w:r>
      <w:r>
        <w:t xml:space="preserve"> shows the </w:t>
      </w:r>
      <w:r>
        <w:rPr>
          <w:vertAlign w:val="superscript"/>
        </w:rPr>
        <w:t>19</w:t>
      </w:r>
      <w:r>
        <w:t xml:space="preserve">F MAS NMR spectra of the pristine, discharged, and charged electrodes </w:t>
      </w:r>
      <w:r>
        <w:rPr>
          <w:kern w:val="20"/>
          <w:lang w:eastAsia="zh-CN"/>
        </w:rPr>
        <w:t xml:space="preserve">using hybrid electrolyte 0.2 M APC + 0.2 M LiCl and 1 M LiCl </w:t>
      </w:r>
      <w:r>
        <w:t xml:space="preserve">(fits are given as Supporting Information, </w:t>
      </w:r>
      <w:r>
        <w:rPr>
          <w:b/>
        </w:rPr>
        <w:t>Figures S3</w:t>
      </w:r>
      <w:r>
        <w:rPr>
          <w:rFonts w:hint="eastAsia"/>
          <w:b/>
        </w:rPr>
        <w:t>−</w:t>
      </w:r>
      <w:r>
        <w:rPr>
          <w:b/>
        </w:rPr>
        <w:t>S6</w:t>
      </w:r>
      <w:r>
        <w:t xml:space="preserve"> and </w:t>
      </w:r>
      <w:r>
        <w:rPr>
          <w:b/>
        </w:rPr>
        <w:t>Tables S1</w:t>
      </w:r>
      <w:r>
        <w:rPr>
          <w:rFonts w:hint="eastAsia"/>
          <w:b/>
        </w:rPr>
        <w:t>−</w:t>
      </w:r>
      <w:r>
        <w:rPr>
          <w:b/>
        </w:rPr>
        <w:t>S4</w:t>
      </w:r>
      <w:r>
        <w:t>). In the pristine compound, the environments F-Ti</w:t>
      </w:r>
      <w:r>
        <w:rPr>
          <w:vertAlign w:val="superscript"/>
        </w:rPr>
        <w:t>IV</w:t>
      </w:r>
      <w:r>
        <w:rPr>
          <w:vertAlign w:val="subscript"/>
        </w:rPr>
        <w:t>3</w:t>
      </w:r>
      <w:r>
        <w:t>, F-Ti</w:t>
      </w:r>
      <w:r>
        <w:rPr>
          <w:vertAlign w:val="superscript"/>
        </w:rPr>
        <w:t>IV</w:t>
      </w:r>
      <w:r>
        <w:rPr>
          <w:vertAlign w:val="subscript"/>
        </w:rPr>
        <w:t>2</w:t>
      </w:r>
      <w:r>
        <w:sym w:font="Wingdings" w:char="F0A8"/>
      </w:r>
      <w:r>
        <w:t xml:space="preserve"> and F-Ti</w:t>
      </w:r>
      <w:r>
        <w:rPr>
          <w:vertAlign w:val="superscript"/>
        </w:rPr>
        <w:t>IV</w:t>
      </w:r>
      <w:r>
        <w:sym w:font="Wingdings" w:char="F0A8"/>
      </w:r>
      <w:r>
        <w:rPr>
          <w:vertAlign w:val="subscript"/>
        </w:rPr>
        <w:t>2</w:t>
      </w:r>
      <w:r>
        <w:t xml:space="preserve"> are characterized by distinct chemical shift values ranging from -88 ppm to 98 ppm.</w:t>
      </w:r>
      <w:r>
        <w:fldChar w:fldCharType="begin"/>
      </w:r>
      <w:r>
        <w:instrText xml:space="preserve"> ADDIN ZOTERO_ITEM CSL_CITATION {"citationID":"wzdNj3p7","properties":{"formattedCitation":"[17]","plainCitation":"[17]","noteIndex":0},"citationItems":[{"id":205,"uris":["http://zotero.org/users/4816088/items/6ZHA6KTE"],"uri":["http://zotero.org/users/4816088/items/6ZHA6KTE"],"itemData":{"id":205,"type":"article-journal","title":"High Substitution Rate in TiO2 Anatase Nanoparticles with Cationic Vacancies for Fast Lithium Storage","container-title":"Chemistry of Materials","page":"5014-5019","volume":"27","issue":"14","source":"ACS Publications","abstract":"Doping is generally used to tune and enhance the properties of metal oxides. However, their chemical composition cannot be readily modified beyond low dopant amounts without disrupting the crystalline atomic structure. In the case of anatase TiO2, we introduce a new solution-based chemical route allowing the composition to be significantly modified, substituting the divalent O2? anions by monovalent F? and OH? anions resulting in the formation of cationic Ti4+ vacancies (?) whose concentration can be controlled by the reaction temperature. The resulting polyanionic anatase has the general composition Ti1?x?y?x+yO2?4(x+y)F4x(OH)4y, reaching vacancy concentrations of up to 22%, i.e., Ti0.78?0.22O1.12F0.4(OH)0.48. Solid-state 19F NMR spectroscopy reveals that fluoride ions can accommodate up to three different environments, depending on Ti and vacancies (i.e. Ti3-F, Ti2?1-F, and Ti1?2-F), with a preferential location close to vacancies. DFT calculations further confirm the fluoride/vacancy ordering. When its characteristics were evaluated as an electrode for reversible Li-ion storage, the material shows a modified lithium reaction mechanism, which has been rationalized by the occurrence of cationic vacancies acting as additional lithium hosting sites within the anatase framework. Finally, the material shows a fast discharging/charging behavior, compared to TiO2, highlighting the benefits of the structural modifications and paving the way for the design of advanced electrode materials, based on a defect mediated mechanism.","DOI":"10.1021/acs.chemmater.5b01407","ISSN":"0897-4756","journalAbbreviation":"Chem. Mater.","author":[{"family":"Li","given":"Wei"},{"family":"Corradini","given":"Dario"},{"family":"Body","given":"Monique"},{"family":"Legein","given":"Christophe"},{"family":"Salanne","given":"Mathieu"},{"family":"Ma","given":"Jiwei"},{"family":"Chapman","given":"Karena W."},{"family":"Chupas","given":"Peter J."},{"family":"Rollet","given":"Anne-Laure"},{"family":"Julien","given":"Christian"},{"family":"Zhagib","given":"Karim"},{"family":"Duttine","given":"Mathieu"},{"family":"Demourgues","given":"Alain"},{"family":"Groult","given":"Henri"},{"family":"Dambournet","given":"Damien"}],"issued":{"date-parts":[["2015",7,28]]}}}],"schema":"https://github.com/citation-style-language/schema/raw/master/csl-citation.json"} </w:instrText>
      </w:r>
      <w:r>
        <w:fldChar w:fldCharType="separate"/>
      </w:r>
      <w:r w:rsidRPr="003056E0">
        <w:rPr>
          <w:rFonts w:cs="Times"/>
        </w:rPr>
        <w:t>[17]</w:t>
      </w:r>
      <w:r>
        <w:fldChar w:fldCharType="end"/>
      </w:r>
      <w:r>
        <w:t xml:space="preserve"> </w:t>
      </w:r>
      <w:r>
        <w:rPr>
          <w:lang w:val="en-GB"/>
        </w:rPr>
        <w:t xml:space="preserve">The </w:t>
      </w:r>
      <w:r>
        <w:rPr>
          <w:lang w:val="en-GB"/>
        </w:rPr>
        <w:lastRenderedPageBreak/>
        <w:t xml:space="preserve">intercalation of </w:t>
      </w:r>
      <w:r>
        <w:t>Li</w:t>
      </w:r>
      <w:r>
        <w:rPr>
          <w:vertAlign w:val="superscript"/>
        </w:rPr>
        <w:t>+</w:t>
      </w:r>
      <w:r>
        <w:t>/Mg</w:t>
      </w:r>
      <w:r>
        <w:rPr>
          <w:vertAlign w:val="superscript"/>
        </w:rPr>
        <w:t>2+</w:t>
      </w:r>
      <w:r>
        <w:t xml:space="preserve"> </w:t>
      </w:r>
      <w:r>
        <w:rPr>
          <w:lang w:val="en-GB"/>
        </w:rPr>
        <w:t>ion being simultaneous with the reduction of Ti</w:t>
      </w:r>
      <w:r>
        <w:rPr>
          <w:vertAlign w:val="superscript"/>
          <w:lang w:val="en-GB"/>
        </w:rPr>
        <w:t>4+</w:t>
      </w:r>
      <w:r>
        <w:rPr>
          <w:lang w:val="en-GB"/>
        </w:rPr>
        <w:t xml:space="preserve"> ions into Ti</w:t>
      </w:r>
      <w:r>
        <w:rPr>
          <w:vertAlign w:val="superscript"/>
          <w:lang w:val="en-GB"/>
        </w:rPr>
        <w:t>3+</w:t>
      </w:r>
      <w:r>
        <w:rPr>
          <w:lang w:val="en-GB"/>
        </w:rPr>
        <w:t xml:space="preserve"> ions, the number of potential fluorine environments dramatically increases from the pristine compound to the </w:t>
      </w:r>
      <w:r>
        <w:t>discharged and charged electrodes in which the cationic site is occupied by four different cations (Ti</w:t>
      </w:r>
      <w:r>
        <w:rPr>
          <w:vertAlign w:val="superscript"/>
        </w:rPr>
        <w:t>4+</w:t>
      </w:r>
      <w:r>
        <w:t>, Ti</w:t>
      </w:r>
      <w:r>
        <w:rPr>
          <w:vertAlign w:val="superscript"/>
        </w:rPr>
        <w:t>3+</w:t>
      </w:r>
      <w:r>
        <w:t>, Li</w:t>
      </w:r>
      <w:r>
        <w:rPr>
          <w:vertAlign w:val="superscript"/>
        </w:rPr>
        <w:t>+</w:t>
      </w:r>
      <w:r>
        <w:t xml:space="preserve"> and Mg</w:t>
      </w:r>
      <w:r>
        <w:rPr>
          <w:vertAlign w:val="superscript"/>
        </w:rPr>
        <w:t>2+</w:t>
      </w:r>
      <w:r>
        <w:t>) or remaining vacancies, without forgetting the additional environments resulting from Li</w:t>
      </w:r>
      <w:r>
        <w:rPr>
          <w:vertAlign w:val="superscript"/>
        </w:rPr>
        <w:t>+</w:t>
      </w:r>
      <w:r>
        <w:t xml:space="preserve"> ions located at interstitial sites. Based on the </w:t>
      </w:r>
      <w:r>
        <w:rPr>
          <w:vertAlign w:val="superscript"/>
          <w:lang w:val="en-GB"/>
        </w:rPr>
        <w:t>19</w:t>
      </w:r>
      <w:r>
        <w:rPr>
          <w:lang w:val="en-GB"/>
        </w:rPr>
        <w:t>F NMR chemical shift values of the environments Ti</w:t>
      </w:r>
      <w:r>
        <w:rPr>
          <w:vertAlign w:val="superscript"/>
          <w:lang w:val="en-GB"/>
        </w:rPr>
        <w:t>IV</w:t>
      </w:r>
      <w:r w:rsidR="007F7C51">
        <w:sym w:font="Wingdings" w:char="F0A8"/>
      </w:r>
      <w:r>
        <w:rPr>
          <w:vertAlign w:val="subscript"/>
          <w:lang w:val="en-GB"/>
        </w:rPr>
        <w:t>2</w:t>
      </w:r>
      <w:r>
        <w:rPr>
          <w:lang w:val="en-GB"/>
        </w:rPr>
        <w:t>-F, Ti</w:t>
      </w:r>
      <w:r>
        <w:rPr>
          <w:vertAlign w:val="superscript"/>
          <w:lang w:val="en-GB"/>
        </w:rPr>
        <w:t>IV</w:t>
      </w:r>
      <w:r>
        <w:rPr>
          <w:vertAlign w:val="subscript"/>
          <w:lang w:val="en-GB"/>
        </w:rPr>
        <w:t>2</w:t>
      </w:r>
      <w:r w:rsidR="007F7C51">
        <w:sym w:font="Wingdings" w:char="F0A8"/>
      </w:r>
      <w:r>
        <w:rPr>
          <w:lang w:val="en-GB"/>
        </w:rPr>
        <w:t>-F and Ti</w:t>
      </w:r>
      <w:r>
        <w:rPr>
          <w:vertAlign w:val="superscript"/>
          <w:lang w:val="en-GB"/>
        </w:rPr>
        <w:t>IV</w:t>
      </w:r>
      <w:r>
        <w:rPr>
          <w:vertAlign w:val="subscript"/>
          <w:lang w:val="en-GB"/>
        </w:rPr>
        <w:t>3</w:t>
      </w:r>
      <w:r>
        <w:rPr>
          <w:lang w:val="en-GB"/>
        </w:rPr>
        <w:t>-F in Ti</w:t>
      </w:r>
      <w:r>
        <w:rPr>
          <w:vertAlign w:val="subscript"/>
          <w:lang w:val="en-GB"/>
        </w:rPr>
        <w:t>0.78</w:t>
      </w:r>
      <w:r w:rsidR="007F7C51">
        <w:sym w:font="Wingdings" w:char="F0A8"/>
      </w:r>
      <w:r>
        <w:rPr>
          <w:vertAlign w:val="subscript"/>
          <w:lang w:val="en-GB"/>
        </w:rPr>
        <w:t>0.22</w:t>
      </w:r>
      <w:r>
        <w:rPr>
          <w:lang w:val="en-GB"/>
        </w:rPr>
        <w:t>O</w:t>
      </w:r>
      <w:r>
        <w:rPr>
          <w:vertAlign w:val="subscript"/>
          <w:lang w:val="en-GB"/>
        </w:rPr>
        <w:t>1.12</w:t>
      </w:r>
      <w:r>
        <w:rPr>
          <w:lang w:val="en-GB"/>
        </w:rPr>
        <w:t>F</w:t>
      </w:r>
      <w:r>
        <w:rPr>
          <w:vertAlign w:val="subscript"/>
          <w:lang w:val="en-GB"/>
        </w:rPr>
        <w:t>0.40</w:t>
      </w:r>
      <w:r>
        <w:rPr>
          <w:lang w:val="en-GB"/>
        </w:rPr>
        <w:t>(OH)</w:t>
      </w:r>
      <w:r>
        <w:rPr>
          <w:vertAlign w:val="subscript"/>
          <w:lang w:val="en-GB"/>
        </w:rPr>
        <w:t>0.48</w:t>
      </w:r>
      <w:r>
        <w:rPr>
          <w:lang w:val="en-GB"/>
        </w:rPr>
        <w:t xml:space="preserve">, </w:t>
      </w:r>
      <w:r>
        <w:rPr>
          <w:bCs/>
        </w:rPr>
        <w:t>F-Ti</w:t>
      </w:r>
      <w:r>
        <w:rPr>
          <w:bCs/>
          <w:vertAlign w:val="superscript"/>
        </w:rPr>
        <w:t>III</w:t>
      </w:r>
      <w:r>
        <w:rPr>
          <w:bCs/>
          <w:vertAlign w:val="subscript"/>
        </w:rPr>
        <w:t>2</w:t>
      </w:r>
      <w:r>
        <w:rPr>
          <w:bCs/>
        </w:rPr>
        <w:t>-F in TiF</w:t>
      </w:r>
      <w:r>
        <w:rPr>
          <w:bCs/>
          <w:vertAlign w:val="subscript"/>
        </w:rPr>
        <w:t>3</w:t>
      </w:r>
      <w:r>
        <w:rPr>
          <w:bCs/>
        </w:rPr>
        <w:t xml:space="preserve"> (-145 ppm</w:t>
      </w:r>
      <w:r>
        <w:rPr>
          <w:vertAlign w:val="superscript"/>
        </w:rPr>
        <w:t>[16]</w:t>
      </w:r>
      <w:r>
        <w:rPr>
          <w:bCs/>
        </w:rPr>
        <w:t>), F-Mg</w:t>
      </w:r>
      <w:r>
        <w:rPr>
          <w:bCs/>
          <w:vertAlign w:val="subscript"/>
        </w:rPr>
        <w:t>3</w:t>
      </w:r>
      <w:r>
        <w:rPr>
          <w:bCs/>
        </w:rPr>
        <w:t xml:space="preserve"> in MgF</w:t>
      </w:r>
      <w:r>
        <w:rPr>
          <w:bCs/>
          <w:vertAlign w:val="subscript"/>
        </w:rPr>
        <w:t>2</w:t>
      </w:r>
      <w:r>
        <w:rPr>
          <w:bCs/>
        </w:rPr>
        <w:t xml:space="preserve"> (-197 ppm</w:t>
      </w:r>
      <w:r>
        <w:fldChar w:fldCharType="begin"/>
      </w:r>
      <w:r w:rsidR="00CA4C4F">
        <w:rPr>
          <w:bCs/>
          <w:vertAlign w:val="subscript"/>
        </w:rPr>
        <w:instrText xml:space="preserve"> ADDIN ZOTERO_ITEM CSL_CITATION {"citationID":"31OVxGKY","properties":{"formattedCitation":"[31]","plainCitation":"[31]","noteIndex":0},"citationItems":[{"id":2858,"uris":["http://zotero.org/users/4816088/items/WD6SWSVI"],"uri":["http://zotero.org/users/4816088/items/WD6SWSVI"],"itemData":{"id":2858,"type":"article-journal","title":"NMR parameters in alkali, alkaline earth and rare earth fluorides from first principle calculations","container-title":"Physical Chemistry Chemical Physics","page":"18539-18550","volume":"13","issue":"41","source":"pubs.rsc.org.accesdistant.upmc.fr","abstract":"19F isotropic chemical shifts for alkali, alkaline earth and rare earth of column 3 basic fluorides are measured and the corresponding isotropic chemical shieldings are calculated using the GIPAW method. When using the PBE exchange–correlation functional for the treatment of the cationic localized empty orbitals of Ca2+, Sc3+ (3d) and La3+ (4f), a correction is needed to accurately calculate 19F chemical shieldings. We show that the correlation between experimental isotropic chemical shifts and calculated isotropic chemical shieldings established for the studied compounds allows us to predict 19F NMR spectra of crystalline compounds with a relatively good accuracy. In addition, we experimentally determine the quadrupolar parameters of 25Mg in MgF2 and calculate the electric field gradients of 25Mg in MgF2 and 139La in LaF3 using both PAW and LAPW methods. The orientation of the EFG components in the crystallographic frame, provided by DFT calculations, is analysed in terms of electron densities. It is shown that consideration of the quadrupolar charge deformation is essential for the analysis of slightly distorted environments or highly irregular polyhedra.","DOI":"10.1039/C1CP21253B","ISSN":"1463-9084","journalAbbreviation":"Phys. Chem. Chem. Phys.","language":"en","author":[{"family":"Sadoc","given":"Aymeric"},{"family":"Body","given":"Monique"},{"family":"Legein","given":"Christophe"},{"family":"Biswal","given":"Mamata"},{"family":"Fayon","given":"Franck"},{"family":"Rocquefelte","given":"Xavier"},{"family":"Boucher","given":"Florent"}],"issued":{"date-parts":[["2011",10,11]]}}}],"schema":"https://github.com/citation-style-language/schema/raw/master/csl-citation.json"} </w:instrText>
      </w:r>
      <w:r>
        <w:fldChar w:fldCharType="separate"/>
      </w:r>
      <w:r w:rsidR="00CA4C4F" w:rsidRPr="00CA4C4F">
        <w:rPr>
          <w:rFonts w:cs="Times"/>
        </w:rPr>
        <w:t>[31]</w:t>
      </w:r>
      <w:r>
        <w:fldChar w:fldCharType="end"/>
      </w:r>
      <w:r>
        <w:rPr>
          <w:bCs/>
        </w:rPr>
        <w:t>) and F-Li</w:t>
      </w:r>
      <w:r>
        <w:rPr>
          <w:bCs/>
          <w:vertAlign w:val="subscript"/>
        </w:rPr>
        <w:t>6</w:t>
      </w:r>
      <w:r>
        <w:rPr>
          <w:bCs/>
        </w:rPr>
        <w:t xml:space="preserve"> in LiF (-204 ppm</w:t>
      </w:r>
      <w:r>
        <w:fldChar w:fldCharType="begin"/>
      </w:r>
      <w:r w:rsidR="00CA4C4F">
        <w:rPr>
          <w:bCs/>
          <w:vertAlign w:val="subscript"/>
        </w:rPr>
        <w:instrText xml:space="preserve"> ADDIN ZOTERO_ITEM CSL_CITATION {"citationID":"f188uULi","properties":{"formattedCitation":"[31]","plainCitation":"[31]","noteIndex":0},"citationItems":[{"id":2858,"uris":["http://zotero.org/users/4816088/items/WD6SWSVI"],"uri":["http://zotero.org/users/4816088/items/WD6SWSVI"],"itemData":{"id":2858,"type":"article-journal","title":"NMR parameters in alkali, alkaline earth and rare earth fluorides from first principle calculations","container-title":"Physical Chemistry Chemical Physics","page":"18539-18550","volume":"13","issue":"41","source":"pubs.rsc.org.accesdistant.upmc.fr","abstract":"19F isotropic chemical shifts for alkali, alkaline earth and rare earth of column 3 basic fluorides are measured and the corresponding isotropic chemical shieldings are calculated using the GIPAW method. When using the PBE exchange–correlation functional for the treatment of the cationic localized empty orbitals of Ca2+, Sc3+ (3d) and La3+ (4f), a correction is needed to accurately calculate 19F chemical shieldings. We show that the correlation between experimental isotropic chemical shifts and calculated isotropic chemical shieldings established for the studied compounds allows us to predict 19F NMR spectra of crystalline compounds with a relatively good accuracy. In addition, we experimentally determine the quadrupolar parameters of 25Mg in MgF2 and calculate the electric field gradients of 25Mg in MgF2 and 139La in LaF3 using both PAW and LAPW methods. The orientation of the EFG components in the crystallographic frame, provided by DFT calculations, is analysed in terms of electron densities. It is shown that consideration of the quadrupolar charge deformation is essential for the analysis of slightly distorted environments or highly irregular polyhedra.","DOI":"10.1039/C1CP21253B","ISSN":"1463-9084","journalAbbreviation":"Phys. Chem. Chem. Phys.","language":"en","author":[{"family":"Sadoc","given":"Aymeric"},{"family":"Body","given":"Monique"},{"family":"Legein","given":"Christophe"},{"family":"Biswal","given":"Mamata"},{"family":"Fayon","given":"Franck"},{"family":"Rocquefelte","given":"Xavier"},{"family":"Boucher","given":"Florent"}],"issued":{"date-parts":[["2011",10,11]]}}}],"schema":"https://github.com/citation-style-language/schema/raw/master/csl-citation.json"} </w:instrText>
      </w:r>
      <w:r>
        <w:fldChar w:fldCharType="separate"/>
      </w:r>
      <w:r w:rsidR="00CA4C4F" w:rsidRPr="00CA4C4F">
        <w:rPr>
          <w:rFonts w:cs="Times"/>
        </w:rPr>
        <w:t>[31]</w:t>
      </w:r>
      <w:r>
        <w:fldChar w:fldCharType="end"/>
      </w:r>
      <w:r>
        <w:rPr>
          <w:bCs/>
        </w:rPr>
        <w:t xml:space="preserve">), </w:t>
      </w:r>
      <w:r>
        <w:rPr>
          <w:lang w:val="en-GB"/>
        </w:rPr>
        <w:t xml:space="preserve">and on the decrease of the </w:t>
      </w:r>
      <w:r>
        <w:rPr>
          <w:vertAlign w:val="superscript"/>
          <w:lang w:val="en-GB"/>
        </w:rPr>
        <w:t>19</w:t>
      </w:r>
      <w:r>
        <w:rPr>
          <w:lang w:val="en-GB"/>
        </w:rPr>
        <w:t xml:space="preserve">F chemical shift value when the coordination number of fluorine increases, the intercalation of </w:t>
      </w:r>
      <w:r>
        <w:t>Li</w:t>
      </w:r>
      <w:r>
        <w:rPr>
          <w:vertAlign w:val="superscript"/>
        </w:rPr>
        <w:t>+</w:t>
      </w:r>
      <w:r>
        <w:t xml:space="preserve"> and/or Mg</w:t>
      </w:r>
      <w:r>
        <w:rPr>
          <w:vertAlign w:val="superscript"/>
        </w:rPr>
        <w:t>2+</w:t>
      </w:r>
      <w:r>
        <w:t xml:space="preserve"> </w:t>
      </w:r>
      <w:r>
        <w:rPr>
          <w:lang w:val="en-GB"/>
        </w:rPr>
        <w:t>ions in titanium vacancies and the reduction of a Ti</w:t>
      </w:r>
      <w:r>
        <w:rPr>
          <w:vertAlign w:val="superscript"/>
          <w:lang w:val="en-GB"/>
        </w:rPr>
        <w:t>4+</w:t>
      </w:r>
      <w:r>
        <w:rPr>
          <w:lang w:val="en-GB"/>
        </w:rPr>
        <w:t xml:space="preserve"> ion into a Ti</w:t>
      </w:r>
      <w:r>
        <w:rPr>
          <w:vertAlign w:val="superscript"/>
          <w:lang w:val="en-GB"/>
        </w:rPr>
        <w:t>3+</w:t>
      </w:r>
      <w:r>
        <w:rPr>
          <w:lang w:val="en-GB"/>
        </w:rPr>
        <w:t xml:space="preserve"> ion induce a decrease of the </w:t>
      </w:r>
      <w:r>
        <w:rPr>
          <w:vertAlign w:val="superscript"/>
          <w:lang w:val="en-GB"/>
        </w:rPr>
        <w:t>19</w:t>
      </w:r>
      <w:r>
        <w:rPr>
          <w:lang w:val="en-GB"/>
        </w:rPr>
        <w:t xml:space="preserve">F chemical shift value of the neighbouring </w:t>
      </w:r>
      <w:r>
        <w:rPr>
          <w:vertAlign w:val="superscript"/>
          <w:lang w:val="en-GB"/>
        </w:rPr>
        <w:t>19</w:t>
      </w:r>
      <w:r>
        <w:rPr>
          <w:lang w:val="en-GB"/>
        </w:rPr>
        <w:t>F nucleus. And indeed, a</w:t>
      </w:r>
      <w:r>
        <w:t>fter Li</w:t>
      </w:r>
      <w:r>
        <w:rPr>
          <w:vertAlign w:val="superscript"/>
        </w:rPr>
        <w:t>+</w:t>
      </w:r>
      <w:r>
        <w:t>/Mg</w:t>
      </w:r>
      <w:r>
        <w:rPr>
          <w:vertAlign w:val="superscript"/>
        </w:rPr>
        <w:t>2+</w:t>
      </w:r>
      <w:r>
        <w:t xml:space="preserve"> co-intercalation, as after intercalation of Mg</w:t>
      </w:r>
      <w:r>
        <w:rPr>
          <w:vertAlign w:val="superscript"/>
        </w:rPr>
        <w:t>2+[16]</w:t>
      </w:r>
      <w:r>
        <w:t xml:space="preserve"> or Li</w:t>
      </w:r>
      <w:r>
        <w:rPr>
          <w:vertAlign w:val="superscript"/>
        </w:rPr>
        <w:t>+</w:t>
      </w:r>
      <w:r>
        <w:t>,</w:t>
      </w:r>
      <w:r>
        <w:fldChar w:fldCharType="begin"/>
      </w:r>
      <w:r w:rsidR="00CA4C4F">
        <w:instrText xml:space="preserve"> ADDIN ZOTERO_ITEM CSL_CITATION {"citationID":"okUy0QvA","properties":{"formattedCitation":"[32]","plainCitation":"[32]","noteIndex":0},"citationItems":[{"id":2841,"uris":["http://zotero.org/users/4816088/items/VPAETU2W"],"uri":["http://zotero.org/users/4816088/items/VPAETU2W"],"itemData":{"id":2841,"type":"article-journal","title":"Lithium Intercalation in Anatase Titanium Vacancies and the Role of Local Anionic Environment","container-title":"Chemistry of Materials","page":"3078-3089","volume":"30","issue":"9","source":"ACS Publications","abstract":"The structure of bulk and nondefective compounds is generally described with crystal models built from well mastered techniques such the analysis of an X-ray diffractogram. The presence of defects, such as cationic vacancies, locally disrupt the long-range order, with the appearance of local structures with order extending only a few nanometers. To probe and describe the electrochemical properties of cation-deficient anatase, we investigated a series of materials having different concentrations of vacancies, i.e., Ti1–x–y□x+yO2–4(x+y)F4x(OH)4y, and compared their properties with respect to defect-free stoichiometric anatase TiO2. At first, we characterized the series of materials Ti1–x–y□x+yO2–4(x+y)F4x(OH)4y by means of pair distribution function (PDF), 19F nuclear magnetic resonance (NMR), Raman and X-ray photoelectron spectroscopies, to probe the compositional and structural features. Second, we characterized the insertion electrochemical properties vs metallic lithium where we emphasized the beneficial role of the vacancies on the cyclability of the electrode under high C-rate, with performances scaling with the concentration of vacancies. The improved properties were explained by the change of the lithium insertion mechanism due to the presence of the vacancies, which act as host sites and suppress the phase transition typically observed in pure TiO2, and further favor diffusive transport of lithium within the structure. NMR spectroscopy performed on lithiated samples provides evidence for the insertion of lithium in vacancies. By combining electrochemistry and DFT-calculations, we characterized the electrochemical signatures of the lithium insertion in the vacancies. Importantly, we found that the insertion voltage largely depends on the local anionic environment of the vacancy with a fluoride and hydroxide-rich environments, yielding high and low insertion voltages, respectively. This work further supports the beneficial use of defects engineering in electrodes for batteries and provides new fundamental knowledge in the insertion chemistry of cationic vacancies as host sites.","DOI":"10.1021/acs.chemmater.8b00925","ISSN":"0897-4756","journalAbbreviation":"Chem. Mater.","author":[{"family":"Ma","given":"Jiwei"},{"family":"Li","given":"Wei"},{"family":"Morgan","given":"Benjamin J."},{"family":"Światowska","given":"Jolanta"},{"family":"Baddour-Hadjean","given":"Rita"},{"family":"Body","given":"Monique"},{"family":"Legein","given":"Christophe"},{"family":"Borkiewicz","given":"Olaf J."},{"family":"Leclerc","given":"Sandrine"},{"family":"Groult","given":"Henri"},{"family":"Lantelme","given":"Frédéric"},{"family":"Laberty-Robert","given":"Christel"},{"family":"Dambournet","given":"Damien"}],"issued":{"date-parts":[["2018",5,8]]}}}],"schema":"https://github.com/citation-style-language/schema/raw/master/csl-citation.json"} </w:instrText>
      </w:r>
      <w:r>
        <w:fldChar w:fldCharType="separate"/>
      </w:r>
      <w:r w:rsidR="00CA4C4F" w:rsidRPr="00CA4C4F">
        <w:rPr>
          <w:rFonts w:cs="Times"/>
        </w:rPr>
        <w:t>[32]</w:t>
      </w:r>
      <w:r>
        <w:fldChar w:fldCharType="end"/>
      </w:r>
      <w:r>
        <w:t xml:space="preserve"> we observed an overall offset of chemical shift toward lower values. The weighted average chemical shift value (&lt;</w:t>
      </w:r>
      <w:r>
        <w:rPr>
          <w:vertAlign w:val="superscript"/>
        </w:rPr>
        <w:t>19</w:t>
      </w:r>
      <w:r>
        <w:t xml:space="preserve">F </w:t>
      </w:r>
      <w:r>
        <w:rPr>
          <w:i/>
        </w:rPr>
        <w:t>δ</w:t>
      </w:r>
      <w:r>
        <w:rPr>
          <w:vertAlign w:val="subscript"/>
        </w:rPr>
        <w:t>iso</w:t>
      </w:r>
      <w:r>
        <w:t xml:space="preserve">&gt;) decreases from 25 ppm for the pristine sample to -150 ppm for the discharged electrode </w:t>
      </w:r>
      <w:r>
        <w:rPr>
          <w:kern w:val="20"/>
          <w:lang w:eastAsia="zh-CN"/>
        </w:rPr>
        <w:t>using hybrid electrolyte 0.2 M APC + 1 M LiCl (</w:t>
      </w:r>
      <w:r>
        <w:rPr>
          <w:b/>
        </w:rPr>
        <w:t>Tables S1</w:t>
      </w:r>
      <w:r>
        <w:rPr>
          <w:rFonts w:hint="eastAsia"/>
          <w:b/>
        </w:rPr>
        <w:t>−</w:t>
      </w:r>
      <w:r>
        <w:rPr>
          <w:b/>
        </w:rPr>
        <w:t>S4</w:t>
      </w:r>
      <w:r>
        <w:t>). This shift is concomitant with the disappearance of the resonance characteristic of the F-Ti</w:t>
      </w:r>
      <w:r>
        <w:rPr>
          <w:vertAlign w:val="superscript"/>
        </w:rPr>
        <w:t>IV</w:t>
      </w:r>
      <w:r>
        <w:sym w:font="Wingdings" w:char="F0A8"/>
      </w:r>
      <w:r>
        <w:rPr>
          <w:vertAlign w:val="subscript"/>
        </w:rPr>
        <w:t>2</w:t>
      </w:r>
      <w:r>
        <w:t xml:space="preserve"> species and the decrease (down to zero for the discharged electrode </w:t>
      </w:r>
      <w:r>
        <w:rPr>
          <w:kern w:val="20"/>
          <w:lang w:eastAsia="zh-CN"/>
        </w:rPr>
        <w:t>using hybrid electrolyte 0.2 M APC + 1 M LiCl)</w:t>
      </w:r>
      <w:r>
        <w:t xml:space="preserve"> of the relative intensity of the resonance characteristic of the F-Ti</w:t>
      </w:r>
      <w:r>
        <w:rPr>
          <w:vertAlign w:val="superscript"/>
        </w:rPr>
        <w:t>IV</w:t>
      </w:r>
      <w:r>
        <w:rPr>
          <w:vertAlign w:val="subscript"/>
        </w:rPr>
        <w:t>2</w:t>
      </w:r>
      <w:r>
        <w:sym w:font="Wingdings" w:char="F0A8"/>
      </w:r>
      <w:r>
        <w:t xml:space="preserve"> species, indicating the insertion of Li</w:t>
      </w:r>
      <w:r>
        <w:rPr>
          <w:vertAlign w:val="superscript"/>
        </w:rPr>
        <w:t>+</w:t>
      </w:r>
      <w:r>
        <w:t xml:space="preserve"> and Mg</w:t>
      </w:r>
      <w:r>
        <w:rPr>
          <w:vertAlign w:val="superscript"/>
        </w:rPr>
        <w:t>2+</w:t>
      </w:r>
      <w:r>
        <w:t xml:space="preserve"> in the Ti vacancies (and/or the reduction of Ti</w:t>
      </w:r>
      <w:r>
        <w:rPr>
          <w:vertAlign w:val="superscript"/>
        </w:rPr>
        <w:t>IV</w:t>
      </w:r>
      <w:r>
        <w:t xml:space="preserve"> in Ti</w:t>
      </w:r>
      <w:r>
        <w:rPr>
          <w:vertAlign w:val="superscript"/>
        </w:rPr>
        <w:t>III</w:t>
      </w:r>
      <w:r>
        <w:t xml:space="preserve">). The co-intercalation reaction is also accompanied by the appearance of sharp resonances centered at around -200 ppm, lying within the </w:t>
      </w:r>
      <w:r>
        <w:rPr>
          <w:bCs/>
          <w:i/>
        </w:rPr>
        <w:sym w:font="Symbol" w:char="F064"/>
      </w:r>
      <w:r>
        <w:rPr>
          <w:bCs/>
          <w:vertAlign w:val="subscript"/>
        </w:rPr>
        <w:t>iso</w:t>
      </w:r>
      <w:r>
        <w:rPr>
          <w:bCs/>
        </w:rPr>
        <w:t xml:space="preserve"> values of F-Mg</w:t>
      </w:r>
      <w:r>
        <w:rPr>
          <w:bCs/>
          <w:vertAlign w:val="subscript"/>
        </w:rPr>
        <w:t>3</w:t>
      </w:r>
      <w:r>
        <w:rPr>
          <w:bCs/>
        </w:rPr>
        <w:t xml:space="preserve"> and F-Li</w:t>
      </w:r>
      <w:r>
        <w:rPr>
          <w:bCs/>
          <w:vertAlign w:val="subscript"/>
        </w:rPr>
        <w:t>6</w:t>
      </w:r>
      <w:r>
        <w:rPr>
          <w:bCs/>
        </w:rPr>
        <w:t xml:space="preserve"> environments in MgF</w:t>
      </w:r>
      <w:r>
        <w:rPr>
          <w:bCs/>
          <w:vertAlign w:val="subscript"/>
        </w:rPr>
        <w:t>2</w:t>
      </w:r>
      <w:r>
        <w:rPr>
          <w:bCs/>
        </w:rPr>
        <w:t xml:space="preserve"> and LiF, respectively.</w:t>
      </w:r>
      <w:r>
        <w:fldChar w:fldCharType="begin"/>
      </w:r>
      <w:r w:rsidR="00CA4C4F">
        <w:rPr>
          <w:bCs/>
        </w:rPr>
        <w:instrText xml:space="preserve"> ADDIN ZOTERO_ITEM CSL_CITATION {"citationID":"uYJcZFED","properties":{"formattedCitation":"[31]","plainCitation":"[31]","noteIndex":0},"citationItems":[{"id":2858,"uris":["http://zotero.org/users/4816088/items/WD6SWSVI"],"uri":["http://zotero.org/users/4816088/items/WD6SWSVI"],"itemData":{"id":2858,"type":"article-journal","title":"NMR parameters in alkali, alkaline earth and rare earth fluorides from first principle calculations","container-title":"Physical Chemistry Chemical Physics","page":"18539-18550","volume":"13","issue":"41","source":"pubs.rsc.org.accesdistant.upmc.fr","abstract":"19F isotropic chemical shifts for alkali, alkaline earth and rare earth of column 3 basic fluorides are measured and the corresponding isotropic chemical shieldings are calculated using the GIPAW method. When using the PBE exchange–correlation functional for the treatment of the cationic localized empty orbitals of Ca2+, Sc3+ (3d) and La3+ (4f), a correction is needed to accurately calculate 19F chemical shieldings. We show that the correlation between experimental isotropic chemical shifts and calculated isotropic chemical shieldings established for the studied compounds allows us to predict 19F NMR spectra of crystalline compounds with a relatively good accuracy. In addition, we experimentally determine the quadrupolar parameters of 25Mg in MgF2 and calculate the electric field gradients of 25Mg in MgF2 and 139La in LaF3 using both PAW and LAPW methods. The orientation of the EFG components in the crystallographic frame, provided by DFT calculations, is analysed in terms of electron densities. It is shown that consideration of the quadrupolar charge deformation is essential for the analysis of slightly distorted environments or highly irregular polyhedra.","DOI":"10.1039/C1CP21253B","ISSN":"1463-9084","journalAbbreviation":"Phys. Chem. Chem. Phys.","language":"en","author":[{"family":"Sadoc","given":"Aymeric"},{"family":"Body","given":"Monique"},{"family":"Legein","given":"Christophe"},{"family":"Biswal","given":"Mamata"},{"family":"Fayon","given":"Franck"},{"family":"Rocquefelte","given":"Xavier"},{"family":"Boucher","given":"Florent"}],"issued":{"date-parts":[["2011",10,11]]}}}],"schema":"https://github.com/citation-style-language/schema/raw/master/csl-citation.json"} </w:instrText>
      </w:r>
      <w:r>
        <w:fldChar w:fldCharType="separate"/>
      </w:r>
      <w:r w:rsidR="00CA4C4F" w:rsidRPr="00CA4C4F">
        <w:rPr>
          <w:rFonts w:cs="Times"/>
        </w:rPr>
        <w:t>[31]</w:t>
      </w:r>
      <w:r>
        <w:fldChar w:fldCharType="end"/>
      </w:r>
      <w:r>
        <w:rPr>
          <w:bCs/>
        </w:rPr>
        <w:t xml:space="preserve"> Upon charging, the relative intensity of these resonances decreases while new ones appears at about –180 ppm. Concomitantly, the relative intensity of the resonances at about 0 ppm increases and </w:t>
      </w:r>
      <w:r>
        <w:rPr>
          <w:bCs/>
        </w:rPr>
        <w:lastRenderedPageBreak/>
        <w:t xml:space="preserve">overall, the </w:t>
      </w:r>
      <w:r>
        <w:t>weighted average chemical shift value</w:t>
      </w:r>
      <w:r>
        <w:rPr>
          <w:bCs/>
        </w:rPr>
        <w:t xml:space="preserve"> increases, in agreement with a partial deintercalation process. </w:t>
      </w:r>
    </w:p>
    <w:p w14:paraId="77F8BD9A" w14:textId="77777777" w:rsidR="003056E0" w:rsidRDefault="003056E0" w:rsidP="003056E0">
      <w:pPr>
        <w:spacing w:line="480" w:lineRule="auto"/>
        <w:jc w:val="center"/>
        <w:rPr>
          <w:shd w:val="pct15" w:color="auto" w:fill="FFFFFF"/>
        </w:rPr>
      </w:pPr>
      <w:r>
        <w:rPr>
          <w:noProof/>
          <w:shd w:val="pct15" w:color="auto" w:fill="FFFFFF"/>
          <w:lang w:val="fr-FR" w:eastAsia="fr-FR"/>
        </w:rPr>
        <w:drawing>
          <wp:inline distT="0" distB="0" distL="0" distR="0" wp14:anchorId="4BDBB105" wp14:editId="4622D8A5">
            <wp:extent cx="5762625" cy="508635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5086350"/>
                    </a:xfrm>
                    <a:prstGeom prst="rect">
                      <a:avLst/>
                    </a:prstGeom>
                    <a:noFill/>
                    <a:ln>
                      <a:noFill/>
                    </a:ln>
                  </pic:spPr>
                </pic:pic>
              </a:graphicData>
            </a:graphic>
          </wp:inline>
        </w:drawing>
      </w:r>
    </w:p>
    <w:p w14:paraId="1C8EAB51" w14:textId="77777777" w:rsidR="003056E0" w:rsidRDefault="003056E0" w:rsidP="003056E0">
      <w:bookmarkStart w:id="25" w:name="OLE_LINK82"/>
      <w:bookmarkStart w:id="26" w:name="OLE_LINK81"/>
      <w:r>
        <w:rPr>
          <w:b/>
          <w:kern w:val="20"/>
          <w:lang w:eastAsia="zh-CN"/>
        </w:rPr>
        <w:t xml:space="preserve">Figure 4. </w:t>
      </w:r>
      <w:r>
        <w:rPr>
          <w:kern w:val="20"/>
          <w:vertAlign w:val="superscript"/>
          <w:lang w:eastAsia="zh-CN"/>
        </w:rPr>
        <w:t>19</w:t>
      </w:r>
      <w:r>
        <w:rPr>
          <w:kern w:val="20"/>
          <w:lang w:eastAsia="zh-CN"/>
        </w:rPr>
        <w:t>F solid-state MAS NMR spectra of pristine (60 kHz) and electrochemically discharged (EoD) and charged (EoC) electrodes (64 kHz) using hybrid electrolyte 0.2 M APC + 0.2 M LiCl and 1 M LiCl</w:t>
      </w:r>
      <w:r>
        <w:t xml:space="preserve">. The black dashed lines indicate the </w:t>
      </w:r>
      <w:r>
        <w:rPr>
          <w:vertAlign w:val="superscript"/>
        </w:rPr>
        <w:t>19</w:t>
      </w:r>
      <w:r>
        <w:t xml:space="preserve">F </w:t>
      </w:r>
      <w:r>
        <w:rPr>
          <w:i/>
        </w:rPr>
        <w:sym w:font="Symbol" w:char="F064"/>
      </w:r>
      <w:r>
        <w:rPr>
          <w:vertAlign w:val="subscript"/>
        </w:rPr>
        <w:t>iso</w:t>
      </w:r>
      <w:r>
        <w:t xml:space="preserve"> values of F-Ti</w:t>
      </w:r>
      <w:r>
        <w:rPr>
          <w:vertAlign w:val="superscript"/>
        </w:rPr>
        <w:t>IV</w:t>
      </w:r>
      <w:r>
        <w:rPr>
          <w:vertAlign w:val="subscript"/>
        </w:rPr>
        <w:t>3</w:t>
      </w:r>
      <w:r>
        <w:t>, F-Ti</w:t>
      </w:r>
      <w:r>
        <w:rPr>
          <w:vertAlign w:val="superscript"/>
        </w:rPr>
        <w:t>IV</w:t>
      </w:r>
      <w:r>
        <w:rPr>
          <w:vertAlign w:val="subscript"/>
        </w:rPr>
        <w:t>2</w:t>
      </w:r>
      <w:r>
        <w:sym w:font="Wingdings" w:char="F0A8"/>
      </w:r>
      <w:r>
        <w:t xml:space="preserve"> and F-Ti</w:t>
      </w:r>
      <w:r>
        <w:rPr>
          <w:vertAlign w:val="superscript"/>
        </w:rPr>
        <w:t>IV</w:t>
      </w:r>
      <w:r>
        <w:sym w:font="Wingdings" w:char="F0A8"/>
      </w:r>
      <w:r>
        <w:rPr>
          <w:vertAlign w:val="subscript"/>
        </w:rPr>
        <w:t>2</w:t>
      </w:r>
      <w:r>
        <w:t xml:space="preserve"> environments in Ti</w:t>
      </w:r>
      <w:r>
        <w:rPr>
          <w:vertAlign w:val="subscript"/>
        </w:rPr>
        <w:t>0.78</w:t>
      </w:r>
      <w:r>
        <w:sym w:font="Wingdings" w:char="F0A8"/>
      </w:r>
      <w:r>
        <w:rPr>
          <w:vertAlign w:val="subscript"/>
        </w:rPr>
        <w:t>0.22</w:t>
      </w:r>
      <w:r>
        <w:t>O</w:t>
      </w:r>
      <w:r>
        <w:rPr>
          <w:vertAlign w:val="subscript"/>
        </w:rPr>
        <w:t>1.12</w:t>
      </w:r>
      <w:r>
        <w:t>F</w:t>
      </w:r>
      <w:r>
        <w:rPr>
          <w:vertAlign w:val="subscript"/>
        </w:rPr>
        <w:t>0.40</w:t>
      </w:r>
      <w:r>
        <w:t>(OH)</w:t>
      </w:r>
      <w:r>
        <w:rPr>
          <w:vertAlign w:val="subscript"/>
        </w:rPr>
        <w:t>0.48</w:t>
      </w:r>
      <w:r>
        <w:t>.</w:t>
      </w:r>
      <w:r>
        <w:fldChar w:fldCharType="begin"/>
      </w:r>
      <w:r>
        <w:instrText xml:space="preserve"> ADDIN ZOTERO_ITEM CSL_CITATION {"citationID":"m5wQUYZZ","properties":{"formattedCitation":"[16,17]","plainCitation":"[16,17]","noteIndex":0},"citationItems":[{"id":978,"uris":["http://zotero.org/users/4816088/items/C6AZCH5Z"],"uri":["http://zotero.org/users/4816088/items/C6AZCH5Z"],"itemData":{"id":978,"type":"article-journal","title":"Reversible magnesium and aluminium ions insertion in cation-deficient anatase TiO&lt;sub&gt;2&lt;/sub&gt;","container-title":"Nature Materials","page":"1142","volume":"16","issue":"11","source":"www.nature.com","abstract":"&lt;p&gt;Compared to monovalent lithium or sodium ions, the reversible insertion of multivalent ions into battery electrodes has proved challenging. An aliovalent doping strategy involving reversible Mg&lt;sup&gt;2+&lt;/sup&gt; and Al&lt;sup&gt;3+&lt;/sup&gt; insertion in anatase TiO&lt;sub&gt;2&lt;/sub&gt; is now reported.&lt;/p&gt;","DOI":"10.1038/nmat4976","ISSN":"1476-4660","language":"En","author":[{"family":"Koketsu","given":"Toshinari"},{"family":"Ma","given":"Jiwei"},{"family":"Morgan","given":"Benjamin J."},{"family":"Body","given":"Monique"},{"family":"Legein","given":"Christophe"},{"family":"Dachraoui","given":"Walid"},{"family":"Giannini","given":"Mattia"},{"family":"Demortière","given":"Arnaud"},{"family":"Salanne","given":"Mathieu"},{"family":"Dardoize","given":"François"},{"family":"Groult","given":"Henri"},{"family":"Borkiewicz","given":"Olaf J."},{"family":"Chapman","given":"Karena W."},{"family":"Strasser","given":"Peter"},{"family":"Dambournet","given":"Damien"}],"issued":{"date-parts":[["2017",11]]}}},{"id":205,"uris":["http://zotero.org/users/4816088/items/6ZHA6KTE"],"uri":["http://zotero.org/users/4816088/items/6ZHA6KTE"],"itemData":{"id":205,"type":"article-journal","title":"High Substitution Rate in TiO2 Anatase Nanoparticles with Cationic Vacancies for Fast Lithium Storage","container-title":"Chemistry of Materials","page":"5014-5019","volume":"27","issue":"14","source":"ACS Publications","abstract":"Doping is generally used to tune and enhance the properties of metal oxides. However, their chemical composition cannot be readily modified beyond low dopant amounts without disrupting the crystalline atomic structure. In the case of anatase TiO2, we introduce a new solution-based chemical route allowing the composition to be significantly modified, substituting the divalent O2? anions by monovalent F? and OH? anions resulting in the formation of cationic Ti4+ vacancies (?) whose concentration can be controlled by the reaction temperature. The resulting polyanionic anatase has the general composition Ti1?x?y?x+yO2?4(x+y)F4x(OH)4y, reaching vacancy concentrations of up to 22%, i.e., Ti0.78?0.22O1.12F0.4(OH)0.48. Solid-state 19F NMR spectroscopy reveals that fluoride ions can accommodate up to three different environments, depending on Ti and vacancies (i.e. Ti3-F, Ti2?1-F, and Ti1?2-F), with a preferential location close to vacancies. DFT calculations further confirm the fluoride/vacancy ordering. When its characteristics were evaluated as an electrode for reversible Li-ion storage, the material shows a modified lithium reaction mechanism, which has been rationalized by the occurrence of cationic vacancies acting as additional lithium hosting sites within the anatase framework. Finally, the material shows a fast discharging/charging behavior, compared to TiO2, highlighting the benefits of the structural modifications and paving the way for the design of advanced electrode materials, based on a defect mediated mechanism.","DOI":"10.1021/acs.chemmater.5b01407","ISSN":"0897-4756","journalAbbreviation":"Chem. Mater.","author":[{"family":"Li","given":"Wei"},{"family":"Corradini","given":"Dario"},{"family":"Body","given":"Monique"},{"family":"Legein","given":"Christophe"},{"family":"Salanne","given":"Mathieu"},{"family":"Ma","given":"Jiwei"},{"family":"Chapman","given":"Karena W."},{"family":"Chupas","given":"Peter J."},{"family":"Rollet","given":"Anne-Laure"},{"family":"Julien","given":"Christian"},{"family":"Zhagib","given":"Karim"},{"family":"Duttine","given":"Mathieu"},{"family":"Demourgues","given":"Alain"},{"family":"Groult","given":"Henri"},{"family":"Dambournet","given":"Damien"}],"issued":{"date-parts":[["2015",7,28]]}}}],"schema":"https://github.com/citation-style-language/schema/raw/master/csl-citation.json"} </w:instrText>
      </w:r>
      <w:r>
        <w:fldChar w:fldCharType="separate"/>
      </w:r>
      <w:r w:rsidRPr="003056E0">
        <w:rPr>
          <w:rFonts w:cs="Times"/>
        </w:rPr>
        <w:t>[16,17]</w:t>
      </w:r>
      <w:r>
        <w:fldChar w:fldCharType="end"/>
      </w:r>
      <w:r>
        <w:t xml:space="preserve"> The red, brown and mauve dashed lines refer </w:t>
      </w:r>
      <w:r>
        <w:rPr>
          <w:bCs/>
        </w:rPr>
        <w:t xml:space="preserve">to the </w:t>
      </w:r>
      <w:r>
        <w:rPr>
          <w:bCs/>
          <w:vertAlign w:val="superscript"/>
        </w:rPr>
        <w:t>19</w:t>
      </w:r>
      <w:r>
        <w:rPr>
          <w:bCs/>
        </w:rPr>
        <w:t xml:space="preserve">F </w:t>
      </w:r>
      <w:r>
        <w:rPr>
          <w:bCs/>
          <w:i/>
        </w:rPr>
        <w:sym w:font="Symbol" w:char="F064"/>
      </w:r>
      <w:r>
        <w:rPr>
          <w:bCs/>
          <w:vertAlign w:val="subscript"/>
        </w:rPr>
        <w:t>iso</w:t>
      </w:r>
      <w:r>
        <w:rPr>
          <w:bCs/>
        </w:rPr>
        <w:t xml:space="preserve"> values of the F-Ti</w:t>
      </w:r>
      <w:r>
        <w:rPr>
          <w:bCs/>
          <w:vertAlign w:val="superscript"/>
        </w:rPr>
        <w:t>III</w:t>
      </w:r>
      <w:r>
        <w:rPr>
          <w:bCs/>
          <w:vertAlign w:val="subscript"/>
        </w:rPr>
        <w:t>2</w:t>
      </w:r>
      <w:r>
        <w:rPr>
          <w:bCs/>
        </w:rPr>
        <w:t>-F environment in TiF</w:t>
      </w:r>
      <w:r>
        <w:rPr>
          <w:bCs/>
          <w:vertAlign w:val="subscript"/>
        </w:rPr>
        <w:t>3</w:t>
      </w:r>
      <w:r>
        <w:rPr>
          <w:bCs/>
        </w:rPr>
        <w:t>,</w:t>
      </w:r>
      <w:r>
        <w:fldChar w:fldCharType="begin"/>
      </w:r>
      <w:r>
        <w:rPr>
          <w:bCs/>
        </w:rPr>
        <w:instrText xml:space="preserve"> ADDIN ZOTERO_ITEM CSL_CITATION {"citationID":"b409AifW","properties":{"formattedCitation":"[16]","plainCitation":"[16]","noteIndex":0},"citationItems":[{"id":978,"uris":["http://zotero.org/users/4816088/items/C6AZCH5Z"],"uri":["http://zotero.org/users/4816088/items/C6AZCH5Z"],"itemData":{"id":978,"type":"article-journal","title":"Reversible magnesium and aluminium ions insertion in cation-deficient anatase TiO&lt;sub&gt;2&lt;/sub&gt;","container-title":"Nature Materials","page":"1142","volume":"16","issue":"11","source":"www.nature.com","abstract":"&lt;p&gt;Compared to monovalent lithium or sodium ions, the reversible insertion of multivalent ions into battery electrodes has proved challenging. An aliovalent doping strategy involving reversible Mg&lt;sup&gt;2+&lt;/sup&gt; and Al&lt;sup&gt;3+&lt;/sup&gt; insertion in anatase TiO&lt;sub&gt;2&lt;/sub&gt; is now reported.&lt;/p&gt;","DOI":"10.1038/nmat4976","ISSN":"1476-4660","language":"En","author":[{"family":"Koketsu","given":"Toshinari"},{"family":"Ma","given":"Jiwei"},{"family":"Morgan","given":"Benjamin J."},{"family":"Body","given":"Monique"},{"family":"Legein","given":"Christophe"},{"family":"Dachraoui","given":"Walid"},{"family":"Giannini","given":"Mattia"},{"family":"Demortière","given":"Arnaud"},{"family":"Salanne","given":"Mathieu"},{"family":"Dardoize","given":"François"},{"family":"Groult","given":"Henri"},{"family":"Borkiewicz","given":"Olaf J."},{"family":"Chapman","given":"Karena W."},{"family":"Strasser","given":"Peter"},{"family":"Dambournet","given":"Damien"}],"issued":{"date-parts":[["2017",11]]}}}],"schema":"https://github.com/citation-style-language/schema/raw/master/csl-citation.json"} </w:instrText>
      </w:r>
      <w:r>
        <w:fldChar w:fldCharType="separate"/>
      </w:r>
      <w:r w:rsidRPr="003056E0">
        <w:rPr>
          <w:rFonts w:cs="Times"/>
        </w:rPr>
        <w:t>[16]</w:t>
      </w:r>
      <w:r>
        <w:fldChar w:fldCharType="end"/>
      </w:r>
      <w:r>
        <w:rPr>
          <w:bCs/>
        </w:rPr>
        <w:t xml:space="preserve"> F-Mg</w:t>
      </w:r>
      <w:r>
        <w:rPr>
          <w:bCs/>
          <w:vertAlign w:val="subscript"/>
        </w:rPr>
        <w:t>3</w:t>
      </w:r>
      <w:r>
        <w:rPr>
          <w:bCs/>
        </w:rPr>
        <w:t xml:space="preserve"> in MgF</w:t>
      </w:r>
      <w:r>
        <w:rPr>
          <w:bCs/>
          <w:vertAlign w:val="subscript"/>
        </w:rPr>
        <w:t>2</w:t>
      </w:r>
      <w:r>
        <w:fldChar w:fldCharType="begin"/>
      </w:r>
      <w:r w:rsidR="00CA4C4F">
        <w:rPr>
          <w:bCs/>
          <w:vertAlign w:val="subscript"/>
        </w:rPr>
        <w:instrText xml:space="preserve"> ADDIN ZOTERO_ITEM CSL_CITATION {"citationID":"5nzEco6X","properties":{"formattedCitation":"[31]","plainCitation":"[31]","noteIndex":0},"citationItems":[{"id":2858,"uris":["http://zotero.org/users/4816088/items/WD6SWSVI"],"uri":["http://zotero.org/users/4816088/items/WD6SWSVI"],"itemData":{"id":2858,"type":"article-journal","title":"NMR parameters in alkali, alkaline earth and rare earth fluorides from first principle calculations","container-title":"Physical Chemistry Chemical Physics","page":"18539-18550","volume":"13","issue":"41","source":"pubs.rsc.org.accesdistant.upmc.fr","abstract":"19F isotropic chemical shifts for alkali, alkaline earth and rare earth of column 3 basic fluorides are measured and the corresponding isotropic chemical shieldings are calculated using the GIPAW method. When using the PBE exchange–correlation functional for the treatment of the cationic localized empty orbitals of Ca2+, Sc3+ (3d) and La3+ (4f), a correction is needed to accurately calculate 19F chemical shieldings. We show that the correlation between experimental isotropic chemical shifts and calculated isotropic chemical shieldings established for the studied compounds allows us to predict 19F NMR spectra of crystalline compounds with a relatively good accuracy. In addition, we experimentally determine the quadrupolar parameters of 25Mg in MgF2 and calculate the electric field gradients of 25Mg in MgF2 and 139La in LaF3 using both PAW and LAPW methods. The orientation of the EFG components in the crystallographic frame, provided by DFT calculations, is analysed in terms of electron densities. It is shown that consideration of the quadrupolar charge deformation is essential for the analysis of slightly distorted environments or highly irregular polyhedra.","DOI":"10.1039/C1CP21253B","ISSN":"1463-9084","journalAbbreviation":"Phys. Chem. Chem. Phys.","language":"en","author":[{"family":"Sadoc","given":"Aymeric"},{"family":"Body","given":"Monique"},{"family":"Legein","given":"Christophe"},{"family":"Biswal","given":"Mamata"},{"family":"Fayon","given":"Franck"},{"family":"Rocquefelte","given":"Xavier"},{"family":"Boucher","given":"Florent"}],"issued":{"date-parts":[["2011",10,11]]}}}],"schema":"https://github.com/citation-style-language/schema/raw/master/csl-citation.json"} </w:instrText>
      </w:r>
      <w:r>
        <w:fldChar w:fldCharType="separate"/>
      </w:r>
      <w:r w:rsidR="00CA4C4F" w:rsidRPr="00CA4C4F">
        <w:rPr>
          <w:rFonts w:cs="Times"/>
        </w:rPr>
        <w:t>[31]</w:t>
      </w:r>
      <w:r>
        <w:fldChar w:fldCharType="end"/>
      </w:r>
      <w:r>
        <w:rPr>
          <w:bCs/>
        </w:rPr>
        <w:t xml:space="preserve"> and  F-Li</w:t>
      </w:r>
      <w:r>
        <w:rPr>
          <w:bCs/>
          <w:vertAlign w:val="subscript"/>
        </w:rPr>
        <w:t>6</w:t>
      </w:r>
      <w:r>
        <w:rPr>
          <w:bCs/>
        </w:rPr>
        <w:t xml:space="preserve"> environment in LiF,</w:t>
      </w:r>
      <w:r>
        <w:fldChar w:fldCharType="begin"/>
      </w:r>
      <w:r w:rsidR="00CA4C4F">
        <w:rPr>
          <w:bCs/>
        </w:rPr>
        <w:instrText xml:space="preserve"> ADDIN ZOTERO_ITEM CSL_CITATION {"citationID":"N31IhJzx","properties":{"formattedCitation":"[31]","plainCitation":"[31]","noteIndex":0},"citationItems":[{"id":2858,"uris":["http://zotero.org/users/4816088/items/WD6SWSVI"],"uri":["http://zotero.org/users/4816088/items/WD6SWSVI"],"itemData":{"id":2858,"type":"article-journal","title":"NMR parameters in alkali, alkaline earth and rare earth fluorides from first principle calculations","container-title":"Physical Chemistry Chemical Physics","page":"18539-18550","volume":"13","issue":"41","source":"pubs.rsc.org.accesdistant.upmc.fr","abstract":"19F isotropic chemical shifts for alkali, alkaline earth and rare earth of column 3 basic fluorides are measured and the corresponding isotropic chemical shieldings are calculated using the GIPAW method. When using the PBE exchange–correlation functional for the treatment of the cationic localized empty orbitals of Ca2+, Sc3+ (3d) and La3+ (4f), a correction is needed to accurately calculate 19F chemical shieldings. We show that the correlation between experimental isotropic chemical shifts and calculated isotropic chemical shieldings established for the studied compounds allows us to predict 19F NMR spectra of crystalline compounds with a relatively good accuracy. In addition, we experimentally determine the quadrupolar parameters of 25Mg in MgF2 and calculate the electric field gradients of 25Mg in MgF2 and 139La in LaF3 using both PAW and LAPW methods. The orientation of the EFG components in the crystallographic frame, provided by DFT calculations, is analysed in terms of electron densities. It is shown that consideration of the quadrupolar charge deformation is essential for the analysis of slightly distorted environments or highly irregular polyhedra.","DOI":"10.1039/C1CP21253B","ISSN":"1463-9084","journalAbbreviation":"Phys. Chem. Chem. Phys.","language":"en","author":[{"family":"Sadoc","given":"Aymeric"},{"family":"Body","given":"Monique"},{"family":"Legein","given":"Christophe"},{"family":"Biswal","given":"Mamata"},{"family":"Fayon","given":"Franck"},{"family":"Rocquefelte","given":"Xavier"},{"family":"Boucher","given":"Florent"}],"issued":{"date-parts":[["2011",10,11]]}}}],"schema":"https://github.com/citation-style-language/schema/raw/master/csl-citation.json"} </w:instrText>
      </w:r>
      <w:r>
        <w:fldChar w:fldCharType="separate"/>
      </w:r>
      <w:r w:rsidR="00CA4C4F" w:rsidRPr="00CA4C4F">
        <w:rPr>
          <w:rFonts w:cs="Times"/>
        </w:rPr>
        <w:t>[31]</w:t>
      </w:r>
      <w:r>
        <w:fldChar w:fldCharType="end"/>
      </w:r>
      <w:r>
        <w:rPr>
          <w:bCs/>
        </w:rPr>
        <w:t xml:space="preserve"> respectively. </w:t>
      </w:r>
    </w:p>
    <w:bookmarkEnd w:id="25"/>
    <w:bookmarkEnd w:id="26"/>
    <w:p w14:paraId="284F0B55" w14:textId="77777777" w:rsidR="003056E0" w:rsidRDefault="003056E0" w:rsidP="003056E0">
      <w:pPr>
        <w:pStyle w:val="Head1"/>
        <w:rPr>
          <w:b w:val="0"/>
        </w:rPr>
      </w:pPr>
    </w:p>
    <w:p w14:paraId="7B728B99" w14:textId="788F03CF" w:rsidR="003056E0" w:rsidRDefault="003056E0" w:rsidP="003056E0">
      <w:pPr>
        <w:autoSpaceDE w:val="0"/>
        <w:autoSpaceDN w:val="0"/>
        <w:adjustRightInd w:val="0"/>
        <w:spacing w:line="480" w:lineRule="auto"/>
        <w:rPr>
          <w:bCs/>
        </w:rPr>
      </w:pPr>
      <w:r>
        <w:rPr>
          <w:bCs/>
          <w:vertAlign w:val="superscript"/>
        </w:rPr>
        <w:lastRenderedPageBreak/>
        <w:t>7</w:t>
      </w:r>
      <w:r>
        <w:rPr>
          <w:bCs/>
        </w:rPr>
        <w:t>Li solid state MAS NMR spectra of the</w:t>
      </w:r>
      <w:r>
        <w:rPr>
          <w:rStyle w:val="TAMainTextCar"/>
          <w:rFonts w:ascii="Times New Roman" w:hAnsi="Times New Roman"/>
        </w:rPr>
        <w:t xml:space="preserve"> electrochemically prepared samples </w:t>
      </w:r>
      <w:r>
        <w:rPr>
          <w:bCs/>
        </w:rPr>
        <w:t>were also recorded (</w:t>
      </w:r>
      <w:r>
        <w:rPr>
          <w:b/>
          <w:bCs/>
        </w:rPr>
        <w:t>Figure S7</w:t>
      </w:r>
      <w:r>
        <w:rPr>
          <w:bCs/>
        </w:rPr>
        <w:t>). The integrated intensity of the signal decreases upon charging (</w:t>
      </w:r>
      <w:r>
        <w:rPr>
          <w:b/>
          <w:bCs/>
        </w:rPr>
        <w:t>Figure 5</w:t>
      </w:r>
      <w:r>
        <w:rPr>
          <w:bCs/>
        </w:rPr>
        <w:t xml:space="preserve">) confirming the deintercalation of lithium, </w:t>
      </w:r>
      <w:r>
        <w:rPr>
          <w:bCs/>
          <w:i/>
        </w:rPr>
        <w:t>i.e.</w:t>
      </w:r>
      <w:r>
        <w:rPr>
          <w:bCs/>
        </w:rPr>
        <w:t>, the reversibility of the reaction. Whereas paramagnetic compounds exhibit lithium resonances shifted over a range of several hundred ppm,</w:t>
      </w:r>
      <w:r>
        <w:fldChar w:fldCharType="begin"/>
      </w:r>
      <w:r w:rsidR="00BF0DF2">
        <w:rPr>
          <w:bCs/>
        </w:rPr>
        <w:instrText xml:space="preserve"> ADDIN ZOTERO_ITEM CSL_CITATION {"citationID":"rlYeWeWG","properties":{"formattedCitation":"[33]","plainCitation":"[33]","noteIndex":0},"citationItems":[{"id":"woE8BCE2/vTY9BKaW","uris":["http://zotero.org/users/5584665/items/KHNI2HUX"],"uri":["http://zotero.org/users/5584665/items/KHNI2HUX"],"itemData":{"id":106,"type":"article-journal","title":"Revealing Defects in Crystalline Lithium-Ion Battery Electrodes by Solid-State NMR: Applications to LiVPO &lt;sub&gt;4&lt;/sub&gt; F","container-title":"Chemistry of Materials","page":"5212-5221","volume":"27","issue":"15","source":"DOI.org (Crossref)","DOI":"10.1021/acs.chemmater.5b01234","ISSN":"0897-4756, 1520-5002","title-short":"Revealing Defects in Crystalline Lithium-Ion Battery Electrodes by Solid-State NMR","journalAbbreviation":"Chem. Mater.","language":"en","author":[{"family":"Messinger","given":"Robert J."},{"family":"Ménétrier","given":"Michel"},{"family":"Salager","given":"Elodie"},{"family":"Boulineau","given":"Adrien"},{"family":"Duttine","given":"Mathieu"},{"family":"Carlier","given":"Dany"},{"family":"Ateba Mba","given":"Jean-Marcel"},{"family":"Croguennec","given":"Laurence"},{"family":"Masquelier","given":"Christian"},{"family":"Massiot","given":"Dominique"},{"family":"Deschamps","given":"Michaël"}],"issued":{"date-parts":[["2015",8,11]]}}}],"schema":"https://github.com/citation-style-language/schema/raw/master/csl-citation.json"} </w:instrText>
      </w:r>
      <w:r>
        <w:fldChar w:fldCharType="separate"/>
      </w:r>
      <w:r w:rsidR="00CA4C4F" w:rsidRPr="00CA4C4F">
        <w:rPr>
          <w:rFonts w:cs="Times"/>
        </w:rPr>
        <w:t>[33]</w:t>
      </w:r>
      <w:r>
        <w:fldChar w:fldCharType="end"/>
      </w:r>
      <w:r>
        <w:rPr>
          <w:bCs/>
        </w:rPr>
        <w:t xml:space="preserve"> due to the Fermi contact interaction, despite containing 3d</w:t>
      </w:r>
      <w:r>
        <w:rPr>
          <w:bCs/>
          <w:vertAlign w:val="superscript"/>
        </w:rPr>
        <w:t>1</w:t>
      </w:r>
      <w:r>
        <w:rPr>
          <w:bCs/>
        </w:rPr>
        <w:t xml:space="preserve"> titanium(III), the electrochemically discharged and charged electrodes, as lithiated anatase,</w:t>
      </w:r>
      <w:r>
        <w:fldChar w:fldCharType="begin"/>
      </w:r>
      <w:r w:rsidR="00BF0DF2">
        <w:rPr>
          <w:bCs/>
        </w:rPr>
        <w:instrText xml:space="preserve"> ADDIN ZOTERO_ITEM CSL_CITATION {"citationID":"CKr3Wkb7","properties":{"formattedCitation":"[34\\uc0\\u8211{}36]","plainCitation":"[34–36]","noteIndex":0},"citationItems":[{"id":"woE8BCE2/OUZMZ7b7","uris":["http://zotero.org/users/5584665/items/RICGBIBQ"],"uri":["http://zotero.org/users/5584665/items/RICGBIBQ"],"itemData":{"id":108,"type":"article-journal","title":"NMR and X-ray Absorption Study of Lithium Intercalation in Micro- and Nanocrystalline Anatase","container-title":"Chemistry of Materials","page":"2089-2102","volume":"11","issue":"8","source":"DOI.org (Crossref)","DOI":"10.1021/cm990007j","ISSN":"0897-4756, 1520-5002","journalAbbreviation":"Chem. Mater.","language":"en","author":[{"family":"Luca","given":"Vittorio"},{"family":"Hanley","given":"Tracey L."},{"family":"Roberts","given":"Nicholas K."},{"family":"Howe","given":"Russell F."}],"issued":{"date-parts":[["1999",8]]}}},{"id":"woE8BCE2/JH3nGF6K","uris":["http://zotero.org/users/5584665/items/Q9DMMIKJ"],"uri":["http://zotero.org/users/5584665/items/Q9DMMIKJ"],"itemData":{"id":109,"type":"article-journal","title":"Two Phase Morphology Limits Lithium Diffusion in TiO &lt;sub&gt;2&lt;/sub&gt; (Anatase): A &lt;sup&gt;7&lt;/sup&gt; Li MAS NMR Study","container-title":"Journal of the American Chemical Society","page":"11454-11461","volume":"123","issue":"46","source":"DOI.org (Crossref)","DOI":"10.1021/ja0161148","ISSN":"0002-7863, 1520-5126","title-short":"Two Phase Morphology Limits Lithium Diffusion in TiO &lt;sub&gt;2&lt;/sub&gt; (Anatase)","journalAbbreviation":"J. Am. Chem. Soc.","language":"en","author":[{"family":"Wagemaker","given":"Marnix"},{"family":"Krol","given":"Roel","non-dropping-particle":"van de"},{"family":"Kentgens","given":"Arno P. M."},{"family":"Well","given":"Ad A.","non-dropping-particle":"van"},{"family":"Mulder","given":"Fokko M."}],"issued":{"date-parts":[["2001",11]]}}},{"id":"woE8BCE2/4wqaNWzO","uris":["http://zotero.org/users/5584665/items/KBI5QVSY"],"uri":["http://zotero.org/users/5584665/items/KBI5QVSY"],"itemData":{"id":110,"type":"article-journal","title":"Solid-State &lt;sup&gt;23&lt;/sup&gt; Na and &lt;sup&gt;7&lt;/sup&gt; Li NMR Investigations of Sodium- and Lithium-Reduced Mesoporous Titanium Oxides","container-title":"Inorganic Chemistry","page":"1828-1838","volume":"45","issue":"4","source":"DOI.org (Crossref)","DOI":"10.1021/ic051654h","ISSN":"0020-1669, 1520-510X","journalAbbreviation":"Inorg. Chem.","language":"en","author":[{"family":"Lo","given":"Andy Y. H."},{"family":"Schurko","given":"Robert W."},{"family":"Vettraino","given":"Melissa"},{"family":"Skadtchenko","given":"Boris O."},{"family":"Trudeau","given":"Michel"},{"family":"Antonelli","given":"David M."}],"issued":{"date-parts":[["2006",2]]}}}],"schema":"https://github.com/citation-style-language/schema/raw/master/csl-citation.json"} </w:instrText>
      </w:r>
      <w:r>
        <w:fldChar w:fldCharType="separate"/>
      </w:r>
      <w:r w:rsidR="00CA4C4F" w:rsidRPr="00CA4C4F">
        <w:rPr>
          <w:rFonts w:cs="Times"/>
          <w:szCs w:val="24"/>
        </w:rPr>
        <w:t>[34–36]</w:t>
      </w:r>
      <w:r>
        <w:fldChar w:fldCharType="end"/>
      </w:r>
      <w:r>
        <w:rPr>
          <w:bCs/>
        </w:rPr>
        <w:t xml:space="preserve"> and chemically lithiated </w:t>
      </w:r>
      <w:r>
        <w:t>Ti</w:t>
      </w:r>
      <w:r>
        <w:rPr>
          <w:vertAlign w:val="subscript"/>
        </w:rPr>
        <w:t>0.78</w:t>
      </w:r>
      <w:r>
        <w:sym w:font="Wingdings" w:char="F0A8"/>
      </w:r>
      <w:r>
        <w:rPr>
          <w:vertAlign w:val="subscript"/>
        </w:rPr>
        <w:t>0.22</w:t>
      </w:r>
      <w:r>
        <w:t>O</w:t>
      </w:r>
      <w:r>
        <w:rPr>
          <w:vertAlign w:val="subscript"/>
        </w:rPr>
        <w:t>1.12</w:t>
      </w:r>
      <w:r>
        <w:t>F</w:t>
      </w:r>
      <w:r>
        <w:rPr>
          <w:vertAlign w:val="subscript"/>
        </w:rPr>
        <w:t>0.40</w:t>
      </w:r>
      <w:r>
        <w:t>(OH)</w:t>
      </w:r>
      <w:r>
        <w:rPr>
          <w:vertAlign w:val="subscript"/>
        </w:rPr>
        <w:t>0.48</w:t>
      </w:r>
      <w:r>
        <w:t>,</w:t>
      </w:r>
      <w:r>
        <w:fldChar w:fldCharType="begin"/>
      </w:r>
      <w:r w:rsidR="00CA4C4F">
        <w:instrText xml:space="preserve"> ADDIN ZOTERO_ITEM CSL_CITATION {"citationID":"Fg36RD3L","properties":{"formattedCitation":"[32]","plainCitation":"[32]","noteIndex":0},"citationItems":[{"id":2841,"uris":["http://zotero.org/users/4816088/items/VPAETU2W"],"uri":["http://zotero.org/users/4816088/items/VPAETU2W"],"itemData":{"id":2841,"type":"article-journal","title":"Lithium Intercalation in Anatase Titanium Vacancies and the Role of Local Anionic Environment","container-title":"Chemistry of Materials","page":"3078-3089","volume":"30","issue":"9","source":"ACS Publications","abstract":"The structure of bulk and nondefective compounds is generally described with crystal models built from well mastered techniques such the analysis of an X-ray diffractogram. The presence of defects, such as cationic vacancies, locally disrupt the long-range order, with the appearance of local structures with order extending only a few nanometers. To probe and describe the electrochemical properties of cation-deficient anatase, we investigated a series of materials having different concentrations of vacancies, i.e., Ti1–x–y□x+yO2–4(x+y)F4x(OH)4y, and compared their properties with respect to defect-free stoichiometric anatase TiO2. At first, we characterized the series of materials Ti1–x–y□x+yO2–4(x+y)F4x(OH)4y by means of pair distribution function (PDF), 19F nuclear magnetic resonance (NMR), Raman and X-ray photoelectron spectroscopies, to probe the compositional and structural features. Second, we characterized the insertion electrochemical properties vs metallic lithium where we emphasized the beneficial role of the vacancies on the cyclability of the electrode under high C-rate, with performances scaling with the concentration of vacancies. The improved properties were explained by the change of the lithium insertion mechanism due to the presence of the vacancies, which act as host sites and suppress the phase transition typically observed in pure TiO2, and further favor diffusive transport of lithium within the structure. NMR spectroscopy performed on lithiated samples provides evidence for the insertion of lithium in vacancies. By combining electrochemistry and DFT-calculations, we characterized the electrochemical signatures of the lithium insertion in the vacancies. Importantly, we found that the insertion voltage largely depends on the local anionic environment of the vacancy with a fluoride and hydroxide-rich environments, yielding high and low insertion voltages, respectively. This work further supports the beneficial use of defects engineering in electrodes for batteries and provides new fundamental knowledge in the insertion chemistry of cationic vacancies as host sites.","DOI":"10.1021/acs.chemmater.8b00925","ISSN":"0897-4756","journalAbbreviation":"Chem. Mater.","author":[{"family":"Ma","given":"Jiwei"},{"family":"Li","given":"Wei"},{"family":"Morgan","given":"Benjamin J."},{"family":"Światowska","given":"Jolanta"},{"family":"Baddour-Hadjean","given":"Rita"},{"family":"Body","given":"Monique"},{"family":"Legein","given":"Christophe"},{"family":"Borkiewicz","given":"Olaf J."},{"family":"Leclerc","given":"Sandrine"},{"family":"Groult","given":"Henri"},{"family":"Lantelme","given":"Frédéric"},{"family":"Laberty-Robert","given":"Christel"},{"family":"Dambournet","given":"Damien"}],"issued":{"date-parts":[["2018",5,8]]}}}],"schema":"https://github.com/citation-style-language/schema/raw/master/csl-citation.json"} </w:instrText>
      </w:r>
      <w:r>
        <w:fldChar w:fldCharType="separate"/>
      </w:r>
      <w:r w:rsidR="00CA4C4F" w:rsidRPr="00CA4C4F">
        <w:rPr>
          <w:rFonts w:cs="Times"/>
        </w:rPr>
        <w:t>[32]</w:t>
      </w:r>
      <w:r>
        <w:fldChar w:fldCharType="end"/>
      </w:r>
      <w:r>
        <w:t xml:space="preserve"> </w:t>
      </w:r>
      <w:r>
        <w:rPr>
          <w:bCs/>
        </w:rPr>
        <w:t xml:space="preserve">show </w:t>
      </w:r>
      <w:r>
        <w:rPr>
          <w:bCs/>
          <w:vertAlign w:val="superscript"/>
        </w:rPr>
        <w:t>7</w:t>
      </w:r>
      <w:r>
        <w:rPr>
          <w:bCs/>
        </w:rPr>
        <w:t xml:space="preserve">Li NMR resonances inside the normal diamagnetic </w:t>
      </w:r>
      <w:r>
        <w:rPr>
          <w:bCs/>
          <w:vertAlign w:val="superscript"/>
        </w:rPr>
        <w:t>7</w:t>
      </w:r>
      <w:r>
        <w:rPr>
          <w:bCs/>
        </w:rPr>
        <w:t>Li shift range (ca. 5 to −5 ppm).</w:t>
      </w:r>
      <w:r>
        <w:fldChar w:fldCharType="begin"/>
      </w:r>
      <w:r w:rsidR="00BF0DF2">
        <w:rPr>
          <w:bCs/>
        </w:rPr>
        <w:instrText xml:space="preserve"> ADDIN ZOTERO_ITEM CSL_CITATION {"citationID":"PfkGbNeM","properties":{"formattedCitation":"[37]","plainCitation":"[37]","noteIndex":0},"citationItems":[{"id":"woE8BCE2/fpD0hNdA","uris":["http://zotero.org/users/5584665/items/6NPJ6322"],"uri":["http://zotero.org/users/5584665/items/6NPJ6322"],"itemData":{"id":111,"type":"chapter","title":"Lithium NMR","container-title":"Encyclopedia of Magnetic Resonance","publisher":"John Wiley &amp; Sons, Ltd","publisher-place":"Chichester, UK","page":"emrstm0273","source":"DOI.org (Crossref)","event-place":"Chichester, UK","URL":"http://doi.wiley.com/10.1002/9780470034590.emrstm0273","ISBN":"978-0-470-03459-0","note":"DOI: 10.1002/9780470034590.emrstm0273","language":"en","editor":[{"family":"Harris","given":"Robin K."}],"author":[{"family":"Günther","given":"Harald"}],"issued":{"date-parts":[["2007",3,15]]},"accessed":{"date-parts":[["2019",6,28]]}}}],"schema":"https://github.com/citation-style-language/schema/raw/master/csl-citation.json"} </w:instrText>
      </w:r>
      <w:r>
        <w:fldChar w:fldCharType="separate"/>
      </w:r>
      <w:r w:rsidR="00CA4C4F" w:rsidRPr="00CA4C4F">
        <w:rPr>
          <w:rFonts w:cs="Times"/>
        </w:rPr>
        <w:t>[37]</w:t>
      </w:r>
      <w:r>
        <w:fldChar w:fldCharType="end"/>
      </w:r>
      <w:r>
        <w:rPr>
          <w:bCs/>
        </w:rPr>
        <w:t xml:space="preserve"> Wagemaker et al.</w:t>
      </w:r>
      <w:r>
        <w:fldChar w:fldCharType="begin"/>
      </w:r>
      <w:r w:rsidR="00BF0DF2">
        <w:rPr>
          <w:bCs/>
        </w:rPr>
        <w:instrText xml:space="preserve"> ADDIN ZOTERO_ITEM CSL_CITATION {"citationID":"xS9YbLOG","properties":{"formattedCitation":"[35]","plainCitation":"[35]","noteIndex":0},"citationItems":[{"id":"woE8BCE2/JH3nGF6K","uris":["http://zotero.org/users/5584665/items/Q9DMMIKJ"],"uri":["http://zotero.org/users/5584665/items/Q9DMMIKJ"],"itemData":{"id":109,"type":"article-journal","title":"Two Phase Morphology Limits Lithium Diffusion in TiO &lt;sub&gt;2&lt;/sub&gt; (Anatase): A &lt;sup&gt;7&lt;/sup&gt; Li MAS NMR Study","container-title":"Journal of the American Chemical Society","page":"11454-11461","volume":"123","issue":"46","source":"DOI.org (Crossref)","DOI":"10.1021/ja0161148","ISSN":"0002-7863, 1520-5126","title-short":"Two Phase Morphology Limits Lithium Diffusion in TiO &lt;sub&gt;2&lt;/sub&gt; (Anatase)","journalAbbreviation":"J. Am. Chem. Soc.","language":"en","author":[{"family":"Wagemaker","given":"Marnix"},{"family":"Krol","given":"Roel","non-dropping-particle":"van de"},{"family":"Kentgens","given":"Arno P. M."},{"family":"Well","given":"Ad A.","non-dropping-particle":"van"},{"family":"Mulder","given":"Fokko M."}],"issued":{"date-parts":[["2001",11]]}}}],"schema":"https://github.com/citation-style-language/schema/raw/master/csl-citation.json"} </w:instrText>
      </w:r>
      <w:r>
        <w:fldChar w:fldCharType="separate"/>
      </w:r>
      <w:r w:rsidR="00CA4C4F" w:rsidRPr="00CA4C4F">
        <w:rPr>
          <w:rFonts w:cs="Times"/>
        </w:rPr>
        <w:t>[35]</w:t>
      </w:r>
      <w:r>
        <w:fldChar w:fldCharType="end"/>
      </w:r>
      <w:r>
        <w:rPr>
          <w:bCs/>
        </w:rPr>
        <w:t xml:space="preserve"> concluded that conduction, rather than paramagnetism, is the dominant interaction in anatase. Distributions of quadrupole interactions and chemical shifts due to disordered environments and interactions with electrons in the conduction band then account for the line broadening and the intense spinning sidebands. Spectral decompositions of the slightly asymmetric central lines require two contributions (as an example, the fit of one the spectrum is given as SI (</w:t>
      </w:r>
      <w:r>
        <w:rPr>
          <w:b/>
          <w:bCs/>
        </w:rPr>
        <w:t>Figure S8</w:t>
      </w:r>
      <w:r>
        <w:rPr>
          <w:bCs/>
        </w:rPr>
        <w:t xml:space="preserve">)). For chemically lithiated </w:t>
      </w:r>
      <w:r>
        <w:t>Ti</w:t>
      </w:r>
      <w:r>
        <w:rPr>
          <w:vertAlign w:val="subscript"/>
        </w:rPr>
        <w:t>0.78</w:t>
      </w:r>
      <w:r>
        <w:sym w:font="Wingdings" w:char="F0A8"/>
      </w:r>
      <w:r>
        <w:rPr>
          <w:vertAlign w:val="subscript"/>
        </w:rPr>
        <w:t>0.22</w:t>
      </w:r>
      <w:r>
        <w:t>O</w:t>
      </w:r>
      <w:r>
        <w:rPr>
          <w:vertAlign w:val="subscript"/>
        </w:rPr>
        <w:t>1.12</w:t>
      </w:r>
      <w:r>
        <w:t>F</w:t>
      </w:r>
      <w:r>
        <w:rPr>
          <w:vertAlign w:val="subscript"/>
        </w:rPr>
        <w:t>0.40</w:t>
      </w:r>
      <w:r>
        <w:t>(OH)</w:t>
      </w:r>
      <w:r>
        <w:rPr>
          <w:vertAlign w:val="subscript"/>
        </w:rPr>
        <w:t>0.48</w:t>
      </w:r>
      <w:r>
        <w:t xml:space="preserve"> samples, </w:t>
      </w:r>
      <w:r>
        <w:rPr>
          <w:bCs/>
        </w:rPr>
        <w:t xml:space="preserve">as the Li rate increases, the </w:t>
      </w:r>
      <w:r>
        <w:rPr>
          <w:bCs/>
          <w:vertAlign w:val="superscript"/>
        </w:rPr>
        <w:t>7</w:t>
      </w:r>
      <w:r>
        <w:rPr>
          <w:bCs/>
        </w:rPr>
        <w:t xml:space="preserve">Li signal broadens and shifts slightly in a positive direction and the intensity of the spinning sidebands increases. Such trends are only partially fulfilled for the four electrochemically discharged and charged electrodes: the larger </w:t>
      </w:r>
      <w:r>
        <w:t>weighted average chemical shift value and stronger spinning sidebands are observed for the higher Li rate (</w:t>
      </w:r>
      <w:r>
        <w:rPr>
          <w:b/>
        </w:rPr>
        <w:t>Table S5</w:t>
      </w:r>
      <w:r>
        <w:t>).</w:t>
      </w:r>
      <w:r>
        <w:rPr>
          <w:bCs/>
        </w:rPr>
        <w:t xml:space="preserve"> </w:t>
      </w:r>
    </w:p>
    <w:p w14:paraId="746276F9" w14:textId="77777777" w:rsidR="003056E0" w:rsidRDefault="003056E0" w:rsidP="003056E0">
      <w:pPr>
        <w:autoSpaceDE w:val="0"/>
        <w:autoSpaceDN w:val="0"/>
        <w:adjustRightInd w:val="0"/>
        <w:rPr>
          <w:bCs/>
        </w:rPr>
      </w:pPr>
    </w:p>
    <w:p w14:paraId="007B1B2F" w14:textId="77777777" w:rsidR="003056E0" w:rsidRDefault="003056E0" w:rsidP="003056E0">
      <w:pPr>
        <w:autoSpaceDE w:val="0"/>
        <w:autoSpaceDN w:val="0"/>
        <w:adjustRightInd w:val="0"/>
        <w:jc w:val="center"/>
        <w:rPr>
          <w:bCs/>
        </w:rPr>
      </w:pPr>
      <w:r>
        <w:rPr>
          <w:noProof/>
          <w:lang w:val="fr-FR" w:eastAsia="fr-FR"/>
        </w:rPr>
        <w:lastRenderedPageBreak/>
        <w:drawing>
          <wp:inline distT="0" distB="0" distL="0" distR="0" wp14:anchorId="41DE04E3" wp14:editId="7D6E5539">
            <wp:extent cx="3009900" cy="282892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9900" cy="2828925"/>
                    </a:xfrm>
                    <a:prstGeom prst="rect">
                      <a:avLst/>
                    </a:prstGeom>
                    <a:noFill/>
                    <a:ln>
                      <a:noFill/>
                    </a:ln>
                  </pic:spPr>
                </pic:pic>
              </a:graphicData>
            </a:graphic>
          </wp:inline>
        </w:drawing>
      </w:r>
    </w:p>
    <w:p w14:paraId="459548DD" w14:textId="77777777" w:rsidR="003056E0" w:rsidRDefault="003056E0" w:rsidP="003056E0">
      <w:pPr>
        <w:autoSpaceDE w:val="0"/>
        <w:autoSpaceDN w:val="0"/>
        <w:adjustRightInd w:val="0"/>
      </w:pPr>
      <w:r>
        <w:rPr>
          <w:b/>
        </w:rPr>
        <w:t>Figure 5</w:t>
      </w:r>
      <w:r>
        <w:t xml:space="preserve">. Expansions of the central lines of the non-normalized </w:t>
      </w:r>
      <w:r>
        <w:rPr>
          <w:vertAlign w:val="superscript"/>
        </w:rPr>
        <w:t>7</w:t>
      </w:r>
      <w:r>
        <w:t xml:space="preserve">Li MAS (44 kHz) NMR spectra of the </w:t>
      </w:r>
      <w:r>
        <w:rPr>
          <w:kern w:val="20"/>
          <w:lang w:eastAsia="zh-CN"/>
        </w:rPr>
        <w:t>electrochemically discharged (EoD) and charged (EoC) electrodes using hybrid electrolyte 0.2 M APC + 1 M LiCl</w:t>
      </w:r>
      <w:r>
        <w:t>.</w:t>
      </w:r>
    </w:p>
    <w:p w14:paraId="0B192D94" w14:textId="77777777" w:rsidR="003056E0" w:rsidRDefault="003056E0" w:rsidP="003056E0">
      <w:pPr>
        <w:autoSpaceDE w:val="0"/>
        <w:autoSpaceDN w:val="0"/>
        <w:adjustRightInd w:val="0"/>
        <w:rPr>
          <w:bCs/>
          <w:lang w:eastAsia="ja-JP"/>
        </w:rPr>
      </w:pPr>
    </w:p>
    <w:p w14:paraId="5FF6361E" w14:textId="77777777" w:rsidR="003056E0" w:rsidRDefault="003056E0" w:rsidP="003056E0">
      <w:pPr>
        <w:autoSpaceDE w:val="0"/>
        <w:autoSpaceDN w:val="0"/>
        <w:adjustRightInd w:val="0"/>
        <w:rPr>
          <w:b/>
          <w:bCs/>
        </w:rPr>
      </w:pPr>
    </w:p>
    <w:p w14:paraId="03871550" w14:textId="77777777" w:rsidR="003056E0" w:rsidRDefault="003056E0" w:rsidP="003056E0">
      <w:pPr>
        <w:pStyle w:val="Head1"/>
        <w:rPr>
          <w:b w:val="0"/>
        </w:rPr>
      </w:pPr>
      <w:r>
        <w:rPr>
          <w:b w:val="0"/>
        </w:rPr>
        <w:t>To better understand the competitive insertion of Li</w:t>
      </w:r>
      <w:r>
        <w:rPr>
          <w:b w:val="0"/>
          <w:vertAlign w:val="superscript"/>
        </w:rPr>
        <w:t>+</w:t>
      </w:r>
      <w:r>
        <w:rPr>
          <w:b w:val="0"/>
        </w:rPr>
        <w:t xml:space="preserve"> and Mg</w:t>
      </w:r>
      <w:r>
        <w:rPr>
          <w:b w:val="0"/>
          <w:vertAlign w:val="superscript"/>
        </w:rPr>
        <w:t>2+</w:t>
      </w:r>
      <w:r>
        <w:rPr>
          <w:b w:val="0"/>
        </w:rPr>
        <w:t xml:space="preserve"> into these materials, and the effect of the electrolyte lithium concentration, we performed a series of density functional theory (DFT) calculations of Li</w:t>
      </w:r>
      <w:r>
        <w:rPr>
          <w:b w:val="0"/>
          <w:vertAlign w:val="superscript"/>
        </w:rPr>
        <w:t>+</w:t>
      </w:r>
      <w:r>
        <w:rPr>
          <w:b w:val="0"/>
        </w:rPr>
        <w:t xml:space="preserve"> and Mg</w:t>
      </w:r>
      <w:r>
        <w:rPr>
          <w:b w:val="0"/>
          <w:vertAlign w:val="superscript"/>
        </w:rPr>
        <w:t>2+</w:t>
      </w:r>
      <w:r>
        <w:rPr>
          <w:b w:val="0"/>
        </w:rPr>
        <w:t xml:space="preserve"> insertion in three models: (i) at an interstitial site in stoichiometric anatase TiO</w:t>
      </w:r>
      <w:r>
        <w:rPr>
          <w:b w:val="0"/>
          <w:vertAlign w:val="subscript"/>
        </w:rPr>
        <w:t>2</w:t>
      </w:r>
      <w:r>
        <w:rPr>
          <w:b w:val="0"/>
        </w:rPr>
        <w:t>, (ii) at a single titanium vacancy site in F-doped TiO</w:t>
      </w:r>
      <w:r>
        <w:rPr>
          <w:b w:val="0"/>
          <w:vertAlign w:val="subscript"/>
        </w:rPr>
        <w:t>2</w:t>
      </w:r>
      <w:r>
        <w:rPr>
          <w:b w:val="0"/>
        </w:rPr>
        <w:t>, and (iii) at a double vacancy pair of sites in F-doped TiO</w:t>
      </w:r>
      <w:r>
        <w:rPr>
          <w:b w:val="0"/>
          <w:vertAlign w:val="subscript"/>
        </w:rPr>
        <w:t>2</w:t>
      </w:r>
      <w:r>
        <w:rPr>
          <w:b w:val="0"/>
        </w:rPr>
        <w:t>.</w:t>
      </w:r>
    </w:p>
    <w:p w14:paraId="70494D90" w14:textId="77777777" w:rsidR="003056E0" w:rsidRDefault="003056E0" w:rsidP="003056E0">
      <w:pPr>
        <w:pStyle w:val="Head1"/>
        <w:rPr>
          <w:b w:val="0"/>
        </w:rPr>
      </w:pPr>
      <w:r>
        <w:rPr>
          <w:b w:val="0"/>
        </w:rPr>
        <w:t>Computational studies of intercalation energies usually present these with respect to the corresponding reference phase (metallic Li or Mg). Dividing by the formal charge of the ion gives the corresponding insertion voltage with respect to this metallic reference electrode.</w:t>
      </w:r>
      <w:r w:rsidRPr="00DE514E">
        <w:rPr>
          <w:b w:val="0"/>
        </w:rPr>
        <w:fldChar w:fldCharType="begin"/>
      </w:r>
      <w:r w:rsidR="00CA4C4F">
        <w:rPr>
          <w:b w:val="0"/>
        </w:rPr>
        <w:instrText xml:space="preserve"> ADDIN ZOTERO_ITEM CSL_CITATION {"citationID":"vEkqSsVJ","properties":{"formattedCitation":"[38]","plainCitation":"[38]","noteIndex":0},"citationItems":[{"id":4992,"uris":["http://zotero.org/users/4816088/items/X7S6MXML"],"uri":["http://zotero.org/users/4816088/items/X7S6MXML"],"itemData":{"id":4992,"type":"article-journal","title":"Ab initio study of lithium intercalation in metal oxides and metal dichalcogenides","container-title":"Physical Review B","page":"1354-1365","volume":"56","issue":"3","source":"APS","abstract":"A study of the average voltage to intercalate lithium in various metal oxides is presented. By combining the ab initio pseudopotential method with basic thermodynamics the average intercalation voltage can be predicted without the need for experimental data. This procedure is used to systematically study the effect of metal chemistry, anion chemistry, and structure. It is found that Li is fully ionized in the intercalated compounds with its charge transferred to the anion and to the metal. The substantial charge transfer to the anion is responsible for the large voltage difference between oxides, sulfides, and selenides. Ionic relaxation, as a result of Li intercalation, causes nonrigid-band effects in the density of states of these materials. Suggestions for compounds that may have a substantially larger voltage than currently used materials are also presented.","DOI":"10.1103/PhysRevB.56.1354","journalAbbreviation":"Phys. Rev. B","author":[{"family":"Aydinol","given":"M. K."},{"family":"Kohan","given":"A. F."},{"family":"Ceder","given":"G."},{"family":"Cho","given":"K."},{"family":"Joannopoulos","given":"J."}],"issued":{"date-parts":[["1997",7,15]]}}}],"schema":"https://github.com/citation-style-language/schema/raw/master/csl-citation.json"} </w:instrText>
      </w:r>
      <w:r w:rsidRPr="00DE514E">
        <w:rPr>
          <w:b w:val="0"/>
        </w:rPr>
        <w:fldChar w:fldCharType="separate"/>
      </w:r>
      <w:r w:rsidR="00CA4C4F" w:rsidRPr="00CA4C4F">
        <w:t>[38]</w:t>
      </w:r>
      <w:r w:rsidRPr="00DE514E">
        <w:rPr>
          <w:b w:val="0"/>
        </w:rPr>
        <w:fldChar w:fldCharType="end"/>
      </w:r>
      <w:r w:rsidRPr="00DE514E">
        <w:rPr>
          <w:b w:val="0"/>
        </w:rPr>
        <w:t xml:space="preserve"> </w:t>
      </w:r>
      <w:r>
        <w:rPr>
          <w:b w:val="0"/>
        </w:rPr>
        <w:t>For a dual-ion electrode, the intercalation thermodynamics depends on the electrochemical potentials of both ions. With metallic Mg as the reference electrode, the Mg</w:t>
      </w:r>
      <w:r>
        <w:rPr>
          <w:b w:val="0"/>
          <w:vertAlign w:val="superscript"/>
        </w:rPr>
        <w:t>2+</w:t>
      </w:r>
      <w:r>
        <w:rPr>
          <w:b w:val="0"/>
        </w:rPr>
        <w:t xml:space="preserve"> electrochemical potential at equilibrium is one half of the (open circuit) cell voltage. The electrochemical </w:t>
      </w:r>
      <w:r>
        <w:rPr>
          <w:b w:val="0"/>
        </w:rPr>
        <w:lastRenderedPageBreak/>
        <w:t>potential of Li</w:t>
      </w:r>
      <w:r>
        <w:rPr>
          <w:b w:val="0"/>
          <w:vertAlign w:val="superscript"/>
        </w:rPr>
        <w:t>+</w:t>
      </w:r>
      <w:r>
        <w:rPr>
          <w:b w:val="0"/>
        </w:rPr>
        <w:t xml:space="preserve">, however, is not as simply defined, but is assumed to vary approximately as </w:t>
      </w:r>
      <w:bookmarkStart w:id="27" w:name="OLE_LINK49"/>
      <w:bookmarkStart w:id="28" w:name="OLE_LINK50"/>
      <w:bookmarkStart w:id="29" w:name="OLE_LINK42"/>
      <w:bookmarkStart w:id="30" w:name="OLE_LINK38"/>
      <w:bookmarkStart w:id="31" w:name="OLE_LINK25"/>
      <w:bookmarkStart w:id="32" w:name="OLE_LINK24"/>
      <w:bookmarkStart w:id="33" w:name="OLE_LINK23"/>
      <w:bookmarkStart w:id="34" w:name="OLE_LINK22"/>
      <m:oMath>
        <m:r>
          <m:rPr>
            <m:sty m:val="bi"/>
          </m:rPr>
          <w:rPr>
            <w:rFonts w:ascii="Cambria Math" w:hAnsi="Cambria Math"/>
          </w:rPr>
          <m:t>∆</m:t>
        </m:r>
        <w:bookmarkStart w:id="35" w:name="OLE_LINK44"/>
        <w:bookmarkStart w:id="36" w:name="OLE_LINK43"/>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μ</m:t>
                </m:r>
              </m:e>
            </m:acc>
          </m:e>
          <m:sub>
            <m:r>
              <m:rPr>
                <m:sty m:val="b"/>
              </m:rPr>
              <w:rPr>
                <w:rFonts w:ascii="Cambria Math" w:hAnsi="Cambria Math"/>
              </w:rPr>
              <m:t>Li</m:t>
            </m:r>
          </m:sub>
        </m:sSub>
        <w:bookmarkEnd w:id="27"/>
        <w:bookmarkEnd w:id="28"/>
        <w:bookmarkEnd w:id="35"/>
        <w:bookmarkEnd w:id="36"/>
        <m:r>
          <m:rPr>
            <m:sty m:val="bi"/>
          </m:rPr>
          <w:rPr>
            <w:rFonts w:ascii="Cambria Math" w:hAnsi="Cambria Math"/>
          </w:rPr>
          <m:t>=</m:t>
        </m:r>
        <w:bookmarkStart w:id="37" w:name="OLE_LINK48"/>
        <w:bookmarkStart w:id="38" w:name="OLE_LINK45"/>
        <m:sSubSup>
          <m:sSubSupPr>
            <m:ctrlPr>
              <w:rPr>
                <w:rFonts w:ascii="Cambria Math" w:hAnsi="Cambria Math"/>
                <w:i/>
              </w:rPr>
            </m:ctrlPr>
          </m:sSubSupPr>
          <m:e>
            <m:acc>
              <m:accPr>
                <m:chr m:val="̃"/>
                <m:ctrlPr>
                  <w:rPr>
                    <w:rFonts w:ascii="Cambria Math" w:hAnsi="Cambria Math"/>
                    <w:i/>
                  </w:rPr>
                </m:ctrlPr>
              </m:accPr>
              <m:e>
                <m:r>
                  <m:rPr>
                    <m:sty m:val="bi"/>
                  </m:rPr>
                  <w:rPr>
                    <w:rFonts w:ascii="Cambria Math" w:hAnsi="Cambria Math"/>
                  </w:rPr>
                  <m:t>μ</m:t>
                </m:r>
              </m:e>
            </m:acc>
          </m:e>
          <m:sub>
            <m:r>
              <m:rPr>
                <m:sty m:val="b"/>
              </m:rPr>
              <w:rPr>
                <w:rFonts w:ascii="Cambria Math" w:hAnsi="Cambria Math"/>
              </w:rPr>
              <m:t>Li</m:t>
            </m:r>
          </m:sub>
          <m:sup>
            <m:r>
              <m:rPr>
                <m:sty m:val="bi"/>
              </m:rPr>
              <w:rPr>
                <w:rFonts w:ascii="Cambria Math" w:hAnsi="Cambria Math"/>
              </w:rPr>
              <m:t>0</m:t>
            </m:r>
          </m:sup>
        </m:sSubSup>
        <w:bookmarkEnd w:id="37"/>
        <w:bookmarkEnd w:id="38"/>
        <m:r>
          <m:rPr>
            <m:sty m:val="bi"/>
          </m:rPr>
          <w:rPr>
            <w:rFonts w:ascii="Cambria Math" w:hAnsi="Cambria Math"/>
          </w:rPr>
          <m:t>+qV</m:t>
        </m:r>
      </m:oMath>
      <w:r>
        <w:rPr>
          <w:b w:val="0"/>
        </w:rPr>
        <w:t>,</w:t>
      </w:r>
      <w:bookmarkEnd w:id="29"/>
      <w:bookmarkEnd w:id="30"/>
      <w:bookmarkEnd w:id="31"/>
      <w:bookmarkEnd w:id="32"/>
      <w:bookmarkEnd w:id="33"/>
      <w:bookmarkEnd w:id="34"/>
      <w:r>
        <w:rPr>
          <w:b w:val="0"/>
        </w:rPr>
        <w:t xml:space="preserve"> where </w:t>
      </w:r>
      <w:bookmarkStart w:id="39" w:name="OLE_LINK16"/>
      <w:bookmarkStart w:id="40" w:name="OLE_LINK15"/>
      <m:oMath>
        <m:sSubSup>
          <m:sSubSupPr>
            <m:ctrlPr>
              <w:rPr>
                <w:rFonts w:ascii="Cambria Math" w:hAnsi="Cambria Math"/>
                <w:i/>
              </w:rPr>
            </m:ctrlPr>
          </m:sSubSupPr>
          <m:e>
            <m:acc>
              <m:accPr>
                <m:chr m:val="̃"/>
                <m:ctrlPr>
                  <w:rPr>
                    <w:rFonts w:ascii="Cambria Math" w:hAnsi="Cambria Math"/>
                    <w:i/>
                  </w:rPr>
                </m:ctrlPr>
              </m:accPr>
              <m:e>
                <m:r>
                  <m:rPr>
                    <m:sty m:val="bi"/>
                  </m:rPr>
                  <w:rPr>
                    <w:rFonts w:ascii="Cambria Math" w:hAnsi="Cambria Math"/>
                  </w:rPr>
                  <m:t>μ</m:t>
                </m:r>
              </m:e>
            </m:acc>
          </m:e>
          <m:sub>
            <m:r>
              <m:rPr>
                <m:sty m:val="b"/>
              </m:rPr>
              <w:rPr>
                <w:rFonts w:ascii="Cambria Math" w:hAnsi="Cambria Math"/>
              </w:rPr>
              <m:t>Li</m:t>
            </m:r>
          </m:sub>
          <m:sup>
            <m:r>
              <m:rPr>
                <m:sty m:val="bi"/>
              </m:rPr>
              <w:rPr>
                <w:rFonts w:ascii="Cambria Math" w:hAnsi="Cambria Math"/>
              </w:rPr>
              <m:t>0</m:t>
            </m:r>
          </m:sup>
        </m:sSubSup>
      </m:oMath>
      <w:r>
        <w:rPr>
          <w:b w:val="0"/>
        </w:rPr>
        <w:t xml:space="preserve"> </w:t>
      </w:r>
      <w:bookmarkEnd w:id="39"/>
      <w:bookmarkEnd w:id="40"/>
      <w:r>
        <w:rPr>
          <w:b w:val="0"/>
        </w:rPr>
        <w:t xml:space="preserve">is the Li electrochemical potential at zero voltage, </w:t>
      </w:r>
      <w:r>
        <w:rPr>
          <w:b w:val="0"/>
          <w:i/>
        </w:rPr>
        <w:t>q </w:t>
      </w:r>
      <w:r>
        <w:rPr>
          <w:b w:val="0"/>
        </w:rPr>
        <w:t xml:space="preserve">= 1, and </w:t>
      </w:r>
      <w:r>
        <w:rPr>
          <w:b w:val="0"/>
          <w:i/>
        </w:rPr>
        <w:t>V</w:t>
      </w:r>
      <w:r>
        <w:rPr>
          <w:b w:val="0"/>
        </w:rPr>
        <w:t xml:space="preserve"> is the applied voltage with respect to the metallic Mg electrode. In general, </w:t>
      </w:r>
      <m:oMath>
        <m:sSubSup>
          <m:sSubSupPr>
            <m:ctrlPr>
              <w:rPr>
                <w:rFonts w:ascii="Cambria Math" w:hAnsi="Cambria Math"/>
                <w:i/>
              </w:rPr>
            </m:ctrlPr>
          </m:sSubSupPr>
          <m:e>
            <m:acc>
              <m:accPr>
                <m:chr m:val="̃"/>
                <m:ctrlPr>
                  <w:rPr>
                    <w:rFonts w:ascii="Cambria Math" w:hAnsi="Cambria Math"/>
                    <w:i/>
                  </w:rPr>
                </m:ctrlPr>
              </m:accPr>
              <m:e>
                <m:r>
                  <m:rPr>
                    <m:sty m:val="bi"/>
                  </m:rPr>
                  <w:rPr>
                    <w:rFonts w:ascii="Cambria Math" w:hAnsi="Cambria Math"/>
                  </w:rPr>
                  <m:t>μ</m:t>
                </m:r>
              </m:e>
            </m:acc>
          </m:e>
          <m:sub>
            <m:r>
              <m:rPr>
                <m:sty m:val="b"/>
              </m:rPr>
              <w:rPr>
                <w:rFonts w:ascii="Cambria Math" w:hAnsi="Cambria Math"/>
              </w:rPr>
              <m:t>Li</m:t>
            </m:r>
          </m:sub>
          <m:sup>
            <m:r>
              <m:rPr>
                <m:sty m:val="bi"/>
              </m:rPr>
              <w:rPr>
                <w:rFonts w:ascii="Cambria Math" w:hAnsi="Cambria Math"/>
              </w:rPr>
              <m:t>0</m:t>
            </m:r>
          </m:sup>
        </m:sSubSup>
      </m:oMath>
      <w:r>
        <w:rPr>
          <w:b w:val="0"/>
        </w:rPr>
        <w:t xml:space="preserve"> is unknown, but is assumed to increase with the concentration of Li in the electrolyte, and in principle can be calculated if the activity of Li</w:t>
      </w:r>
      <w:r>
        <w:rPr>
          <w:b w:val="0"/>
          <w:vertAlign w:val="superscript"/>
        </w:rPr>
        <w:t>+</w:t>
      </w:r>
      <w:r>
        <w:rPr>
          <w:b w:val="0"/>
        </w:rPr>
        <w:t xml:space="preserve"> in the electrolyte is known. For our analysis, we consider </w:t>
      </w:r>
      <w:bookmarkStart w:id="41" w:name="OLE_LINK52"/>
      <w:bookmarkStart w:id="42" w:name="OLE_LINK51"/>
      <w:bookmarkStart w:id="43" w:name="OLE_LINK28"/>
      <w:bookmarkStart w:id="44" w:name="OLE_LINK29"/>
      <m:oMath>
        <m:r>
          <m:rPr>
            <m:sty m:val="bi"/>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μ</m:t>
                </m:r>
              </m:e>
            </m:acc>
          </m:e>
          <m:sub>
            <m:r>
              <m:rPr>
                <m:sty m:val="b"/>
              </m:rPr>
              <w:rPr>
                <w:rFonts w:ascii="Cambria Math" w:hAnsi="Cambria Math"/>
              </w:rPr>
              <m:t>Li</m:t>
            </m:r>
          </m:sub>
        </m:sSub>
      </m:oMath>
      <w:r>
        <w:rPr>
          <w:b w:val="0"/>
        </w:rPr>
        <w:t xml:space="preserve"> </w:t>
      </w:r>
      <w:bookmarkEnd w:id="41"/>
      <w:bookmarkEnd w:id="42"/>
      <w:r>
        <w:rPr>
          <w:b w:val="0"/>
        </w:rPr>
        <w:t xml:space="preserve">and </w:t>
      </w:r>
      <w:bookmarkStart w:id="45" w:name="OLE_LINK54"/>
      <w:bookmarkStart w:id="46" w:name="OLE_LINK53"/>
      <m:oMath>
        <m:r>
          <m:rPr>
            <m:sty m:val="bi"/>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μ</m:t>
                </m:r>
              </m:e>
            </m:acc>
          </m:e>
          <m:sub>
            <m:r>
              <m:rPr>
                <m:sty m:val="b"/>
              </m:rPr>
              <w:rPr>
                <w:rFonts w:ascii="Cambria Math" w:hAnsi="Cambria Math"/>
              </w:rPr>
              <m:t>Mg</m:t>
            </m:r>
          </m:sub>
        </m:sSub>
      </m:oMath>
      <w:bookmarkEnd w:id="45"/>
      <w:bookmarkEnd w:id="46"/>
      <w:r>
        <w:rPr>
          <w:b w:val="0"/>
        </w:rPr>
        <w:t xml:space="preserve"> </w:t>
      </w:r>
      <w:bookmarkEnd w:id="43"/>
      <w:bookmarkEnd w:id="44"/>
      <w:r>
        <w:rPr>
          <w:b w:val="0"/>
        </w:rPr>
        <w:t>as free parameters and calculate the thermodynamically favored intercalation product as a function of both electrochemical potentials (</w:t>
      </w:r>
      <w:r>
        <w:t>Figure 6</w:t>
      </w:r>
      <w:r>
        <w:rPr>
          <w:b w:val="0"/>
        </w:rPr>
        <w:t>).</w:t>
      </w:r>
    </w:p>
    <w:p w14:paraId="473193A9" w14:textId="77777777" w:rsidR="003056E0" w:rsidRDefault="003056E0" w:rsidP="003056E0">
      <w:pPr>
        <w:jc w:val="center"/>
        <w:rPr>
          <w:kern w:val="20"/>
          <w:lang w:eastAsia="zh-CN"/>
        </w:rPr>
      </w:pPr>
      <w:r>
        <w:rPr>
          <w:noProof/>
          <w:kern w:val="20"/>
          <w:lang w:val="fr-FR" w:eastAsia="fr-FR"/>
        </w:rPr>
        <w:drawing>
          <wp:inline distT="0" distB="0" distL="0" distR="0" wp14:anchorId="0CC866F8" wp14:editId="7F22E3EC">
            <wp:extent cx="5772150" cy="166687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2150" cy="1666875"/>
                    </a:xfrm>
                    <a:prstGeom prst="rect">
                      <a:avLst/>
                    </a:prstGeom>
                    <a:noFill/>
                    <a:ln>
                      <a:noFill/>
                    </a:ln>
                  </pic:spPr>
                </pic:pic>
              </a:graphicData>
            </a:graphic>
          </wp:inline>
        </w:drawing>
      </w:r>
      <w:r>
        <w:rPr>
          <w:kern w:val="20"/>
          <w:lang w:eastAsia="zh-CN"/>
        </w:rPr>
        <w:br/>
      </w:r>
    </w:p>
    <w:p w14:paraId="53FA8818" w14:textId="7A43097E" w:rsidR="003056E0" w:rsidRDefault="003056E0" w:rsidP="003056E0">
      <w:pPr>
        <w:rPr>
          <w:lang w:eastAsia="ja-JP"/>
        </w:rPr>
      </w:pPr>
      <w:bookmarkStart w:id="47" w:name="OLE_LINK84"/>
      <w:bookmarkStart w:id="48" w:name="OLE_LINK83"/>
      <w:r>
        <w:rPr>
          <w:b/>
        </w:rPr>
        <w:t>Figure 6.</w:t>
      </w:r>
      <w:r>
        <w:t xml:space="preserve"> The lowest energy intercalation products at a paired </w:t>
      </w:r>
      <w:r>
        <w:rPr>
          <w:i/>
        </w:rPr>
        <w:t>V</w:t>
      </w:r>
      <w:r>
        <w:rPr>
          <w:vertAlign w:val="subscript"/>
        </w:rPr>
        <w:t>Ti</w:t>
      </w:r>
      <w:r>
        <w:t>+</w:t>
      </w:r>
      <w:r>
        <w:rPr>
          <w:i/>
        </w:rPr>
        <w:t>V</w:t>
      </w:r>
      <w:r>
        <w:rPr>
          <w:vertAlign w:val="subscript"/>
        </w:rPr>
        <w:t>Ti</w:t>
      </w:r>
      <w:r>
        <w:t xml:space="preserve"> site, as a function of magnesium and lithium electrochemical potentials relative to the elemental metals; Δμ</w:t>
      </w:r>
      <w:r>
        <w:rPr>
          <w:vertAlign w:val="subscript"/>
        </w:rPr>
        <w:t>Mg</w:t>
      </w:r>
      <w:r>
        <w:t xml:space="preserve"> and Δμ</w:t>
      </w:r>
      <w:r>
        <w:rPr>
          <w:vertAlign w:val="subscript"/>
        </w:rPr>
        <w:t>Li</w:t>
      </w:r>
      <w:r>
        <w:t xml:space="preserve">), calculated from DFT data. </w:t>
      </w:r>
      <w:r>
        <w:rPr>
          <w:i/>
        </w:rPr>
        <w:t>Source</w:t>
      </w:r>
      <w:r>
        <w:t xml:space="preserve">: source data, figure files, and plotting scripts are </w:t>
      </w:r>
      <w:bookmarkStart w:id="49" w:name="OLE_LINK68"/>
      <w:bookmarkStart w:id="50" w:name="OLE_LINK65"/>
      <w:r>
        <w:t>available under the CC-BY-4.0 license as part of ref</w:t>
      </w:r>
      <w:r w:rsidR="00DA0B5B">
        <w:t>erence</w:t>
      </w:r>
      <w:r w:rsidR="00BF0DF2">
        <w:t xml:space="preserve"> </w:t>
      </w:r>
      <w:r w:rsidR="00BF0DF2">
        <w:fldChar w:fldCharType="begin"/>
      </w:r>
      <w:r w:rsidR="00BF0DF2">
        <w:instrText xml:space="preserve"> ADDIN ZOTERO_ITEM CSL_CITATION {"citationID":"BBJxMB9E","properties":{"formattedCitation":"[39]","plainCitation":"[39]","noteIndex":0},"citationItems":[{"id":823,"uris":["http://zotero.org/users/4816088/items/QM2EPF26"],"uri":["http://zotero.org/users/4816088/items/QM2EPF26"],"itemData":{"id":823,"type":"article-journal","title":"Electrochemical reactions in fluoride-ion batteries: mechanistic insights from Pair Distribution Function analysis","container-title":"J. Mater. Chem. A","page":"-","abstract":"Detailed analysis of electrochemical reactions occurring in a rechargeable Fluoride-Ion Battery (FIB) is provided by means of synchrotron X-ray diffraction (XRD) and Pair Distribution Function (PDF) analysis. In this study, a symmetrical cell containing Bi-BiF3 composite electrodes was characterized after three cycles. As for Li conversion-based electrodes, our study confirms that a multi-electron redox process occurs between Bi metal and BiF3. XRD and PDF analyses show that multiple Bi oxyfluoride phases are formed due to the presence of Bi oxide in the initial Bi electrode and/or Bi oxyfluoride in the initial BiF3 electrode. Quantitative PDF analyses suggests that oxygen does not migrate through the electrolyte and that the fluoride ion is the sole charge transfer anion. Hence, we showed that oxide species are not preventing the electrochemical reactions, opening the path for the study of metal oxyfluoride as active materials for FIBs.","DOI":"10.1039/C7TA04005A","author":[{"family":"Grenier","given":"Antonin"},{"family":"Porras-Gutierrez","given":"Ana-Gabriela"},{"family":"Groult","given":"Henri"},{"family":"Beyer","given":"Kevin A"},{"family":"Borkiewicz","given":"Olaf J"},{"family":"Chapman","given":"Karena J"},{"family":"Dambournet","given":"Damien"}],"issued":{"date-parts":[["2017"]]}}}],"schema":"https://github.com/citation-style-language/schema/raw/master/csl-citation.json"} </w:instrText>
      </w:r>
      <w:r w:rsidR="00BF0DF2">
        <w:fldChar w:fldCharType="separate"/>
      </w:r>
      <w:r w:rsidR="00BF0DF2" w:rsidRPr="00BF0DF2">
        <w:rPr>
          <w:rFonts w:cs="Times"/>
        </w:rPr>
        <w:t>[39]</w:t>
      </w:r>
      <w:r w:rsidR="00BF0DF2">
        <w:fldChar w:fldCharType="end"/>
      </w:r>
      <w:r>
        <w:t xml:space="preserve">. </w:t>
      </w:r>
      <w:bookmarkEnd w:id="49"/>
      <w:bookmarkEnd w:id="50"/>
    </w:p>
    <w:p w14:paraId="4D43E86B" w14:textId="77777777" w:rsidR="003056E0" w:rsidRDefault="003056E0" w:rsidP="003056E0"/>
    <w:bookmarkEnd w:id="47"/>
    <w:bookmarkEnd w:id="48"/>
    <w:p w14:paraId="413839B2" w14:textId="77777777" w:rsidR="003056E0" w:rsidRDefault="003056E0" w:rsidP="003056E0">
      <w:pPr>
        <w:pStyle w:val="Head1"/>
        <w:rPr>
          <w:b w:val="0"/>
        </w:rPr>
      </w:pPr>
      <w:r>
        <w:rPr>
          <w:b w:val="0"/>
        </w:rPr>
        <w:t>For insertion at an interstitial site in stoichiometric anatase TiO</w:t>
      </w:r>
      <w:r>
        <w:rPr>
          <w:b w:val="0"/>
          <w:vertAlign w:val="subscript"/>
        </w:rPr>
        <w:t>2</w:t>
      </w:r>
      <w:r>
        <w:rPr>
          <w:b w:val="0"/>
        </w:rPr>
        <w:t xml:space="preserve"> (</w:t>
      </w:r>
      <w:r>
        <w:t>Figure 6a</w:t>
      </w:r>
      <w:r>
        <w:rPr>
          <w:b w:val="0"/>
        </w:rPr>
        <w:t xml:space="preserve">) we predict simple behavior. If both </w:t>
      </w:r>
      <w:bookmarkStart w:id="51" w:name="OLE_LINK70"/>
      <w:bookmarkStart w:id="52" w:name="OLE_LINK56"/>
      <w:bookmarkStart w:id="53" w:name="OLE_LINK55"/>
      <w:bookmarkStart w:id="54" w:name="OLE_LINK31"/>
      <w:bookmarkStart w:id="55" w:name="OLE_LINK30"/>
      <w:bookmarkStart w:id="56" w:name="OLE_LINK61"/>
      <w:bookmarkStart w:id="57" w:name="OLE_LINK62"/>
      <m:oMath>
        <m:r>
          <m:rPr>
            <m:sty m:val="bi"/>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μ</m:t>
                </m:r>
              </m:e>
            </m:acc>
          </m:e>
          <m:sub>
            <m:r>
              <m:rPr>
                <m:sty m:val="b"/>
              </m:rPr>
              <w:rPr>
                <w:rFonts w:ascii="Cambria Math" w:hAnsi="Cambria Math"/>
              </w:rPr>
              <m:t>Li</m:t>
            </m:r>
          </m:sub>
        </m:sSub>
      </m:oMath>
      <w:bookmarkEnd w:id="51"/>
      <w:bookmarkEnd w:id="52"/>
      <w:bookmarkEnd w:id="53"/>
      <w:r>
        <w:rPr>
          <w:b w:val="0"/>
        </w:rPr>
        <w:t xml:space="preserve"> </w:t>
      </w:r>
      <w:bookmarkEnd w:id="54"/>
      <w:bookmarkEnd w:id="55"/>
      <w:r>
        <w:rPr>
          <w:b w:val="0"/>
        </w:rPr>
        <w:t xml:space="preserve">and </w:t>
      </w:r>
      <w:bookmarkStart w:id="58" w:name="OLE_LINK60"/>
      <w:bookmarkStart w:id="59" w:name="OLE_LINK57"/>
      <w:bookmarkStart w:id="60" w:name="OLE_LINK37"/>
      <w:bookmarkStart w:id="61" w:name="OLE_LINK36"/>
      <m:oMath>
        <m:r>
          <m:rPr>
            <m:sty m:val="bi"/>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μ</m:t>
                </m:r>
              </m:e>
            </m:acc>
          </m:e>
          <m:sub>
            <m:r>
              <m:rPr>
                <m:sty m:val="b"/>
              </m:rPr>
              <w:rPr>
                <w:rFonts w:ascii="Cambria Math" w:hAnsi="Cambria Math"/>
              </w:rPr>
              <m:t>Mg</m:t>
            </m:r>
          </m:sub>
        </m:sSub>
      </m:oMath>
      <w:bookmarkEnd w:id="56"/>
      <w:bookmarkEnd w:id="57"/>
      <w:r>
        <w:rPr>
          <w:b w:val="0"/>
        </w:rPr>
        <w:t xml:space="preserve"> </w:t>
      </w:r>
      <w:bookmarkEnd w:id="58"/>
      <w:bookmarkEnd w:id="59"/>
      <w:bookmarkEnd w:id="60"/>
      <w:bookmarkEnd w:id="61"/>
      <w:r>
        <w:rPr>
          <w:b w:val="0"/>
        </w:rPr>
        <w:t xml:space="preserve">are low, neither cation is thermodynamically predicted to intercalate. Increasing either </w:t>
      </w:r>
      <w:bookmarkStart w:id="62" w:name="OLE_LINK59"/>
      <w:bookmarkStart w:id="63" w:name="OLE_LINK58"/>
      <m:oMath>
        <m:r>
          <m:rPr>
            <m:sty m:val="bi"/>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μ</m:t>
                </m:r>
              </m:e>
            </m:acc>
          </m:e>
          <m:sub>
            <m:r>
              <m:rPr>
                <m:sty m:val="b"/>
              </m:rPr>
              <w:rPr>
                <w:rFonts w:ascii="Cambria Math" w:hAnsi="Cambria Math"/>
              </w:rPr>
              <m:t>Li</m:t>
            </m:r>
          </m:sub>
        </m:sSub>
      </m:oMath>
      <w:bookmarkEnd w:id="62"/>
      <w:bookmarkEnd w:id="63"/>
      <w:r>
        <w:rPr>
          <w:b w:val="0"/>
        </w:rPr>
        <w:t xml:space="preserve"> or </w:t>
      </w:r>
      <m:oMath>
        <m:r>
          <m:rPr>
            <m:sty m:val="bi"/>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μ</m:t>
                </m:r>
              </m:e>
            </m:acc>
          </m:e>
          <m:sub>
            <m:r>
              <m:rPr>
                <m:sty m:val="b"/>
              </m:rPr>
              <w:rPr>
                <w:rFonts w:ascii="Cambria Math" w:hAnsi="Cambria Math"/>
              </w:rPr>
              <m:t>Mg</m:t>
            </m:r>
          </m:sub>
        </m:sSub>
      </m:oMath>
      <w:r>
        <w:rPr>
          <w:b w:val="0"/>
        </w:rPr>
        <w:t xml:space="preserve"> while keeping the other chemical potential low, we predict Li intercalates at </w:t>
      </w:r>
      <w:bookmarkStart w:id="64" w:name="OLE_LINK64"/>
      <w:bookmarkStart w:id="65" w:name="OLE_LINK63"/>
      <m:oMath>
        <m:r>
          <m:rPr>
            <m:sty m:val="bi"/>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μ</m:t>
                </m:r>
              </m:e>
            </m:acc>
          </m:e>
          <m:sub>
            <m:r>
              <m:rPr>
                <m:sty m:val="b"/>
              </m:rPr>
              <w:rPr>
                <w:rFonts w:ascii="Cambria Math" w:hAnsi="Cambria Math"/>
              </w:rPr>
              <m:t>Li</m:t>
            </m:r>
          </m:sub>
        </m:sSub>
      </m:oMath>
      <w:r>
        <w:rPr>
          <w:b w:val="0"/>
          <w:vertAlign w:val="subscript"/>
        </w:rPr>
        <w:t> </w:t>
      </w:r>
      <w:r>
        <w:rPr>
          <w:b w:val="0"/>
        </w:rPr>
        <w:t>&gt; -1.19 eV</w:t>
      </w:r>
      <w:bookmarkEnd w:id="64"/>
      <w:bookmarkEnd w:id="65"/>
      <w:r>
        <w:rPr>
          <w:b w:val="0"/>
        </w:rPr>
        <w:t xml:space="preserve">, and Mg intercalates at </w:t>
      </w:r>
      <w:bookmarkStart w:id="66" w:name="OLE_LINK67"/>
      <w:bookmarkStart w:id="67" w:name="OLE_LINK66"/>
      <m:oMath>
        <m:r>
          <m:rPr>
            <m:sty m:val="bi"/>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μ</m:t>
                </m:r>
              </m:e>
            </m:acc>
          </m:e>
          <m:sub>
            <m:r>
              <m:rPr>
                <m:sty m:val="b"/>
              </m:rPr>
              <w:rPr>
                <w:rFonts w:ascii="Cambria Math" w:hAnsi="Cambria Math"/>
              </w:rPr>
              <m:t>Mg</m:t>
            </m:r>
          </m:sub>
        </m:sSub>
      </m:oMath>
      <w:r>
        <w:rPr>
          <w:b w:val="0"/>
        </w:rPr>
        <w:t xml:space="preserve"> &gt; -0.51 eV </w:t>
      </w:r>
      <w:bookmarkEnd w:id="66"/>
      <w:bookmarkEnd w:id="67"/>
      <w:r>
        <w:rPr>
          <w:b w:val="0"/>
        </w:rPr>
        <w:t xml:space="preserve">(+0.25 V with respect to the Mg electrode). If both </w:t>
      </w:r>
      <m:oMath>
        <m:r>
          <m:rPr>
            <m:sty m:val="bi"/>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μ</m:t>
                </m:r>
              </m:e>
            </m:acc>
          </m:e>
          <m:sub>
            <m:r>
              <m:rPr>
                <m:sty m:val="b"/>
              </m:rPr>
              <w:rPr>
                <w:rFonts w:ascii="Cambria Math" w:hAnsi="Cambria Math"/>
              </w:rPr>
              <m:t>Li</m:t>
            </m:r>
          </m:sub>
        </m:sSub>
      </m:oMath>
      <w:r>
        <w:rPr>
          <w:b w:val="0"/>
        </w:rPr>
        <w:t xml:space="preserve"> and </w:t>
      </w:r>
      <m:oMath>
        <m:r>
          <m:rPr>
            <m:sty m:val="bi"/>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μ</m:t>
                </m:r>
              </m:e>
            </m:acc>
          </m:e>
          <m:sub>
            <m:r>
              <m:rPr>
                <m:sty m:val="b"/>
              </m:rPr>
              <w:rPr>
                <w:rFonts w:ascii="Cambria Math" w:hAnsi="Cambria Math"/>
              </w:rPr>
              <m:t>Mg</m:t>
            </m:r>
          </m:sub>
        </m:sSub>
      </m:oMath>
      <w:r>
        <w:rPr>
          <w:b w:val="0"/>
        </w:rPr>
        <w:t xml:space="preserve"> are high, intercalation is competitive and the preferentially inserted cation depends on their relative electrochemical potentials. For insertion at a single [</w:t>
      </w:r>
      <w:r>
        <w:rPr>
          <w:b w:val="0"/>
          <w:i/>
        </w:rPr>
        <w:t>V</w:t>
      </w:r>
      <w:r>
        <w:rPr>
          <w:b w:val="0"/>
          <w:vertAlign w:val="subscript"/>
        </w:rPr>
        <w:t>Ti</w:t>
      </w:r>
      <w:r>
        <w:rPr>
          <w:b w:val="0"/>
        </w:rPr>
        <w:t> + 4F</w:t>
      </w:r>
      <w:r>
        <w:rPr>
          <w:b w:val="0"/>
          <w:vertAlign w:val="subscript"/>
        </w:rPr>
        <w:t>O</w:t>
      </w:r>
      <w:r>
        <w:rPr>
          <w:b w:val="0"/>
        </w:rPr>
        <w:t>] vacancy in F-doped anatase TiO</w:t>
      </w:r>
      <w:r>
        <w:rPr>
          <w:b w:val="0"/>
          <w:vertAlign w:val="subscript"/>
        </w:rPr>
        <w:t>2</w:t>
      </w:r>
      <w:r>
        <w:rPr>
          <w:b w:val="0"/>
        </w:rPr>
        <w:t xml:space="preserve"> (</w:t>
      </w:r>
      <w:r>
        <w:t>Fig. 6b</w:t>
      </w:r>
      <w:r>
        <w:rPr>
          <w:b w:val="0"/>
        </w:rPr>
        <w:t xml:space="preserve">), the behavior is qualitatively </w:t>
      </w:r>
      <w:r>
        <w:rPr>
          <w:b w:val="0"/>
        </w:rPr>
        <w:lastRenderedPageBreak/>
        <w:t>similar to stoichiometric anatase, but both cations intercalate at lower chemical potentials. Li</w:t>
      </w:r>
      <w:r>
        <w:rPr>
          <w:b w:val="0"/>
          <w:vertAlign w:val="superscript"/>
        </w:rPr>
        <w:t>+</w:t>
      </w:r>
      <w:r>
        <w:rPr>
          <w:b w:val="0"/>
        </w:rPr>
        <w:t xml:space="preserve"> intercalates at </w:t>
      </w:r>
      <w:bookmarkStart w:id="68" w:name="OLE_LINK72"/>
      <w:bookmarkStart w:id="69" w:name="OLE_LINK71"/>
      <m:oMath>
        <m:r>
          <m:rPr>
            <m:sty m:val="bi"/>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μ</m:t>
                </m:r>
              </m:e>
            </m:acc>
          </m:e>
          <m:sub>
            <m:r>
              <m:rPr>
                <m:sty m:val="b"/>
              </m:rPr>
              <w:rPr>
                <w:rFonts w:ascii="Cambria Math" w:hAnsi="Cambria Math"/>
              </w:rPr>
              <m:t>Li</m:t>
            </m:r>
          </m:sub>
        </m:sSub>
      </m:oMath>
      <w:r>
        <w:rPr>
          <w:b w:val="0"/>
          <w:vertAlign w:val="subscript"/>
        </w:rPr>
        <w:t> </w:t>
      </w:r>
      <w:bookmarkEnd w:id="68"/>
      <w:bookmarkEnd w:id="69"/>
      <w:r>
        <w:rPr>
          <w:b w:val="0"/>
        </w:rPr>
        <w:t>&gt; -2.67 eV and Mg</w:t>
      </w:r>
      <w:r>
        <w:rPr>
          <w:b w:val="0"/>
          <w:vertAlign w:val="superscript"/>
        </w:rPr>
        <w:t>2+</w:t>
      </w:r>
      <w:r>
        <w:rPr>
          <w:b w:val="0"/>
        </w:rPr>
        <w:t xml:space="preserve"> intercalated at </w:t>
      </w:r>
      <m:oMath>
        <m:r>
          <m:rPr>
            <m:sty m:val="bi"/>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μ</m:t>
                </m:r>
              </m:e>
            </m:acc>
          </m:e>
          <m:sub>
            <m:r>
              <m:rPr>
                <m:sty m:val="b"/>
              </m:rPr>
              <w:rPr>
                <w:rFonts w:ascii="Cambria Math" w:hAnsi="Cambria Math"/>
              </w:rPr>
              <m:t>Mg</m:t>
            </m:r>
          </m:sub>
        </m:sSub>
      </m:oMath>
      <w:r>
        <w:rPr>
          <w:b w:val="0"/>
        </w:rPr>
        <w:t xml:space="preserve">  &gt; -1.65 eV; again, competitive insertion of either Li</w:t>
      </w:r>
      <w:r>
        <w:rPr>
          <w:b w:val="0"/>
          <w:vertAlign w:val="superscript"/>
        </w:rPr>
        <w:t>+</w:t>
      </w:r>
      <w:r>
        <w:rPr>
          <w:b w:val="0"/>
        </w:rPr>
        <w:t xml:space="preserve"> or Mg</w:t>
      </w:r>
      <w:r>
        <w:rPr>
          <w:b w:val="0"/>
          <w:vertAlign w:val="superscript"/>
        </w:rPr>
        <w:t>2+</w:t>
      </w:r>
      <w:r>
        <w:rPr>
          <w:b w:val="0"/>
        </w:rPr>
        <w:t xml:space="preserve"> occurs when both electrochemical potentials are high. For the double vacancy model, the thermodynamically predicted behavior is broadly similar to the single vacancy, but becomes more complex because there are now two vacant sites that can potentially accommodate either Li</w:t>
      </w:r>
      <w:r>
        <w:rPr>
          <w:b w:val="0"/>
          <w:vertAlign w:val="superscript"/>
        </w:rPr>
        <w:t>+</w:t>
      </w:r>
      <w:r>
        <w:rPr>
          <w:b w:val="0"/>
        </w:rPr>
        <w:t xml:space="preserve"> or Mg</w:t>
      </w:r>
      <w:r>
        <w:rPr>
          <w:b w:val="0"/>
          <w:vertAlign w:val="superscript"/>
        </w:rPr>
        <w:t>2+</w:t>
      </w:r>
      <w:r>
        <w:rPr>
          <w:b w:val="0"/>
        </w:rPr>
        <w:t xml:space="preserve"> (</w:t>
      </w:r>
      <w:r>
        <w:t>Fig. 6c</w:t>
      </w:r>
      <w:r>
        <w:rPr>
          <w:b w:val="0"/>
        </w:rPr>
        <w:t xml:space="preserve">). As is the case for the stoichiometric and single-vacancy models, at low </w:t>
      </w:r>
      <m:oMath>
        <m:r>
          <m:rPr>
            <m:sty m:val="bi"/>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μ</m:t>
                </m:r>
              </m:e>
            </m:acc>
          </m:e>
          <m:sub>
            <m:r>
              <m:rPr>
                <m:sty m:val="b"/>
              </m:rPr>
              <w:rPr>
                <w:rFonts w:ascii="Cambria Math" w:hAnsi="Cambria Math"/>
              </w:rPr>
              <m:t>Li</m:t>
            </m:r>
          </m:sub>
        </m:sSub>
      </m:oMath>
      <w:r>
        <w:rPr>
          <w:b w:val="0"/>
          <w:vertAlign w:val="subscript"/>
        </w:rPr>
        <w:t xml:space="preserve"> </w:t>
      </w:r>
      <w:r>
        <w:rPr>
          <w:b w:val="0"/>
        </w:rPr>
        <w:t xml:space="preserve">and low </w:t>
      </w:r>
      <m:oMath>
        <m:r>
          <m:rPr>
            <m:sty m:val="bi"/>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μ</m:t>
                </m:r>
              </m:e>
            </m:acc>
          </m:e>
          <m:sub>
            <m:r>
              <m:rPr>
                <m:sty m:val="b"/>
              </m:rPr>
              <w:rPr>
                <w:rFonts w:ascii="Cambria Math" w:hAnsi="Cambria Math"/>
              </w:rPr>
              <m:t>Mg</m:t>
            </m:r>
          </m:sub>
        </m:sSub>
      </m:oMath>
      <w:r>
        <w:rPr>
          <w:b w:val="0"/>
          <w:vertAlign w:val="subscript"/>
        </w:rPr>
        <w:t xml:space="preserve"> </w:t>
      </w:r>
      <w:r>
        <w:rPr>
          <w:b w:val="0"/>
        </w:rPr>
        <w:t xml:space="preserve">neither cation intercalates. With increasing </w:t>
      </w:r>
      <w:bookmarkStart w:id="70" w:name="OLE_LINK74"/>
      <w:bookmarkStart w:id="71" w:name="OLE_LINK73"/>
      <w:bookmarkStart w:id="72" w:name="OLE_LINK77"/>
      <w:bookmarkStart w:id="73" w:name="OLE_LINK78"/>
      <m:oMath>
        <m:r>
          <m:rPr>
            <m:sty m:val="bi"/>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μ</m:t>
                </m:r>
              </m:e>
            </m:acc>
          </m:e>
          <m:sub>
            <m:r>
              <m:rPr>
                <m:sty m:val="b"/>
              </m:rPr>
              <w:rPr>
                <w:rFonts w:ascii="Cambria Math" w:hAnsi="Cambria Math"/>
              </w:rPr>
              <m:t>Li</m:t>
            </m:r>
          </m:sub>
        </m:sSub>
      </m:oMath>
      <w:bookmarkEnd w:id="70"/>
      <w:bookmarkEnd w:id="71"/>
      <w:r>
        <w:rPr>
          <w:b w:val="0"/>
        </w:rPr>
        <w:t xml:space="preserve"> </w:t>
      </w:r>
      <w:bookmarkStart w:id="74" w:name="OLE_LINK75"/>
      <w:bookmarkStart w:id="75" w:name="OLE_LINK76"/>
      <w:r>
        <w:rPr>
          <w:b w:val="0"/>
        </w:rPr>
        <w:t xml:space="preserve">(low </w:t>
      </w:r>
      <w:bookmarkStart w:id="76" w:name="OLE_LINK80"/>
      <w:bookmarkStart w:id="77" w:name="OLE_LINK79"/>
      <m:oMath>
        <m:r>
          <m:rPr>
            <m:sty m:val="bi"/>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μ</m:t>
                </m:r>
              </m:e>
            </m:acc>
          </m:e>
          <m:sub>
            <m:r>
              <m:rPr>
                <m:sty m:val="b"/>
              </m:rPr>
              <w:rPr>
                <w:rFonts w:ascii="Cambria Math" w:hAnsi="Cambria Math"/>
              </w:rPr>
              <m:t>Mg</m:t>
            </m:r>
          </m:sub>
        </m:sSub>
      </m:oMath>
      <w:bookmarkEnd w:id="76"/>
      <w:bookmarkEnd w:id="77"/>
      <w:r>
        <w:rPr>
          <w:b w:val="0"/>
        </w:rPr>
        <w:t>),</w:t>
      </w:r>
      <w:r>
        <w:rPr>
          <w:b w:val="0"/>
          <w:vertAlign w:val="subscript"/>
        </w:rPr>
        <w:t xml:space="preserve"> </w:t>
      </w:r>
      <w:bookmarkEnd w:id="72"/>
      <w:bookmarkEnd w:id="73"/>
      <w:bookmarkEnd w:id="74"/>
      <w:bookmarkEnd w:id="75"/>
      <w:r>
        <w:rPr>
          <w:b w:val="0"/>
        </w:rPr>
        <w:t>we find a narrow chemical potential range where one Li</w:t>
      </w:r>
      <w:r>
        <w:rPr>
          <w:b w:val="0"/>
          <w:vertAlign w:val="superscript"/>
        </w:rPr>
        <w:t>+</w:t>
      </w:r>
      <w:r>
        <w:rPr>
          <w:b w:val="0"/>
        </w:rPr>
        <w:t xml:space="preserve"> is inserted and the second insertion site is empty. For </w:t>
      </w:r>
      <m:oMath>
        <m:r>
          <m:rPr>
            <m:sty m:val="bi"/>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μ</m:t>
                </m:r>
              </m:e>
            </m:acc>
          </m:e>
          <m:sub>
            <m:r>
              <m:rPr>
                <m:sty m:val="b"/>
              </m:rPr>
              <w:rPr>
                <w:rFonts w:ascii="Cambria Math" w:hAnsi="Cambria Math"/>
              </w:rPr>
              <m:t>Li</m:t>
            </m:r>
          </m:sub>
        </m:sSub>
      </m:oMath>
      <w:r>
        <w:rPr>
          <w:b w:val="0"/>
        </w:rPr>
        <w:t xml:space="preserve"> &gt; -2.85 eV, Li</w:t>
      </w:r>
      <w:r>
        <w:rPr>
          <w:b w:val="0"/>
          <w:vertAlign w:val="superscript"/>
        </w:rPr>
        <w:t>+</w:t>
      </w:r>
      <w:r>
        <w:rPr>
          <w:b w:val="0"/>
        </w:rPr>
        <w:t xml:space="preserve"> is inserted at both sites. With increasing </w:t>
      </w:r>
      <m:oMath>
        <m:r>
          <m:rPr>
            <m:sty m:val="bi"/>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μ</m:t>
                </m:r>
              </m:e>
            </m:acc>
          </m:e>
          <m:sub>
            <m:r>
              <m:rPr>
                <m:sty m:val="b"/>
              </m:rPr>
              <w:rPr>
                <w:rFonts w:ascii="Cambria Math" w:hAnsi="Cambria Math"/>
              </w:rPr>
              <m:t>Mg</m:t>
            </m:r>
          </m:sub>
        </m:sSub>
      </m:oMath>
      <w:r>
        <w:rPr>
          <w:b w:val="0"/>
        </w:rPr>
        <w:t xml:space="preserve"> (low </w:t>
      </w:r>
      <m:oMath>
        <m:r>
          <m:rPr>
            <m:sty m:val="bi"/>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μ</m:t>
                </m:r>
              </m:e>
            </m:acc>
          </m:e>
          <m:sub>
            <m:r>
              <m:rPr>
                <m:sty m:val="b"/>
              </m:rPr>
              <w:rPr>
                <w:rFonts w:ascii="Cambria Math" w:hAnsi="Cambria Math"/>
              </w:rPr>
              <m:t>Li</m:t>
            </m:r>
          </m:sub>
        </m:sSub>
      </m:oMath>
      <w:r>
        <w:rPr>
          <w:b w:val="0"/>
        </w:rPr>
        <w:t>), we again find a narrow chemical potential range where one Mg</w:t>
      </w:r>
      <w:r>
        <w:rPr>
          <w:b w:val="0"/>
          <w:vertAlign w:val="superscript"/>
        </w:rPr>
        <w:t>+</w:t>
      </w:r>
      <w:r>
        <w:rPr>
          <w:b w:val="0"/>
        </w:rPr>
        <w:t xml:space="preserve"> is inserted and the second insertion site is empty, and for </w:t>
      </w:r>
      <m:oMath>
        <m:r>
          <m:rPr>
            <m:sty m:val="bi"/>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μ</m:t>
                </m:r>
              </m:e>
            </m:acc>
          </m:e>
          <m:sub>
            <m:r>
              <m:rPr>
                <m:sty m:val="b"/>
              </m:rPr>
              <w:rPr>
                <w:rFonts w:ascii="Cambria Math" w:hAnsi="Cambria Math"/>
              </w:rPr>
              <m:t>Mg</m:t>
            </m:r>
          </m:sub>
        </m:sSub>
      </m:oMath>
      <w:r>
        <w:rPr>
          <w:b w:val="0"/>
        </w:rPr>
        <w:t xml:space="preserve"> &gt; -1.36 eV Mg</w:t>
      </w:r>
      <w:r>
        <w:rPr>
          <w:b w:val="0"/>
          <w:vertAlign w:val="superscript"/>
        </w:rPr>
        <w:t>2+</w:t>
      </w:r>
      <w:r>
        <w:rPr>
          <w:b w:val="0"/>
        </w:rPr>
        <w:t xml:space="preserve"> is inserted at both sites. When both </w:t>
      </w:r>
      <m:oMath>
        <m:r>
          <m:rPr>
            <m:sty m:val="bi"/>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μ</m:t>
                </m:r>
              </m:e>
            </m:acc>
          </m:e>
          <m:sub>
            <m:r>
              <m:rPr>
                <m:sty m:val="b"/>
              </m:rPr>
              <w:rPr>
                <w:rFonts w:ascii="Cambria Math" w:hAnsi="Cambria Math"/>
              </w:rPr>
              <m:t>Li</m:t>
            </m:r>
          </m:sub>
        </m:sSub>
      </m:oMath>
      <w:r>
        <w:rPr>
          <w:b w:val="0"/>
        </w:rPr>
        <w:t xml:space="preserve"> and </w:t>
      </w:r>
      <m:oMath>
        <m:r>
          <m:rPr>
            <m:sty m:val="bi"/>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μ</m:t>
                </m:r>
              </m:e>
            </m:acc>
          </m:e>
          <m:sub>
            <m:r>
              <m:rPr>
                <m:sty m:val="b"/>
              </m:rPr>
              <w:rPr>
                <w:rFonts w:ascii="Cambria Math" w:hAnsi="Cambria Math"/>
              </w:rPr>
              <m:t>Mg</m:t>
            </m:r>
          </m:sub>
        </m:sSub>
      </m:oMath>
      <w:r>
        <w:rPr>
          <w:b w:val="0"/>
        </w:rPr>
        <w:t xml:space="preserve"> are high (</w:t>
      </w:r>
      <m:oMath>
        <m:r>
          <m:rPr>
            <m:sty m:val="bi"/>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μ</m:t>
                </m:r>
              </m:e>
            </m:acc>
          </m:e>
          <m:sub>
            <m:r>
              <m:rPr>
                <m:sty m:val="b"/>
              </m:rPr>
              <w:rPr>
                <w:rFonts w:ascii="Cambria Math" w:hAnsi="Cambria Math"/>
              </w:rPr>
              <m:t>Li</m:t>
            </m:r>
          </m:sub>
        </m:sSub>
      </m:oMath>
      <w:r>
        <w:rPr>
          <w:b w:val="0"/>
        </w:rPr>
        <w:t xml:space="preserve"> &gt; -2.92 eV, </w:t>
      </w:r>
      <m:oMath>
        <m:r>
          <m:rPr>
            <m:sty m:val="bi"/>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μ</m:t>
                </m:r>
              </m:e>
            </m:acc>
          </m:e>
          <m:sub>
            <m:r>
              <m:rPr>
                <m:sty m:val="b"/>
              </m:rPr>
              <w:rPr>
                <w:rFonts w:ascii="Cambria Math" w:hAnsi="Cambria Math"/>
              </w:rPr>
              <m:t>Mg</m:t>
            </m:r>
          </m:sub>
        </m:sSub>
      </m:oMath>
      <w:r>
        <w:rPr>
          <w:b w:val="0"/>
        </w:rPr>
        <w:t xml:space="preserve"> &gt; -1.83 eV), we also find a range of chemical potentials where mixed insertion of [Li</w:t>
      </w:r>
      <w:r>
        <w:rPr>
          <w:b w:val="0"/>
          <w:vertAlign w:val="superscript"/>
        </w:rPr>
        <w:t>+</w:t>
      </w:r>
      <w:r>
        <w:rPr>
          <w:b w:val="0"/>
        </w:rPr>
        <w:t xml:space="preserve"> + Mg</w:t>
      </w:r>
      <w:r>
        <w:rPr>
          <w:b w:val="0"/>
          <w:vertAlign w:val="superscript"/>
        </w:rPr>
        <w:t>2+</w:t>
      </w:r>
      <w:r>
        <w:rPr>
          <w:b w:val="0"/>
        </w:rPr>
        <w:t>] is thermodynamically favored. The predicted staged insertion of first one cation and then a second, and the predicted mixed insertion of both Li</w:t>
      </w:r>
      <w:r>
        <w:rPr>
          <w:b w:val="0"/>
          <w:vertAlign w:val="superscript"/>
        </w:rPr>
        <w:t>+</w:t>
      </w:r>
      <w:r>
        <w:rPr>
          <w:b w:val="0"/>
        </w:rPr>
        <w:t xml:space="preserve"> and Mg</w:t>
      </w:r>
      <w:r>
        <w:rPr>
          <w:b w:val="0"/>
          <w:vertAlign w:val="superscript"/>
        </w:rPr>
        <w:t>2+</w:t>
      </w:r>
      <w:r>
        <w:rPr>
          <w:b w:val="0"/>
        </w:rPr>
        <w:t xml:space="preserve"> within certain chemical potential ranges are both due to the second insertion energy of Li</w:t>
      </w:r>
      <w:r>
        <w:rPr>
          <w:b w:val="0"/>
          <w:vertAlign w:val="superscript"/>
        </w:rPr>
        <w:t>+</w:t>
      </w:r>
      <w:r>
        <w:rPr>
          <w:b w:val="0"/>
        </w:rPr>
        <w:t xml:space="preserve"> and Mg</w:t>
      </w:r>
      <w:r>
        <w:rPr>
          <w:b w:val="0"/>
          <w:vertAlign w:val="superscript"/>
        </w:rPr>
        <w:t>2+</w:t>
      </w:r>
      <w:r>
        <w:rPr>
          <w:b w:val="0"/>
        </w:rPr>
        <w:t xml:space="preserve"> being less favorable than the first, with this effect stronger for Mg</w:t>
      </w:r>
      <w:r>
        <w:rPr>
          <w:b w:val="0"/>
          <w:vertAlign w:val="superscript"/>
        </w:rPr>
        <w:t>2+</w:t>
      </w:r>
      <w:r>
        <w:rPr>
          <w:b w:val="0"/>
        </w:rPr>
        <w:t xml:space="preserve">. This behavior is due to structural distortions induced by the first cation insertion, which then makes the second insertion less favorable. This effect is illustrated in </w:t>
      </w:r>
      <w:r>
        <w:t>Fig. 7</w:t>
      </w:r>
      <w:r>
        <w:rPr>
          <w:b w:val="0"/>
        </w:rPr>
        <w:t xml:space="preserve"> for Mg</w:t>
      </w:r>
      <w:r>
        <w:rPr>
          <w:b w:val="0"/>
          <w:vertAlign w:val="superscript"/>
        </w:rPr>
        <w:t>2+</w:t>
      </w:r>
      <w:r>
        <w:rPr>
          <w:b w:val="0"/>
        </w:rPr>
        <w:t xml:space="preserve"> insertion, which shows the distances between pairs of anions at opposite vertices of each </w:t>
      </w:r>
      <w:r>
        <w:rPr>
          <w:b w:val="0"/>
          <w:i/>
        </w:rPr>
        <w:t>V</w:t>
      </w:r>
      <w:r>
        <w:rPr>
          <w:b w:val="0"/>
          <w:vertAlign w:val="subscript"/>
        </w:rPr>
        <w:t>Ti</w:t>
      </w:r>
      <w:r>
        <w:rPr>
          <w:b w:val="0"/>
        </w:rPr>
        <w:t xml:space="preserve"> octahedron and how these change as either Li</w:t>
      </w:r>
      <w:r>
        <w:rPr>
          <w:b w:val="0"/>
          <w:vertAlign w:val="superscript"/>
        </w:rPr>
        <w:t>+</w:t>
      </w:r>
      <w:r>
        <w:rPr>
          <w:b w:val="0"/>
        </w:rPr>
        <w:t xml:space="preserve"> or Mg</w:t>
      </w:r>
      <w:r>
        <w:rPr>
          <w:b w:val="0"/>
          <w:vertAlign w:val="superscript"/>
        </w:rPr>
        <w:t>2+</w:t>
      </w:r>
      <w:r>
        <w:rPr>
          <w:b w:val="0"/>
        </w:rPr>
        <w:t xml:space="preserve"> are sequentially inserted. Before cation insertion, the </w:t>
      </w:r>
      <w:r>
        <w:rPr>
          <w:b w:val="0"/>
          <w:i/>
        </w:rPr>
        <w:t>V</w:t>
      </w:r>
      <w:r>
        <w:rPr>
          <w:b w:val="0"/>
          <w:vertAlign w:val="subscript"/>
        </w:rPr>
        <w:t>Ti</w:t>
      </w:r>
      <w:r>
        <w:rPr>
          <w:b w:val="0"/>
        </w:rPr>
        <w:t xml:space="preserve"> sites are tetragonally distorted octahedra with equatorial anion–anion distances of ~3.9 Å and an axial anion–anion distance of ~4.6 Å </w:t>
      </w:r>
      <w:r>
        <w:t>(Fig. 7a)</w:t>
      </w:r>
      <w:r>
        <w:rPr>
          <w:b w:val="0"/>
        </w:rPr>
        <w:t>. Insertion of one Li</w:t>
      </w:r>
      <w:r>
        <w:rPr>
          <w:b w:val="0"/>
          <w:vertAlign w:val="superscript"/>
        </w:rPr>
        <w:t>+</w:t>
      </w:r>
      <w:r>
        <w:rPr>
          <w:b w:val="0"/>
        </w:rPr>
        <w:t xml:space="preserve"> or one Mg</w:t>
      </w:r>
      <w:r>
        <w:rPr>
          <w:b w:val="0"/>
          <w:vertAlign w:val="superscript"/>
        </w:rPr>
        <w:t>2+</w:t>
      </w:r>
      <w:r>
        <w:rPr>
          <w:b w:val="0"/>
        </w:rPr>
        <w:t xml:space="preserve"> causes a reduction of this tetragonal distortion at the insertion site, with Mg</w:t>
      </w:r>
      <w:r>
        <w:rPr>
          <w:b w:val="0"/>
          <w:vertAlign w:val="superscript"/>
        </w:rPr>
        <w:t>2+</w:t>
      </w:r>
      <w:r>
        <w:rPr>
          <w:b w:val="0"/>
        </w:rPr>
        <w:t xml:space="preserve">-insertion having a stronger effect, </w:t>
      </w:r>
      <w:r>
        <w:rPr>
          <w:b w:val="0"/>
        </w:rPr>
        <w:lastRenderedPageBreak/>
        <w:t>reflecting a preference for Mg</w:t>
      </w:r>
      <w:r>
        <w:rPr>
          <w:b w:val="0"/>
          <w:vertAlign w:val="superscript"/>
        </w:rPr>
        <w:t>2+</w:t>
      </w:r>
      <w:r>
        <w:rPr>
          <w:b w:val="0"/>
        </w:rPr>
        <w:t xml:space="preserve"> to adopt octahedral coordination (</w:t>
      </w:r>
      <w:r>
        <w:t>Figs. 7b and 7c</w:t>
      </w:r>
      <w:r>
        <w:rPr>
          <w:b w:val="0"/>
        </w:rPr>
        <w:t>). For both Li</w:t>
      </w:r>
      <w:r>
        <w:rPr>
          <w:b w:val="0"/>
          <w:vertAlign w:val="superscript"/>
        </w:rPr>
        <w:t>+</w:t>
      </w:r>
      <w:r>
        <w:rPr>
          <w:b w:val="0"/>
        </w:rPr>
        <w:t xml:space="preserve"> and Mg</w:t>
      </w:r>
      <w:r>
        <w:rPr>
          <w:b w:val="0"/>
          <w:vertAlign w:val="superscript"/>
        </w:rPr>
        <w:t>2+</w:t>
      </w:r>
      <w:r>
        <w:rPr>
          <w:b w:val="0"/>
        </w:rPr>
        <w:t xml:space="preserve">, the reduced tetragonal distortion at the first insertion site is accompanied by an increased distortion of the neighboring still-vacant site. Inserting a second cation at the second </w:t>
      </w:r>
      <w:r>
        <w:rPr>
          <w:b w:val="0"/>
          <w:i/>
        </w:rPr>
        <w:t>V</w:t>
      </w:r>
      <w:r>
        <w:rPr>
          <w:b w:val="0"/>
          <w:vertAlign w:val="subscript"/>
        </w:rPr>
        <w:t>Ti</w:t>
      </w:r>
      <w:r>
        <w:rPr>
          <w:b w:val="0"/>
        </w:rPr>
        <w:t xml:space="preserve"> site now carries an additional energy cost, because this vacant site is geometrically more dissimilar from the optimal geometry for an occupied site. This asymmetric energy cost between first and second cation insertions is more distinct for Mg</w:t>
      </w:r>
      <w:r>
        <w:rPr>
          <w:b w:val="0"/>
          <w:vertAlign w:val="superscript"/>
        </w:rPr>
        <w:t>2+</w:t>
      </w:r>
      <w:r>
        <w:rPr>
          <w:b w:val="0"/>
        </w:rPr>
        <w:t xml:space="preserve"> than for Li</w:t>
      </w:r>
      <w:r>
        <w:rPr>
          <w:b w:val="0"/>
          <w:vertAlign w:val="superscript"/>
        </w:rPr>
        <w:t>+</w:t>
      </w:r>
      <w:r>
        <w:rPr>
          <w:b w:val="0"/>
        </w:rPr>
        <w:t xml:space="preserve"> because Mg</w:t>
      </w:r>
      <w:r>
        <w:rPr>
          <w:b w:val="0"/>
          <w:vertAlign w:val="superscript"/>
        </w:rPr>
        <w:t>2+</w:t>
      </w:r>
      <w:r>
        <w:rPr>
          <w:b w:val="0"/>
        </w:rPr>
        <w:t xml:space="preserve"> has a stronger preference for regular octahedral coordination, and induces a larger change in the host lattice structure upon the first insertion. </w:t>
      </w:r>
    </w:p>
    <w:bookmarkEnd w:id="24"/>
    <w:p w14:paraId="250A3FED" w14:textId="77777777" w:rsidR="003056E0" w:rsidRDefault="003056E0" w:rsidP="003056E0">
      <w:pPr>
        <w:pStyle w:val="Head1"/>
        <w:jc w:val="center"/>
        <w:rPr>
          <w:b w:val="0"/>
        </w:rPr>
      </w:pPr>
      <w:r>
        <w:rPr>
          <w:b w:val="0"/>
        </w:rPr>
        <w:lastRenderedPageBreak/>
        <w:softHyphen/>
      </w:r>
      <w:r>
        <w:rPr>
          <w:b w:val="0"/>
        </w:rPr>
        <w:softHyphen/>
      </w:r>
      <w:r>
        <w:rPr>
          <w:b w:val="0"/>
          <w:noProof/>
          <w:lang w:val="fr-FR" w:eastAsia="fr-FR"/>
        </w:rPr>
        <w:drawing>
          <wp:inline distT="0" distB="0" distL="0" distR="0" wp14:anchorId="788EDEE6" wp14:editId="1C0A1BA9">
            <wp:extent cx="5762625" cy="57150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5715000"/>
                    </a:xfrm>
                    <a:prstGeom prst="rect">
                      <a:avLst/>
                    </a:prstGeom>
                    <a:noFill/>
                    <a:ln>
                      <a:noFill/>
                    </a:ln>
                  </pic:spPr>
                </pic:pic>
              </a:graphicData>
            </a:graphic>
          </wp:inline>
        </w:drawing>
      </w:r>
    </w:p>
    <w:p w14:paraId="15432DE8" w14:textId="737568D1" w:rsidR="003056E0" w:rsidRDefault="003056E0" w:rsidP="003056E0">
      <w:r>
        <w:rPr>
          <w:b/>
        </w:rPr>
        <w:t xml:space="preserve">Figure 7. </w:t>
      </w:r>
      <w:r>
        <w:t xml:space="preserve">Changes in geometry of the </w:t>
      </w:r>
      <w:r>
        <w:rPr>
          <w:i/>
        </w:rPr>
        <w:t>V</w:t>
      </w:r>
      <w:r>
        <w:rPr>
          <w:vertAlign w:val="subscript"/>
        </w:rPr>
        <w:t>Ti</w:t>
      </w:r>
      <w:r>
        <w:t xml:space="preserve"> octahedra in the [</w:t>
      </w:r>
      <w:r>
        <w:rPr>
          <w:i/>
        </w:rPr>
        <w:t>V</w:t>
      </w:r>
      <w:r>
        <w:rPr>
          <w:vertAlign w:val="subscript"/>
        </w:rPr>
        <w:t>Ti</w:t>
      </w:r>
      <w:r>
        <w:t>+</w:t>
      </w:r>
      <w:r>
        <w:rPr>
          <w:i/>
        </w:rPr>
        <w:t>V</w:t>
      </w:r>
      <w:r>
        <w:rPr>
          <w:vertAlign w:val="subscript"/>
        </w:rPr>
        <w:t>Ti</w:t>
      </w:r>
      <w:r>
        <w:t>] paired-vacancy model for different combinations of Li</w:t>
      </w:r>
      <w:r>
        <w:rPr>
          <w:vertAlign w:val="superscript"/>
        </w:rPr>
        <w:t>+</w:t>
      </w:r>
      <w:r>
        <w:t xml:space="preserve"> and Mg</w:t>
      </w:r>
      <w:r>
        <w:rPr>
          <w:vertAlign w:val="superscript"/>
        </w:rPr>
        <w:t>2+</w:t>
      </w:r>
      <w:r>
        <w:t xml:space="preserve"> insertion. The relevant DFT-optimised structure files are available under the CC-BY-4.0 license as part of </w:t>
      </w:r>
      <w:r w:rsidRPr="00DA0B5B">
        <w:t>ref</w:t>
      </w:r>
      <w:r w:rsidR="00DA0B5B">
        <w:t>erence</w:t>
      </w:r>
      <w:r w:rsidR="00BF0DF2" w:rsidRPr="00DA0B5B">
        <w:t xml:space="preserve"> </w:t>
      </w:r>
      <w:r w:rsidR="00BF0DF2" w:rsidRPr="00DA0B5B">
        <w:fldChar w:fldCharType="begin"/>
      </w:r>
      <w:r w:rsidR="00BF0DF2" w:rsidRPr="00DA0B5B">
        <w:instrText xml:space="preserve"> ADDIN ZOTERO_ITEM CSL_CITATION {"citationID":"USCh1SMk","properties":{"formattedCitation":"[39]","plainCitation":"[39]","noteIndex":0},"citationItems":[{"id":823,"uris":["http://zotero.org/users/4816088/items/QM2EPF26"],"uri":["http://zotero.org/users/4816088/items/QM2EPF26"],"itemData":{"id":823,"type":"article-journal","title":"Electrochemical reactions in fluoride-ion batteries: mechanistic insights from Pair Distribution Function analysis","container-title":"J. Mater. Chem. A","page":"-","abstract":"Detailed analysis of electrochemical reactions occurring in a rechargeable Fluoride-Ion Battery (FIB) is provided by means of synchrotron X-ray diffraction (XRD) and Pair Distribution Function (PDF) analysis. In this study, a symmetrical cell containing Bi-BiF3 composite electrodes was characterized after three cycles. As for Li conversion-based electrodes, our study confirms that a multi-electron redox process occurs between Bi metal and BiF3. XRD and PDF analyses show that multiple Bi oxyfluoride phases are formed due to the presence of Bi oxide in the initial Bi electrode and/or Bi oxyfluoride in the initial BiF3 electrode. Quantitative PDF analyses suggests that oxygen does not migrate through the electrolyte and that the fluoride ion is the sole charge transfer anion. Hence, we showed that oxide species are not preventing the electrochemical reactions, opening the path for the study of metal oxyfluoride as active materials for FIBs.","DOI":"10.1039/C7TA04005A","author":[{"family":"Grenier","given":"Antonin"},{"family":"Porras-Gutierrez","given":"Ana-Gabriela"},{"family":"Groult","given":"Henri"},{"family":"Beyer","given":"Kevin A"},{"family":"Borkiewicz","given":"Olaf J"},{"family":"Chapman","given":"Karena J"},{"family":"Dambournet","given":"Damien"}],"issued":{"date-parts":[["2017"]]}}}],"schema":"https://github.com/citation-style-language/schema/raw/master/csl-citation.json"} </w:instrText>
      </w:r>
      <w:r w:rsidR="00BF0DF2" w:rsidRPr="00DA0B5B">
        <w:fldChar w:fldCharType="separate"/>
      </w:r>
      <w:r w:rsidR="00BF0DF2" w:rsidRPr="00DA0B5B">
        <w:rPr>
          <w:rFonts w:cs="Times"/>
        </w:rPr>
        <w:t>[39]</w:t>
      </w:r>
      <w:r w:rsidR="00BF0DF2" w:rsidRPr="00DA0B5B">
        <w:fldChar w:fldCharType="end"/>
      </w:r>
      <w:r w:rsidRPr="00DA0B5B">
        <w:t>.</w:t>
      </w:r>
    </w:p>
    <w:p w14:paraId="4D44E9B5" w14:textId="77777777" w:rsidR="003056E0" w:rsidRDefault="003056E0" w:rsidP="003056E0">
      <w:pPr>
        <w:rPr>
          <w:b/>
          <w:kern w:val="20"/>
          <w:lang w:eastAsia="zh-CN"/>
        </w:rPr>
      </w:pPr>
    </w:p>
    <w:p w14:paraId="67C6A915" w14:textId="77777777" w:rsidR="003056E0" w:rsidRDefault="003056E0" w:rsidP="003056E0">
      <w:pPr>
        <w:spacing w:line="480" w:lineRule="auto"/>
        <w:rPr>
          <w:kern w:val="20"/>
          <w:lang w:eastAsia="zh-CN"/>
        </w:rPr>
      </w:pPr>
      <w:r>
        <w:rPr>
          <w:kern w:val="20"/>
          <w:lang w:eastAsia="zh-CN"/>
        </w:rPr>
        <w:t>This computational analysis provides an explanation for the competitive Li</w:t>
      </w:r>
      <w:r>
        <w:rPr>
          <w:kern w:val="20"/>
          <w:vertAlign w:val="superscript"/>
          <w:lang w:eastAsia="zh-CN"/>
        </w:rPr>
        <w:t>+</w:t>
      </w:r>
      <w:r>
        <w:rPr>
          <w:kern w:val="20"/>
          <w:lang w:eastAsia="zh-CN"/>
        </w:rPr>
        <w:t>/Mg</w:t>
      </w:r>
      <w:r>
        <w:rPr>
          <w:kern w:val="20"/>
          <w:vertAlign w:val="superscript"/>
          <w:lang w:eastAsia="zh-CN"/>
        </w:rPr>
        <w:t>2+</w:t>
      </w:r>
      <w:r>
        <w:rPr>
          <w:kern w:val="20"/>
          <w:lang w:eastAsia="zh-CN"/>
        </w:rPr>
        <w:t xml:space="preserve"> dual-ion insertion we observe in our experiments, and how the contribution from Li</w:t>
      </w:r>
      <w:r>
        <w:rPr>
          <w:kern w:val="20"/>
          <w:vertAlign w:val="superscript"/>
          <w:lang w:eastAsia="zh-CN"/>
        </w:rPr>
        <w:t>+</w:t>
      </w:r>
      <w:r>
        <w:rPr>
          <w:kern w:val="20"/>
          <w:lang w:eastAsia="zh-CN"/>
        </w:rPr>
        <w:t xml:space="preserve"> and Mg</w:t>
      </w:r>
      <w:r>
        <w:rPr>
          <w:kern w:val="20"/>
          <w:vertAlign w:val="superscript"/>
          <w:lang w:eastAsia="zh-CN"/>
        </w:rPr>
        <w:t>2+</w:t>
      </w:r>
      <w:r>
        <w:rPr>
          <w:kern w:val="20"/>
          <w:lang w:eastAsia="zh-CN"/>
        </w:rPr>
        <w:t xml:space="preserve"> depends on the concentration of lithium ions in the electrolyte. Moreover, the ion insertion behavior is predicted to depend on the type of sites involved. Our calculations predict a broad range of </w:t>
      </w:r>
      <w:r>
        <w:rPr>
          <w:kern w:val="20"/>
          <w:lang w:eastAsia="zh-CN"/>
        </w:rPr>
        <w:lastRenderedPageBreak/>
        <w:t>electrochemical conditions under which interstitial sites preferentially accommodate Li</w:t>
      </w:r>
      <w:r>
        <w:rPr>
          <w:kern w:val="20"/>
          <w:vertAlign w:val="superscript"/>
          <w:lang w:eastAsia="zh-CN"/>
        </w:rPr>
        <w:t>+</w:t>
      </w:r>
      <w:r>
        <w:rPr>
          <w:kern w:val="20"/>
          <w:lang w:eastAsia="zh-CN"/>
        </w:rPr>
        <w:t xml:space="preserve"> ions and vacant cation sites preferentially accommodate Mg</w:t>
      </w:r>
      <w:r>
        <w:rPr>
          <w:kern w:val="20"/>
          <w:vertAlign w:val="superscript"/>
          <w:lang w:eastAsia="zh-CN"/>
        </w:rPr>
        <w:t>2+</w:t>
      </w:r>
      <w:r>
        <w:rPr>
          <w:kern w:val="20"/>
          <w:lang w:eastAsia="zh-CN"/>
        </w:rPr>
        <w:t xml:space="preserve"> ions. In our experiments, we suggest that this co-intercalation of Li</w:t>
      </w:r>
      <w:r>
        <w:rPr>
          <w:kern w:val="20"/>
          <w:vertAlign w:val="superscript"/>
          <w:lang w:eastAsia="zh-CN"/>
        </w:rPr>
        <w:t>+</w:t>
      </w:r>
      <w:r>
        <w:rPr>
          <w:kern w:val="20"/>
          <w:lang w:eastAsia="zh-CN"/>
        </w:rPr>
        <w:t xml:space="preserve"> and Mg</w:t>
      </w:r>
      <w:r>
        <w:rPr>
          <w:kern w:val="20"/>
          <w:vertAlign w:val="superscript"/>
          <w:lang w:eastAsia="zh-CN"/>
        </w:rPr>
        <w:t>2+</w:t>
      </w:r>
      <w:r>
        <w:rPr>
          <w:kern w:val="20"/>
          <w:lang w:eastAsia="zh-CN"/>
        </w:rPr>
        <w:t xml:space="preserve"> is achieved for an electrolyte composition of 0.2 APC and 0.2 M LiCl, </w:t>
      </w:r>
      <w:r>
        <w:rPr>
          <w:i/>
          <w:kern w:val="20"/>
          <w:lang w:eastAsia="zh-CN"/>
        </w:rPr>
        <w:t>i.e.</w:t>
      </w:r>
      <w:r>
        <w:rPr>
          <w:kern w:val="20"/>
          <w:lang w:eastAsia="zh-CN"/>
        </w:rPr>
        <w:t xml:space="preserve">, </w:t>
      </w:r>
      <w:r>
        <w:t>2 Mg</w:t>
      </w:r>
      <w:r>
        <w:rPr>
          <w:vertAlign w:val="superscript"/>
        </w:rPr>
        <w:t>2+</w:t>
      </w:r>
      <w:r>
        <w:t xml:space="preserve"> per 1 Li</w:t>
      </w:r>
      <w:r>
        <w:rPr>
          <w:vertAlign w:val="superscript"/>
        </w:rPr>
        <w:t>+</w:t>
      </w:r>
      <w:r>
        <w:t>, with lithium preferentially inserted in the interstitial sites and magnesium ions inserted at the singly-vacant sites. By comparing the number of titanium vacancy sites and inserted Mg</w:t>
      </w:r>
      <w:r>
        <w:rPr>
          <w:vertAlign w:val="superscript"/>
        </w:rPr>
        <w:t>2+</w:t>
      </w:r>
      <w:r>
        <w:t xml:space="preserve"> ions, we suggest that some Li</w:t>
      </w:r>
      <w:r>
        <w:rPr>
          <w:vertAlign w:val="superscript"/>
        </w:rPr>
        <w:t>+</w:t>
      </w:r>
      <w:r>
        <w:t xml:space="preserve"> ions are inserted in the double-vacancy forming [Li</w:t>
      </w:r>
      <w:r>
        <w:rPr>
          <w:vertAlign w:val="subscript"/>
        </w:rPr>
        <w:t>Ti</w:t>
      </w:r>
      <w:r>
        <w:t>+Mg</w:t>
      </w:r>
      <w:r>
        <w:rPr>
          <w:vertAlign w:val="subscript"/>
        </w:rPr>
        <w:t>Ti</w:t>
      </w:r>
      <w:r>
        <w:t>], as predicted within a narrow range of thermodynamic conditions by our DFT results. As the lithium concentration increases, we predict preferential dual insertion of Li at paired vacancies to form [Li</w:t>
      </w:r>
      <w:r>
        <w:rPr>
          <w:vertAlign w:val="subscript"/>
        </w:rPr>
        <w:t>Ti</w:t>
      </w:r>
      <w:r>
        <w:t>+Li</w:t>
      </w:r>
      <w:r>
        <w:rPr>
          <w:vertAlign w:val="subscript"/>
        </w:rPr>
        <w:t>Ti</w:t>
      </w:r>
      <w:r>
        <w:t xml:space="preserve">], in agreement with the change in proportion of inserted Li vs. Mg we observe experimentally. </w:t>
      </w:r>
    </w:p>
    <w:p w14:paraId="4B516CC9" w14:textId="77777777" w:rsidR="003056E0" w:rsidRDefault="003056E0" w:rsidP="003056E0">
      <w:pPr>
        <w:pStyle w:val="Head1"/>
      </w:pPr>
      <w:r>
        <w:t>Conclusion</w:t>
      </w:r>
    </w:p>
    <w:p w14:paraId="0DC732EA" w14:textId="77777777" w:rsidR="003056E0" w:rsidRDefault="003056E0" w:rsidP="003056E0">
      <w:pPr>
        <w:spacing w:line="480" w:lineRule="auto"/>
      </w:pPr>
      <w:r>
        <w:t>We have investigated the effect of chemically introducing cationic vacancies into an anatase TiO</w:t>
      </w:r>
      <w:r>
        <w:softHyphen/>
      </w:r>
      <w:r>
        <w:rPr>
          <w:vertAlign w:val="subscript"/>
        </w:rPr>
        <w:t>2</w:t>
      </w:r>
      <w:r>
        <w:t xml:space="preserve"> host structure for use as a Li/Mg–dual-ion electrode. Compared to defect-free TiO</w:t>
      </w:r>
      <w:r>
        <w:rPr>
          <w:vertAlign w:val="subscript"/>
        </w:rPr>
        <w:t>2</w:t>
      </w:r>
      <w:r>
        <w:t>, the presence of cationic vacancies gives an improved reversible capacity, a reduced polarization, and a higher operating voltage, leading to an overall increase of the cell energy density. The number of inserted cations was determined by ICP-AES confirming a dual-ion insertion into the host electrode structure. Pair distribution function confirmed that the long-range ordering of the anatase framework is maintained upon dual-insertion, also pointing the occurrence of local distortion. Solid-state NMR further proved the insertion of both ions within the vacant sites. DFT-calculations highlighted the lithium-concentration dependence on the population of the available vacant sites. It also showed that the double-vacancy insertion properties are significantly impact by the nature of the first-inserted cation, in particular with the strongly polarizing Mg</w:t>
      </w:r>
      <w:r>
        <w:rPr>
          <w:vertAlign w:val="superscript"/>
        </w:rPr>
        <w:t>2+</w:t>
      </w:r>
      <w:r>
        <w:t xml:space="preserve"> cations. The improvements in electrode performance described here suggest that </w:t>
      </w:r>
      <w:r>
        <w:lastRenderedPageBreak/>
        <w:t xml:space="preserve">this approach can be beneficially extended to other electrode materials and other types of dual-ion battery systems. </w:t>
      </w:r>
    </w:p>
    <w:p w14:paraId="2DF8F0F5" w14:textId="77777777" w:rsidR="003056E0" w:rsidRDefault="003056E0" w:rsidP="003056E0">
      <w:pPr>
        <w:pStyle w:val="Head1"/>
      </w:pPr>
      <w:r>
        <w:t>Experimental Section</w:t>
      </w:r>
    </w:p>
    <w:p w14:paraId="4240B873" w14:textId="77777777" w:rsidR="003056E0" w:rsidRDefault="003056E0" w:rsidP="003056E0">
      <w:pPr>
        <w:pStyle w:val="ExperimentalText"/>
        <w:jc w:val="both"/>
      </w:pPr>
      <w:r>
        <w:rPr>
          <w:i/>
        </w:rPr>
        <w:t>Synthesis</w:t>
      </w:r>
      <w:r>
        <w:t>: anatase Ti</w:t>
      </w:r>
      <w:r>
        <w:rPr>
          <w:vertAlign w:val="subscript"/>
        </w:rPr>
        <w:t>0.78</w:t>
      </w:r>
      <w:r>
        <w:sym w:font="Wingdings" w:char="F0A8"/>
      </w:r>
      <w:r>
        <w:rPr>
          <w:vertAlign w:val="subscript"/>
        </w:rPr>
        <w:t>0.22</w:t>
      </w:r>
      <w:r>
        <w:t>O</w:t>
      </w:r>
      <w:r>
        <w:rPr>
          <w:vertAlign w:val="subscript"/>
        </w:rPr>
        <w:t>1.12</w:t>
      </w:r>
      <w:r>
        <w:t>F</w:t>
      </w:r>
      <w:r>
        <w:rPr>
          <w:vertAlign w:val="subscript"/>
        </w:rPr>
        <w:t>0.40</w:t>
      </w:r>
      <w:r>
        <w:t>(OH)</w:t>
      </w:r>
      <w:r>
        <w:rPr>
          <w:vertAlign w:val="subscript"/>
        </w:rPr>
        <w:t>0.48</w:t>
      </w:r>
      <w:r>
        <w:t xml:space="preserve"> was synthesized according to a previous report.</w:t>
      </w:r>
      <w:r>
        <w:fldChar w:fldCharType="begin"/>
      </w:r>
      <w:r>
        <w:instrText xml:space="preserve"> ADDIN ZOTERO_ITEM CSL_CITATION {"citationID":"AG1HgugR","properties":{"formattedCitation":"[17]","plainCitation":"[17]","noteIndex":0},"citationItems":[{"id":205,"uris":["http://zotero.org/users/4816088/items/6ZHA6KTE"],"uri":["http://zotero.org/users/4816088/items/6ZHA6KTE"],"itemData":{"id":205,"type":"article-journal","title":"High Substitution Rate in TiO2 Anatase Nanoparticles with Cationic Vacancies for Fast Lithium Storage","container-title":"Chemistry of Materials","page":"5014-5019","volume":"27","issue":"14","source":"ACS Publications","abstract":"Doping is generally used to tune and enhance the properties of metal oxides. However, their chemical composition cannot be readily modified beyond low dopant amounts without disrupting the crystalline atomic structure. In the case of anatase TiO2, we introduce a new solution-based chemical route allowing the composition to be significantly modified, substituting the divalent O2? anions by monovalent F? and OH? anions resulting in the formation of cationic Ti4+ vacancies (?) whose concentration can be controlled by the reaction temperature. The resulting polyanionic anatase has the general composition Ti1?x?y?x+yO2?4(x+y)F4x(OH)4y, reaching vacancy concentrations of up to 22%, i.e., Ti0.78?0.22O1.12F0.4(OH)0.48. Solid-state 19F NMR spectroscopy reveals that fluoride ions can accommodate up to three different environments, depending on Ti and vacancies (i.e. Ti3-F, Ti2?1-F, and Ti1?2-F), with a preferential location close to vacancies. DFT calculations further confirm the fluoride/vacancy ordering. When its characteristics were evaluated as an electrode for reversible Li-ion storage, the material shows a modified lithium reaction mechanism, which has been rationalized by the occurrence of cationic vacancies acting as additional lithium hosting sites within the anatase framework. Finally, the material shows a fast discharging/charging behavior, compared to TiO2, highlighting the benefits of the structural modifications and paving the way for the design of advanced electrode materials, based on a defect mediated mechanism.","DOI":"10.1021/acs.chemmater.5b01407","ISSN":"0897-4756","journalAbbreviation":"Chem. Mater.","author":[{"family":"Li","given":"Wei"},{"family":"Corradini","given":"Dario"},{"family":"Body","given":"Monique"},{"family":"Legein","given":"Christophe"},{"family":"Salanne","given":"Mathieu"},{"family":"Ma","given":"Jiwei"},{"family":"Chapman","given":"Karena W."},{"family":"Chupas","given":"Peter J."},{"family":"Rollet","given":"Anne-Laure"},{"family":"Julien","given":"Christian"},{"family":"Zhagib","given":"Karim"},{"family":"Duttine","given":"Mathieu"},{"family":"Demourgues","given":"Alain"},{"family":"Groult","given":"Henri"},{"family":"Dambournet","given":"Damien"}],"issued":{"date-parts":[["2015",7,28]]}}}],"schema":"https://github.com/citation-style-language/schema/raw/master/csl-citation.json"} </w:instrText>
      </w:r>
      <w:r>
        <w:fldChar w:fldCharType="separate"/>
      </w:r>
      <w:r w:rsidRPr="003056E0">
        <w:t>[17]</w:t>
      </w:r>
      <w:r>
        <w:fldChar w:fldCharType="end"/>
      </w:r>
      <w:r>
        <w:t xml:space="preserve"> Briefly, 1.2 mL aqueous hydrofluoric acid solution was added to the mixture of 24.8 mL isopropanol and 4 mL titanium isopropoxide in the Teflon liner cup. A stainless-steel autoclave with a 45 mL Teflon liner cup inside was used. After sealing the autoclave, the mixed solution was heated inside an oven at 90 °C for 12 h, and left to cool down to room temperature. The resulting white precipitate was recovered, then first dried at 80 °C under air for 10 h and at 150 °C under vacuum for 10 hours.</w:t>
      </w:r>
    </w:p>
    <w:p w14:paraId="47F0FEA0" w14:textId="519C4DC2" w:rsidR="003056E0" w:rsidRDefault="003056E0" w:rsidP="003056E0">
      <w:pPr>
        <w:spacing w:line="480" w:lineRule="auto"/>
        <w:rPr>
          <w:color w:val="000000"/>
        </w:rPr>
      </w:pPr>
      <w:r>
        <w:rPr>
          <w:rStyle w:val="TAMainTextCar"/>
          <w:rFonts w:ascii="Times New Roman" w:hAnsi="Times New Roman"/>
          <w:i/>
        </w:rPr>
        <w:t>Characterization methods</w:t>
      </w:r>
      <w:r>
        <w:rPr>
          <w:rStyle w:val="TAMainTextCar"/>
          <w:rFonts w:ascii="Times New Roman" w:hAnsi="Times New Roman"/>
        </w:rPr>
        <w:t>:</w:t>
      </w:r>
      <w:r>
        <w:t xml:space="preserve"> </w:t>
      </w:r>
      <w:r>
        <w:rPr>
          <w:rStyle w:val="TAMainTextCar"/>
          <w:rFonts w:ascii="Times New Roman" w:hAnsi="Times New Roman"/>
        </w:rPr>
        <w:t>Inductively coupled plasma atomic emission spectrometry (ICP-AES) was measured on Agilent Varian 715-ES to assess the chemical composition of discharged–charged electrodes. Samples were dissolved by microwave digestion at 180 °C into acidic solutions of HNO</w:t>
      </w:r>
      <w:r>
        <w:rPr>
          <w:rStyle w:val="TAMainTextCar"/>
          <w:rFonts w:ascii="Times New Roman" w:hAnsi="Times New Roman"/>
          <w:vertAlign w:val="subscript"/>
        </w:rPr>
        <w:t>3</w:t>
      </w:r>
      <w:r>
        <w:rPr>
          <w:rStyle w:val="TAMainTextCar"/>
          <w:rFonts w:ascii="Times New Roman" w:hAnsi="Times New Roman"/>
        </w:rPr>
        <w:t>, H</w:t>
      </w:r>
      <w:r>
        <w:rPr>
          <w:rStyle w:val="TAMainTextCar"/>
          <w:rFonts w:ascii="Times New Roman" w:hAnsi="Times New Roman"/>
          <w:vertAlign w:val="subscript"/>
        </w:rPr>
        <w:t>2</w:t>
      </w:r>
      <w:r>
        <w:rPr>
          <w:rStyle w:val="TAMainTextCar"/>
          <w:rFonts w:ascii="Times New Roman" w:hAnsi="Times New Roman"/>
        </w:rPr>
        <w:t>SO</w:t>
      </w:r>
      <w:r>
        <w:rPr>
          <w:rStyle w:val="TAMainTextCar"/>
          <w:rFonts w:ascii="Times New Roman" w:hAnsi="Times New Roman"/>
          <w:vertAlign w:val="subscript"/>
        </w:rPr>
        <w:t>4</w:t>
      </w:r>
      <w:r>
        <w:rPr>
          <w:rStyle w:val="TAMainTextCar"/>
          <w:rFonts w:ascii="Times New Roman" w:hAnsi="Times New Roman"/>
        </w:rPr>
        <w:t xml:space="preserve">, and HCl (1:1:3 vol.%). </w:t>
      </w:r>
      <w:r>
        <w:t>Total scattering data were collected at the 11-ID-B beamline at the Advanced Photon Source at Argonne National Laboratory, using high energy X-rays (λ = 0.2128 Å) for high values of momentum transfer Qmax = 22 Å</w:t>
      </w:r>
      <w:r>
        <w:rPr>
          <w:vertAlign w:val="superscript"/>
        </w:rPr>
        <w:t>-1</w:t>
      </w:r>
      <w:r>
        <w:t>.</w:t>
      </w:r>
      <w:r>
        <w:fldChar w:fldCharType="begin"/>
      </w:r>
      <w:r w:rsidR="00BF0DF2">
        <w:instrText xml:space="preserve"> ADDIN ZOTERO_ITEM CSL_CITATION {"citationID":"MFlMYjO1","properties":{"formattedCitation":"[40,41]","plainCitation":"[40,41]","noteIndex":0},"citationItems":[{"id":215,"uris":["http://zotero.org/users/4816088/items/92KDFE3B"],"uri":["http://zotero.org/users/4816088/items/92KDFE3B"],"itemData":{"id":215,"type":"article-journal","title":"Rapid-acquisition pair distribution function (RA-PDF) analysis","container-title":"Journal of Applied Crystallography","page":"1342-1347","volume":"36","issue":"6","source":"CrossRef","DOI":"10.1107/S0021889803017564","ISSN":"0021-8898","author":[{"family":"Chupas","given":"Peter J."},{"family":"Qiu","given":"Xiangyun"},{"family":"Hanson","given":"Jonathan C."},{"family":"Lee","given":"Peter L."},{"family":"Grey","given":"Clare P."},{"family":"Billinge","given":"Simon J. L."}],"issued":{"date-parts":[["2003",12,1]]}}},{"id":216,"uris":["http://zotero.org/users/4816088/items/ZV7EP9W8"],"uri":["http://zotero.org/users/4816088/items/ZV7EP9W8"],"itemData":{"id":216,"type":"article-journal","title":"Applications of an amorphous silicon-based area detector for high-resolution, high-sensitivity and fast time-resolved pair distribution function measurements","container-title":"Journal of Applied Crystallography","page":"463-470","volume":"40","issue":"3","source":"CrossRef","DOI":"10.1107/S0021889807007856","ISSN":"0021-8898","author":[{"family":"Chupas","given":"Peter J."},{"family":"Chapman","given":"Karena W."},{"family":"Lee","given":"Peter L."}],"issued":{"date-parts":[["2007",6,1]]}}}],"schema":"https://github.com/citation-style-language/schema/raw/master/csl-citation.json"} </w:instrText>
      </w:r>
      <w:r>
        <w:fldChar w:fldCharType="separate"/>
      </w:r>
      <w:r w:rsidR="00BF0DF2" w:rsidRPr="00BF0DF2">
        <w:rPr>
          <w:rFonts w:cs="Times"/>
        </w:rPr>
        <w:t>[40,41]</w:t>
      </w:r>
      <w:r>
        <w:fldChar w:fldCharType="end"/>
      </w:r>
      <w:r>
        <w:t xml:space="preserve"> One-dimensional diffraction data were obtained by integrating the raw 2D total scattering data in Fit2D.</w:t>
      </w:r>
      <w:r>
        <w:fldChar w:fldCharType="begin"/>
      </w:r>
      <w:r w:rsidR="00BF0DF2">
        <w:instrText xml:space="preserve"> ADDIN ZOTERO_ITEM CSL_CITATION {"citationID":"gcVdKO2s","properties":{"formattedCitation":"[42]","plainCitation":"[42]","noteIndex":0},"citationItems":[{"id":217,"uris":["http://zotero.org/users/4816088/items/KAK2M6MG"],"uri":["http://zotero.org/users/4816088/items/KAK2M6MG"],"itemData":{"id":217,"type":"article-journal","title":"Two-dimensional detector software: From real detector to idealised image or two-theta scan","container-title":"High Pressure Research","page":"235-248","volume":"14","issue":"4-6","source":"Taylor and Francis+NEJM","abstract":"Detector systems introduce distortions into acquired data. To obtain accurate angle and intensity information, it is necessary to calibrate, and apply corrections. Intensity non-linearity, spatial distortion, and non-uniformity of intensity response, are the primary considerations. It is better to account for the distortions within scientific analysis software, but often it is more practical to correct the distortions to produce ‘idealised’ data. Calibration methods and software have been developed for single crystal diffraction experiments, using both approaches. For powder diffraction experiments the additional task of converting a two-dimensional image to a one-dimensional spectrum is used to allow Rietveld analysis. This task may be combined with distortion correction to produce intensity information and error estimates. High-pressure experiments can introduce additional complications and place new demands on software. Flexibility is needed to be able to integrate different angular regions separately, and to produce profiles as a function of angle of azimuth. Methods to cope with awkward data are described, and examples of the techniques applied to data from high pressure experiments are presented.","DOI":"10.1080/08957959608201408","ISSN":"0895-7959","shortTitle":"Two-dimensional detector software","author":[{"family":"Hammersley","given":"A. P."},{"family":"Svensson","given":"S. O."},{"family":"Hanfland","given":"M."},{"family":"Fitch","given":"A. N."},{"family":"Hausermann","given":"D."}],"issued":{"date-parts":[["1996",1,1]]}}}],"schema":"https://github.com/citation-style-language/schema/raw/master/csl-citation.json"} </w:instrText>
      </w:r>
      <w:r>
        <w:fldChar w:fldCharType="separate"/>
      </w:r>
      <w:r w:rsidR="00BF0DF2" w:rsidRPr="00BF0DF2">
        <w:rPr>
          <w:rFonts w:cs="Times"/>
        </w:rPr>
        <w:t>[42]</w:t>
      </w:r>
      <w:r>
        <w:fldChar w:fldCharType="end"/>
      </w:r>
      <w:r>
        <w:t xml:space="preserve"> PDFs, G(</w:t>
      </w:r>
      <w:r>
        <w:rPr>
          <w:i/>
        </w:rPr>
        <w:t>r</w:t>
      </w:r>
      <w:r>
        <w:t>), were extracted from the background and Compton scattering corrected data following Fourier transform within PDFgetX2.</w:t>
      </w:r>
      <w:r>
        <w:fldChar w:fldCharType="begin"/>
      </w:r>
      <w:r w:rsidR="00BF0DF2">
        <w:instrText xml:space="preserve"> ADDIN ZOTERO_ITEM CSL_CITATION {"citationID":"7J1foXrg","properties":{"formattedCitation":"[43]","plainCitation":"[43]","noteIndex":0},"citationItems":[{"id":41,"uris":["http://zotero.org/users/4816088/items/AA3EIJ3F"],"uri":["http://zotero.org/users/4816088/items/AA3EIJ3F"],"itemData":{"id":41,"type":"article-journal","title":"PDFgetX2: a GUI-driven program to obtain the pair distribution function from X-ray powder diffraction data","container-title":"Journal of Applied Crystallography","page":"678-678","volume":"37","issue":"4","source":"Wiley Online Library","DOI":"10.1107/S0021889804011744","ISSN":"1600-5767","shortTitle":"PDFgetX2","journalAbbreviation":"J. Appl. Cryst.","language":"en","author":[{"family":"Qiu","given":"Xiangyun"},{"family":"Thompson","given":"Jeroen W."},{"family":"Billinge","given":"Simon J. L."}],"issued":{"date-parts":[["2004"]]}},"locator":"2"}],"schema":"https://github.com/citation-style-language/schema/raw/master/csl-citation.json"} </w:instrText>
      </w:r>
      <w:r>
        <w:fldChar w:fldCharType="separate"/>
      </w:r>
      <w:r w:rsidR="00BF0DF2" w:rsidRPr="00BF0DF2">
        <w:rPr>
          <w:rFonts w:cs="Times"/>
        </w:rPr>
        <w:t>[43]</w:t>
      </w:r>
      <w:r>
        <w:fldChar w:fldCharType="end"/>
      </w:r>
      <w:r>
        <w:t xml:space="preserve"> The PDFs were subsequently modeled using PDFgui.</w:t>
      </w:r>
      <w:r>
        <w:fldChar w:fldCharType="begin"/>
      </w:r>
      <w:r w:rsidR="00BF0DF2">
        <w:instrText xml:space="preserve"> ADDIN ZOTERO_ITEM CSL_CITATION {"citationID":"f0GzMmNf","properties":{"formattedCitation":"[44]","plainCitation":"[44]","noteIndex":0},"citationItems":[{"id":"woE8BCE2/l0wnn8lO","uris":["http://zotero.org/users/5584665/items/MATN2E9Q"],"uri":["http://zotero.org/users/5584665/items/MATN2E9Q"],"itemData":{"id":57,"type":"article-journal","title":"PDFfit2 and PDFgui: computer programs for studying nanostructure in crystals","container-title":"Journal of Physics: Condensed Matter","page":"335219","volume":"19","issue":"33","source":"Crossref","DOI":"10.1088/0953-8984/19/33/335219","ISSN":"0953-8984, 1361-648X","title-short":"PDFfit2 and PDFgui","author":[{"family":"Farrow","given":"C L"},{"family":"Juhas","given":"P"},{"family":"Liu","given":"J W"},{"family":"Bryndin","given":"D"},{"family":"Božin","given":"E S"},{"family":"Bloch","given":"J"},{"family":"Proffen","given":"Th"},{"family":"Billinge","given":"S J L"}],"issued":{"date-parts":[["2007",8,22]]}}}],"schema":"https://github.com/citation-style-language/schema/raw/master/csl-citation.json"} </w:instrText>
      </w:r>
      <w:r>
        <w:fldChar w:fldCharType="separate"/>
      </w:r>
      <w:r w:rsidR="00BF0DF2" w:rsidRPr="00BF0DF2">
        <w:rPr>
          <w:rFonts w:cs="Times"/>
        </w:rPr>
        <w:t>[44]</w:t>
      </w:r>
      <w:r>
        <w:fldChar w:fldCharType="end"/>
      </w:r>
      <w:r>
        <w:t xml:space="preserve"> </w:t>
      </w:r>
      <w:r>
        <w:rPr>
          <w:spacing w:val="-5"/>
          <w:shd w:val="clear" w:color="auto" w:fill="FFFFFF"/>
        </w:rPr>
        <w:t>The </w:t>
      </w:r>
      <w:r>
        <w:rPr>
          <w:rStyle w:val="italic"/>
          <w:i/>
          <w:iCs/>
          <w:spacing w:val="-5"/>
          <w:shd w:val="clear" w:color="auto" w:fill="FFFFFF"/>
        </w:rPr>
        <w:t>Q</w:t>
      </w:r>
      <w:r>
        <w:rPr>
          <w:spacing w:val="-5"/>
          <w:sz w:val="20"/>
          <w:shd w:val="clear" w:color="auto" w:fill="FFFFFF"/>
          <w:vertAlign w:val="subscript"/>
        </w:rPr>
        <w:t>damp</w:t>
      </w:r>
      <w:r>
        <w:rPr>
          <w:spacing w:val="-5"/>
          <w:shd w:val="clear" w:color="auto" w:fill="FFFFFF"/>
        </w:rPr>
        <w:t xml:space="preserve"> was fixed to 0.04. The structural model used was tetragonal anatase (space group </w:t>
      </w:r>
      <w:r w:rsidRPr="00F66089">
        <w:rPr>
          <w:i/>
          <w:spacing w:val="-5"/>
          <w:shd w:val="clear" w:color="auto" w:fill="FFFFFF"/>
        </w:rPr>
        <w:t>I4</w:t>
      </w:r>
      <w:r w:rsidRPr="00F66089">
        <w:rPr>
          <w:i/>
          <w:spacing w:val="-5"/>
          <w:shd w:val="clear" w:color="auto" w:fill="FFFFFF"/>
          <w:vertAlign w:val="subscript"/>
        </w:rPr>
        <w:t>1</w:t>
      </w:r>
      <w:r w:rsidRPr="00F66089">
        <w:rPr>
          <w:i/>
          <w:spacing w:val="-5"/>
          <w:shd w:val="clear" w:color="auto" w:fill="FFFFFF"/>
        </w:rPr>
        <w:t>/amd</w:t>
      </w:r>
      <w:r>
        <w:rPr>
          <w:spacing w:val="-5"/>
          <w:shd w:val="clear" w:color="auto" w:fill="FFFFFF"/>
        </w:rPr>
        <w:t>). The refined parameters includes lattice parameters, scale factor, </w:t>
      </w:r>
      <w:r>
        <w:rPr>
          <w:rStyle w:val="italic"/>
          <w:i/>
          <w:iCs/>
          <w:spacing w:val="-5"/>
          <w:shd w:val="clear" w:color="auto" w:fill="FFFFFF"/>
        </w:rPr>
        <w:t>s</w:t>
      </w:r>
      <w:r>
        <w:rPr>
          <w:spacing w:val="-5"/>
          <w:shd w:val="clear" w:color="auto" w:fill="FFFFFF"/>
        </w:rPr>
        <w:t>ratio (</w:t>
      </w:r>
      <w:r>
        <w:rPr>
          <w:rStyle w:val="italic"/>
          <w:i/>
          <w:iCs/>
          <w:spacing w:val="-5"/>
          <w:shd w:val="clear" w:color="auto" w:fill="FFFFFF"/>
        </w:rPr>
        <w:t>i.e.</w:t>
      </w:r>
      <w:r>
        <w:rPr>
          <w:spacing w:val="-5"/>
          <w:shd w:val="clear" w:color="auto" w:fill="FFFFFF"/>
        </w:rPr>
        <w:t> low-</w:t>
      </w:r>
      <w:r>
        <w:rPr>
          <w:rStyle w:val="italic"/>
          <w:i/>
          <w:iCs/>
          <w:spacing w:val="-5"/>
          <w:shd w:val="clear" w:color="auto" w:fill="FFFFFF"/>
        </w:rPr>
        <w:t>r</w:t>
      </w:r>
      <w:r>
        <w:rPr>
          <w:spacing w:val="-5"/>
          <w:shd w:val="clear" w:color="auto" w:fill="FFFFFF"/>
        </w:rPr>
        <w:t> to high-</w:t>
      </w:r>
      <w:r>
        <w:rPr>
          <w:rStyle w:val="italic"/>
          <w:i/>
          <w:iCs/>
          <w:spacing w:val="-5"/>
          <w:shd w:val="clear" w:color="auto" w:fill="FFFFFF"/>
        </w:rPr>
        <w:t>r</w:t>
      </w:r>
      <w:r>
        <w:rPr>
          <w:spacing w:val="-5"/>
          <w:shd w:val="clear" w:color="auto" w:fill="FFFFFF"/>
        </w:rPr>
        <w:t> PDF peak ratio correction due to the correlated motion of bonded atoms</w:t>
      </w:r>
      <w:r>
        <w:rPr>
          <w:spacing w:val="-5"/>
          <w:shd w:val="clear" w:color="auto" w:fill="FFFFFF"/>
        </w:rPr>
        <w:fldChar w:fldCharType="begin"/>
      </w:r>
      <w:r w:rsidR="00BF0DF2">
        <w:rPr>
          <w:spacing w:val="-5"/>
          <w:shd w:val="clear" w:color="auto" w:fill="FFFFFF"/>
        </w:rPr>
        <w:instrText xml:space="preserve"> ADDIN ZOTERO_ITEM CSL_CITATION {"citationID":"sFFk1Ku2","properties":{"formattedCitation":"[45]","plainCitation":"[45]","noteIndex":0},"citationItems":[{"id":592,"uris":["http://zotero.org/users/4816088/items/K4M542S7"],"uri":["http://zotero.org/users/4816088/items/K4M542S7"],"itemData":{"id":592,"type":"book","title":"Underneath the Bragg Peaks: Structural Analysis of Complex Materials","publisher":"Elsevier","number-of-pages":"424","source":"Google Books","abstract":"* Introducing a unique method to study the atomic structure of nano-materials * Award winning research. Takeshi Egami received the 2003 Eugene Bertram Warren Diffraction Physics Award for the work described in the book.  This book focuses on the structural determination of crystalline solids with extensive disorder. Well-established methods exist for characterizing the structure of fully crystalline solids or fully disordered materials such as liquids and glasses, but there is a dearth of techniques for the cases in-between, crystalline solids with internal atomic and nanometer scale disorder. Egami and Billinge discuss how to fill the gap using modern tools of structural characterization. While this subject might sound rather narrow, the fact is that today this problem is encountered in the structural characterization of a surprisingly wide range of complex materials of interest to modern technology and is becoming increasingly important.","ISBN":"978-0-08-042698-3","note":"Google-Books-ID: ek2ymu7_NfgC","shortTitle":"Underneath the Bragg Peaks","language":"en","author":[{"family":"Egami","given":"Takeshi"},{"family":"Billinge","given":"S. J. L."}],"issued":{"date-parts":[["2003"]]}}}],"schema":"https://github.com/citation-style-language/schema/raw/master/csl-citation.json"} </w:instrText>
      </w:r>
      <w:r>
        <w:rPr>
          <w:spacing w:val="-5"/>
          <w:shd w:val="clear" w:color="auto" w:fill="FFFFFF"/>
        </w:rPr>
        <w:fldChar w:fldCharType="separate"/>
      </w:r>
      <w:r w:rsidR="00BF0DF2" w:rsidRPr="00BF0DF2">
        <w:rPr>
          <w:rFonts w:cs="Times"/>
        </w:rPr>
        <w:t>[45]</w:t>
      </w:r>
      <w:r>
        <w:rPr>
          <w:spacing w:val="-5"/>
          <w:shd w:val="clear" w:color="auto" w:fill="FFFFFF"/>
        </w:rPr>
        <w:fldChar w:fldCharType="end"/>
      </w:r>
      <w:r>
        <w:rPr>
          <w:spacing w:val="-5"/>
          <w:shd w:val="clear" w:color="auto" w:fill="FFFFFF"/>
        </w:rPr>
        <w:t>), spdiameter (</w:t>
      </w:r>
      <w:r>
        <w:rPr>
          <w:rStyle w:val="italic"/>
          <w:i/>
          <w:iCs/>
          <w:spacing w:val="-5"/>
          <w:shd w:val="clear" w:color="auto" w:fill="FFFFFF"/>
        </w:rPr>
        <w:t>i.e.</w:t>
      </w:r>
      <w:r>
        <w:rPr>
          <w:spacing w:val="-5"/>
          <w:shd w:val="clear" w:color="auto" w:fill="FFFFFF"/>
        </w:rPr>
        <w:t xml:space="preserve"> particle diameter), and isotropic atomic displacement factors (ADPs). </w:t>
      </w:r>
    </w:p>
    <w:p w14:paraId="03651AB8" w14:textId="77777777" w:rsidR="003056E0" w:rsidRDefault="003056E0" w:rsidP="003056E0">
      <w:pPr>
        <w:spacing w:line="480" w:lineRule="auto"/>
        <w:ind w:firstLine="420"/>
        <w:rPr>
          <w:color w:val="000000"/>
        </w:rPr>
      </w:pPr>
      <w:r>
        <w:rPr>
          <w:color w:val="000000"/>
        </w:rPr>
        <w:lastRenderedPageBreak/>
        <w:t>The quality of the refinement is quantified by the reliability factor weighted R-value, denoted as R</w:t>
      </w:r>
      <w:r>
        <w:rPr>
          <w:i/>
          <w:color w:val="000000"/>
          <w:vertAlign w:val="subscript"/>
        </w:rPr>
        <w:t>w</w:t>
      </w:r>
      <w:r>
        <w:rPr>
          <w:color w:val="000000"/>
        </w:rPr>
        <w:t>. The R-value describes the difference between the experimental observation (data) and the calculated value (fit) for a single data point. The R</w:t>
      </w:r>
      <w:r>
        <w:rPr>
          <w:i/>
          <w:color w:val="000000"/>
          <w:vertAlign w:val="subscript"/>
        </w:rPr>
        <w:t>w</w:t>
      </w:r>
      <w:r>
        <w:rPr>
          <w:color w:val="000000"/>
        </w:rPr>
        <w:t xml:space="preserve"> is the R-value weighted for data point </w:t>
      </w:r>
      <w:r>
        <w:rPr>
          <w:i/>
          <w:color w:val="000000"/>
        </w:rPr>
        <w:t>i</w:t>
      </w:r>
      <w:r>
        <w:rPr>
          <w:color w:val="000000"/>
        </w:rPr>
        <w:t>, and is given by the formula:</w:t>
      </w:r>
    </w:p>
    <w:tbl>
      <w:tblPr>
        <w:tblW w:w="5000" w:type="pct"/>
        <w:jc w:val="center"/>
        <w:tblLook w:val="04A0" w:firstRow="1" w:lastRow="0" w:firstColumn="1" w:lastColumn="0" w:noHBand="0" w:noVBand="1"/>
      </w:tblPr>
      <w:tblGrid>
        <w:gridCol w:w="957"/>
        <w:gridCol w:w="7661"/>
        <w:gridCol w:w="958"/>
      </w:tblGrid>
      <w:tr w:rsidR="003056E0" w:rsidRPr="003056E0" w14:paraId="37F94C0A" w14:textId="77777777" w:rsidTr="003056E0">
        <w:trPr>
          <w:jc w:val="center"/>
        </w:trPr>
        <w:tc>
          <w:tcPr>
            <w:tcW w:w="500" w:type="pct"/>
            <w:vAlign w:val="center"/>
          </w:tcPr>
          <w:p w14:paraId="58BEA91C" w14:textId="77777777" w:rsidR="003056E0" w:rsidRDefault="003056E0">
            <w:pPr>
              <w:spacing w:line="480" w:lineRule="auto"/>
              <w:rPr>
                <w:color w:val="000000"/>
                <w:kern w:val="2"/>
                <w:shd w:val="clear" w:color="auto" w:fill="FFFFFF"/>
              </w:rPr>
            </w:pPr>
          </w:p>
        </w:tc>
        <w:tc>
          <w:tcPr>
            <w:tcW w:w="4000" w:type="pct"/>
            <w:vAlign w:val="center"/>
            <w:hideMark/>
          </w:tcPr>
          <w:p w14:paraId="256A6DB7" w14:textId="77777777" w:rsidR="003056E0" w:rsidRDefault="00523626">
            <w:pPr>
              <w:spacing w:line="480" w:lineRule="auto"/>
              <w:rPr>
                <w:color w:val="000000"/>
                <w:kern w:val="2"/>
                <w:shd w:val="clear" w:color="auto" w:fill="FFFFFF"/>
              </w:rPr>
            </w:pPr>
            <m:oMathPara>
              <m:oMath>
                <m:sSub>
                  <m:sSubPr>
                    <m:ctrlPr>
                      <w:rPr>
                        <w:rFonts w:ascii="Cambria Math" w:hAnsi="Cambria Math"/>
                        <w:color w:val="000000"/>
                        <w:szCs w:val="24"/>
                        <w:lang w:eastAsia="ja-JP"/>
                      </w:rPr>
                    </m:ctrlPr>
                  </m:sSubPr>
                  <m:e>
                    <m:r>
                      <m:rPr>
                        <m:nor/>
                      </m:rPr>
                      <w:rPr>
                        <w:color w:val="000000"/>
                      </w:rPr>
                      <m:t>R</m:t>
                    </m:r>
                  </m:e>
                  <m:sub>
                    <m:r>
                      <m:rPr>
                        <m:nor/>
                      </m:rPr>
                      <w:rPr>
                        <w:i/>
                        <w:color w:val="000000"/>
                      </w:rPr>
                      <m:t>w</m:t>
                    </m:r>
                  </m:sub>
                </m:sSub>
                <m:r>
                  <m:rPr>
                    <m:nor/>
                  </m:rPr>
                  <w:rPr>
                    <w:color w:val="000000"/>
                  </w:rPr>
                  <m:t>=</m:t>
                </m:r>
                <m:rad>
                  <m:radPr>
                    <m:degHide m:val="1"/>
                    <m:ctrlPr>
                      <w:rPr>
                        <w:rFonts w:ascii="Cambria Math" w:hAnsi="Cambria Math"/>
                        <w:color w:val="000000"/>
                        <w:szCs w:val="24"/>
                        <w:lang w:eastAsia="ja-JP"/>
                      </w:rPr>
                    </m:ctrlPr>
                  </m:radPr>
                  <m:deg/>
                  <m:e>
                    <m:f>
                      <m:fPr>
                        <m:ctrlPr>
                          <w:rPr>
                            <w:rFonts w:ascii="Cambria Math" w:hAnsi="Cambria Math"/>
                            <w:color w:val="000000"/>
                            <w:szCs w:val="24"/>
                            <w:lang w:eastAsia="ja-JP"/>
                          </w:rPr>
                        </m:ctrlPr>
                      </m:fPr>
                      <m:num>
                        <m:nary>
                          <m:naryPr>
                            <m:chr m:val="∑"/>
                            <m:limLoc m:val="undOvr"/>
                            <m:ctrlPr>
                              <w:rPr>
                                <w:rFonts w:ascii="Cambria Math" w:hAnsi="Cambria Math"/>
                                <w:color w:val="000000"/>
                                <w:szCs w:val="24"/>
                                <w:lang w:eastAsia="ja-JP"/>
                              </w:rPr>
                            </m:ctrlPr>
                          </m:naryPr>
                          <m:sub>
                            <m:r>
                              <m:rPr>
                                <m:nor/>
                              </m:rPr>
                              <w:rPr>
                                <w:i/>
                                <w:color w:val="000000"/>
                              </w:rPr>
                              <m:t>i</m:t>
                            </m:r>
                            <m:r>
                              <m:rPr>
                                <m:nor/>
                              </m:rPr>
                              <w:rPr>
                                <w:color w:val="000000"/>
                              </w:rPr>
                              <m:t>=1</m:t>
                            </m:r>
                          </m:sub>
                          <m:sup>
                            <m:r>
                              <m:rPr>
                                <m:nor/>
                              </m:rPr>
                              <w:rPr>
                                <w:color w:val="000000"/>
                              </w:rPr>
                              <m:t>N</m:t>
                            </m:r>
                          </m:sup>
                          <m:e>
                            <m:r>
                              <m:rPr>
                                <m:nor/>
                              </m:rPr>
                              <w:rPr>
                                <w:i/>
                                <w:color w:val="000000"/>
                              </w:rPr>
                              <m:t>w</m:t>
                            </m:r>
                            <m:d>
                              <m:dPr>
                                <m:ctrlPr>
                                  <w:rPr>
                                    <w:rFonts w:ascii="Cambria Math" w:hAnsi="Cambria Math"/>
                                    <w:color w:val="000000"/>
                                    <w:szCs w:val="24"/>
                                    <w:lang w:eastAsia="ja-JP"/>
                                  </w:rPr>
                                </m:ctrlPr>
                              </m:dPr>
                              <m:e>
                                <m:sSub>
                                  <m:sSubPr>
                                    <m:ctrlPr>
                                      <w:rPr>
                                        <w:rFonts w:ascii="Cambria Math" w:hAnsi="Cambria Math"/>
                                        <w:color w:val="000000"/>
                                        <w:szCs w:val="24"/>
                                        <w:lang w:eastAsia="ja-JP"/>
                                      </w:rPr>
                                    </m:ctrlPr>
                                  </m:sSubPr>
                                  <m:e>
                                    <m:r>
                                      <m:rPr>
                                        <m:nor/>
                                      </m:rPr>
                                      <w:rPr>
                                        <w:i/>
                                        <w:color w:val="000000"/>
                                      </w:rPr>
                                      <m:t>r</m:t>
                                    </m:r>
                                  </m:e>
                                  <m:sub>
                                    <m:r>
                                      <m:rPr>
                                        <m:nor/>
                                      </m:rPr>
                                      <w:rPr>
                                        <w:i/>
                                        <w:color w:val="000000"/>
                                      </w:rPr>
                                      <m:t>i</m:t>
                                    </m:r>
                                  </m:sub>
                                </m:sSub>
                              </m:e>
                            </m:d>
                            <m:d>
                              <m:dPr>
                                <m:begChr m:val="["/>
                                <m:endChr m:val="]"/>
                                <m:ctrlPr>
                                  <w:rPr>
                                    <w:rFonts w:ascii="Cambria Math" w:hAnsi="Cambria Math"/>
                                    <w:color w:val="000000"/>
                                    <w:szCs w:val="24"/>
                                    <w:lang w:eastAsia="ja-JP"/>
                                  </w:rPr>
                                </m:ctrlPr>
                              </m:dPr>
                              <m:e>
                                <m:sSub>
                                  <m:sSubPr>
                                    <m:ctrlPr>
                                      <w:rPr>
                                        <w:rFonts w:ascii="Cambria Math" w:hAnsi="Cambria Math"/>
                                        <w:color w:val="000000"/>
                                        <w:szCs w:val="24"/>
                                        <w:lang w:eastAsia="ja-JP"/>
                                      </w:rPr>
                                    </m:ctrlPr>
                                  </m:sSubPr>
                                  <m:e>
                                    <m:r>
                                      <m:rPr>
                                        <m:nor/>
                                      </m:rPr>
                                      <w:rPr>
                                        <w:color w:val="000000"/>
                                      </w:rPr>
                                      <m:t>G</m:t>
                                    </m:r>
                                  </m:e>
                                  <m:sub>
                                    <m:r>
                                      <m:rPr>
                                        <m:nor/>
                                      </m:rPr>
                                      <w:rPr>
                                        <w:i/>
                                        <w:color w:val="000000"/>
                                      </w:rPr>
                                      <m:t>obs</m:t>
                                    </m:r>
                                  </m:sub>
                                </m:sSub>
                                <m:d>
                                  <m:dPr>
                                    <m:ctrlPr>
                                      <w:rPr>
                                        <w:rFonts w:ascii="Cambria Math" w:hAnsi="Cambria Math"/>
                                        <w:color w:val="000000"/>
                                        <w:szCs w:val="24"/>
                                        <w:lang w:eastAsia="ja-JP"/>
                                      </w:rPr>
                                    </m:ctrlPr>
                                  </m:dPr>
                                  <m:e>
                                    <m:sSub>
                                      <m:sSubPr>
                                        <m:ctrlPr>
                                          <w:rPr>
                                            <w:rFonts w:ascii="Cambria Math" w:hAnsi="Cambria Math"/>
                                            <w:i/>
                                            <w:color w:val="000000"/>
                                            <w:szCs w:val="24"/>
                                            <w:lang w:eastAsia="ja-JP"/>
                                          </w:rPr>
                                        </m:ctrlPr>
                                      </m:sSubPr>
                                      <m:e>
                                        <m:r>
                                          <m:rPr>
                                            <m:nor/>
                                          </m:rPr>
                                          <w:rPr>
                                            <w:i/>
                                            <w:color w:val="000000"/>
                                          </w:rPr>
                                          <m:t>r</m:t>
                                        </m:r>
                                      </m:e>
                                      <m:sub>
                                        <m:r>
                                          <m:rPr>
                                            <m:nor/>
                                          </m:rPr>
                                          <w:rPr>
                                            <w:i/>
                                            <w:color w:val="000000"/>
                                          </w:rPr>
                                          <m:t>i</m:t>
                                        </m:r>
                                      </m:sub>
                                    </m:sSub>
                                  </m:e>
                                </m:d>
                                <m:r>
                                  <w:rPr>
                                    <w:rFonts w:ascii="Cambria Math" w:hAnsi="Cambria Math"/>
                                    <w:color w:val="000000"/>
                                  </w:rPr>
                                  <m:t>-</m:t>
                                </m:r>
                                <m:sSub>
                                  <m:sSubPr>
                                    <m:ctrlPr>
                                      <w:rPr>
                                        <w:rFonts w:ascii="Cambria Math" w:hAnsi="Cambria Math"/>
                                        <w:color w:val="000000"/>
                                        <w:szCs w:val="24"/>
                                        <w:lang w:eastAsia="ja-JP"/>
                                      </w:rPr>
                                    </m:ctrlPr>
                                  </m:sSubPr>
                                  <m:e>
                                    <m:r>
                                      <m:rPr>
                                        <m:nor/>
                                      </m:rPr>
                                      <w:rPr>
                                        <w:color w:val="000000"/>
                                      </w:rPr>
                                      <m:t>G</m:t>
                                    </m:r>
                                  </m:e>
                                  <m:sub>
                                    <m:r>
                                      <m:rPr>
                                        <m:nor/>
                                      </m:rPr>
                                      <w:rPr>
                                        <w:i/>
                                        <w:color w:val="000000"/>
                                      </w:rPr>
                                      <m:t>calc</m:t>
                                    </m:r>
                                  </m:sub>
                                </m:sSub>
                                <m:d>
                                  <m:dPr>
                                    <m:ctrlPr>
                                      <w:rPr>
                                        <w:rFonts w:ascii="Cambria Math" w:hAnsi="Cambria Math"/>
                                        <w:color w:val="000000"/>
                                        <w:szCs w:val="24"/>
                                        <w:lang w:eastAsia="ja-JP"/>
                                      </w:rPr>
                                    </m:ctrlPr>
                                  </m:dPr>
                                  <m:e>
                                    <m:sSub>
                                      <m:sSubPr>
                                        <m:ctrlPr>
                                          <w:rPr>
                                            <w:rFonts w:ascii="Cambria Math" w:hAnsi="Cambria Math"/>
                                            <w:i/>
                                            <w:color w:val="000000"/>
                                            <w:szCs w:val="24"/>
                                            <w:lang w:eastAsia="ja-JP"/>
                                          </w:rPr>
                                        </m:ctrlPr>
                                      </m:sSubPr>
                                      <m:e>
                                        <m:r>
                                          <m:rPr>
                                            <m:nor/>
                                          </m:rPr>
                                          <w:rPr>
                                            <w:i/>
                                            <w:color w:val="000000"/>
                                          </w:rPr>
                                          <m:t>r</m:t>
                                        </m:r>
                                      </m:e>
                                      <m:sub>
                                        <m:r>
                                          <m:rPr>
                                            <m:nor/>
                                          </m:rPr>
                                          <w:rPr>
                                            <w:i/>
                                            <w:color w:val="000000"/>
                                          </w:rPr>
                                          <m:t>i</m:t>
                                        </m:r>
                                      </m:sub>
                                    </m:sSub>
                                  </m:e>
                                </m:d>
                              </m:e>
                            </m:d>
                            <m:r>
                              <m:rPr>
                                <m:nor/>
                              </m:rPr>
                              <w:rPr>
                                <w:color w:val="000000"/>
                              </w:rPr>
                              <m:t>²</m:t>
                            </m:r>
                          </m:e>
                        </m:nary>
                      </m:num>
                      <m:den>
                        <m:nary>
                          <m:naryPr>
                            <m:chr m:val="∑"/>
                            <m:limLoc m:val="undOvr"/>
                            <m:ctrlPr>
                              <w:rPr>
                                <w:rFonts w:ascii="Cambria Math" w:hAnsi="Cambria Math"/>
                                <w:color w:val="000000"/>
                                <w:szCs w:val="24"/>
                                <w:lang w:eastAsia="ja-JP"/>
                              </w:rPr>
                            </m:ctrlPr>
                          </m:naryPr>
                          <m:sub>
                            <m:r>
                              <m:rPr>
                                <m:nor/>
                              </m:rPr>
                              <w:rPr>
                                <w:i/>
                                <w:color w:val="000000"/>
                              </w:rPr>
                              <m:t>i</m:t>
                            </m:r>
                            <m:r>
                              <m:rPr>
                                <m:nor/>
                              </m:rPr>
                              <w:rPr>
                                <w:color w:val="000000"/>
                              </w:rPr>
                              <m:t>=1</m:t>
                            </m:r>
                          </m:sub>
                          <m:sup>
                            <m:r>
                              <m:rPr>
                                <m:nor/>
                              </m:rPr>
                              <w:rPr>
                                <w:color w:val="000000"/>
                              </w:rPr>
                              <m:t>N</m:t>
                            </m:r>
                          </m:sup>
                          <m:e>
                            <m:r>
                              <m:rPr>
                                <m:nor/>
                              </m:rPr>
                              <w:rPr>
                                <w:i/>
                                <w:color w:val="000000"/>
                              </w:rPr>
                              <m:t>w</m:t>
                            </m:r>
                            <m:d>
                              <m:dPr>
                                <m:ctrlPr>
                                  <w:rPr>
                                    <w:rFonts w:ascii="Cambria Math" w:hAnsi="Cambria Math"/>
                                    <w:color w:val="000000"/>
                                    <w:szCs w:val="24"/>
                                    <w:lang w:eastAsia="ja-JP"/>
                                  </w:rPr>
                                </m:ctrlPr>
                              </m:dPr>
                              <m:e>
                                <m:sSub>
                                  <m:sSubPr>
                                    <m:ctrlPr>
                                      <w:rPr>
                                        <w:rFonts w:ascii="Cambria Math" w:hAnsi="Cambria Math"/>
                                        <w:color w:val="000000"/>
                                        <w:szCs w:val="24"/>
                                        <w:lang w:eastAsia="ja-JP"/>
                                      </w:rPr>
                                    </m:ctrlPr>
                                  </m:sSubPr>
                                  <m:e>
                                    <m:r>
                                      <m:rPr>
                                        <m:nor/>
                                      </m:rPr>
                                      <w:rPr>
                                        <w:i/>
                                        <w:color w:val="000000"/>
                                      </w:rPr>
                                      <m:t>r</m:t>
                                    </m:r>
                                  </m:e>
                                  <m:sub>
                                    <m:r>
                                      <m:rPr>
                                        <m:nor/>
                                      </m:rPr>
                                      <w:rPr>
                                        <w:i/>
                                        <w:color w:val="000000"/>
                                      </w:rPr>
                                      <m:t>i</m:t>
                                    </m:r>
                                  </m:sub>
                                </m:sSub>
                              </m:e>
                            </m:d>
                            <m:sSubSup>
                              <m:sSubSupPr>
                                <m:ctrlPr>
                                  <w:rPr>
                                    <w:rFonts w:ascii="Cambria Math" w:hAnsi="Cambria Math"/>
                                    <w:color w:val="000000"/>
                                    <w:szCs w:val="24"/>
                                    <w:lang w:eastAsia="ja-JP"/>
                                  </w:rPr>
                                </m:ctrlPr>
                              </m:sSubSupPr>
                              <m:e>
                                <m:r>
                                  <m:rPr>
                                    <m:nor/>
                                  </m:rPr>
                                  <w:rPr>
                                    <w:color w:val="000000"/>
                                  </w:rPr>
                                  <m:t>G</m:t>
                                </m:r>
                              </m:e>
                              <m:sub>
                                <m:r>
                                  <m:rPr>
                                    <m:nor/>
                                  </m:rPr>
                                  <w:rPr>
                                    <w:i/>
                                    <w:color w:val="000000"/>
                                  </w:rPr>
                                  <m:t>obs</m:t>
                                </m:r>
                              </m:sub>
                              <m:sup>
                                <m:r>
                                  <m:rPr>
                                    <m:nor/>
                                  </m:rPr>
                                  <w:rPr>
                                    <w:color w:val="000000"/>
                                  </w:rPr>
                                  <m:t>2</m:t>
                                </m:r>
                              </m:sup>
                            </m:sSubSup>
                          </m:e>
                        </m:nary>
                        <m:r>
                          <m:rPr>
                            <m:nor/>
                          </m:rPr>
                          <w:rPr>
                            <w:color w:val="000000"/>
                          </w:rPr>
                          <m:t>(</m:t>
                        </m:r>
                        <m:sSub>
                          <m:sSubPr>
                            <m:ctrlPr>
                              <w:rPr>
                                <w:rFonts w:ascii="Cambria Math" w:hAnsi="Cambria Math"/>
                                <w:color w:val="000000"/>
                                <w:szCs w:val="24"/>
                                <w:lang w:eastAsia="ja-JP"/>
                              </w:rPr>
                            </m:ctrlPr>
                          </m:sSubPr>
                          <m:e>
                            <m:r>
                              <m:rPr>
                                <m:nor/>
                              </m:rPr>
                              <w:rPr>
                                <w:i/>
                                <w:color w:val="000000"/>
                              </w:rPr>
                              <m:t>r</m:t>
                            </m:r>
                          </m:e>
                          <m:sub>
                            <m:r>
                              <m:rPr>
                                <m:nor/>
                              </m:rPr>
                              <w:rPr>
                                <w:i/>
                                <w:color w:val="000000"/>
                              </w:rPr>
                              <m:t>i</m:t>
                            </m:r>
                          </m:sub>
                        </m:sSub>
                        <m:r>
                          <m:rPr>
                            <m:nor/>
                          </m:rPr>
                          <w:rPr>
                            <w:color w:val="000000"/>
                          </w:rPr>
                          <m:t>)</m:t>
                        </m:r>
                      </m:den>
                    </m:f>
                  </m:e>
                </m:rad>
              </m:oMath>
            </m:oMathPara>
          </w:p>
        </w:tc>
        <w:tc>
          <w:tcPr>
            <w:tcW w:w="500" w:type="pct"/>
            <w:vAlign w:val="center"/>
          </w:tcPr>
          <w:p w14:paraId="7EFFD773" w14:textId="77777777" w:rsidR="003056E0" w:rsidRDefault="003056E0">
            <w:pPr>
              <w:spacing w:line="480" w:lineRule="auto"/>
              <w:rPr>
                <w:color w:val="000000"/>
                <w:kern w:val="2"/>
                <w:shd w:val="clear" w:color="auto" w:fill="FFFFFF"/>
              </w:rPr>
            </w:pPr>
          </w:p>
        </w:tc>
      </w:tr>
    </w:tbl>
    <w:p w14:paraId="71E6FFCF" w14:textId="77777777" w:rsidR="003056E0" w:rsidRDefault="003056E0" w:rsidP="003056E0">
      <w:pPr>
        <w:spacing w:line="480" w:lineRule="auto"/>
        <w:rPr>
          <w:color w:val="000000"/>
          <w:lang w:eastAsia="ja-JP"/>
        </w:rPr>
      </w:pPr>
      <w:r>
        <w:rPr>
          <w:color w:val="000000"/>
        </w:rPr>
        <w:t xml:space="preserve">with </w:t>
      </w:r>
      <m:oMath>
        <m:sSub>
          <m:sSubPr>
            <m:ctrlPr>
              <w:rPr>
                <w:rFonts w:ascii="Cambria Math" w:hAnsi="Cambria Math"/>
                <w:i/>
                <w:color w:val="000000"/>
                <w:szCs w:val="24"/>
                <w:lang w:eastAsia="ja-JP"/>
              </w:rPr>
            </m:ctrlPr>
          </m:sSubPr>
          <m:e>
            <m:r>
              <m:rPr>
                <m:nor/>
              </m:rPr>
              <w:rPr>
                <w:color w:val="000000"/>
              </w:rPr>
              <m:t>G</m:t>
            </m:r>
          </m:e>
          <m:sub>
            <m:r>
              <m:rPr>
                <m:nor/>
              </m:rPr>
              <w:rPr>
                <w:i/>
                <w:color w:val="000000"/>
              </w:rPr>
              <m:t>obs</m:t>
            </m:r>
          </m:sub>
        </m:sSub>
      </m:oMath>
      <w:r>
        <w:rPr>
          <w:color w:val="000000"/>
        </w:rPr>
        <w:t xml:space="preserve"> and </w:t>
      </w:r>
      <m:oMath>
        <m:sSub>
          <m:sSubPr>
            <m:ctrlPr>
              <w:rPr>
                <w:rFonts w:ascii="Cambria Math" w:hAnsi="Cambria Math"/>
                <w:i/>
                <w:color w:val="000000"/>
                <w:szCs w:val="24"/>
                <w:lang w:eastAsia="ja-JP"/>
              </w:rPr>
            </m:ctrlPr>
          </m:sSubPr>
          <m:e>
            <m:r>
              <m:rPr>
                <m:nor/>
              </m:rPr>
              <w:rPr>
                <w:color w:val="000000"/>
              </w:rPr>
              <m:t>G</m:t>
            </m:r>
          </m:e>
          <m:sub>
            <m:r>
              <m:rPr>
                <m:nor/>
              </m:rPr>
              <w:rPr>
                <w:i/>
                <w:color w:val="000000"/>
              </w:rPr>
              <m:t>calc</m:t>
            </m:r>
          </m:sub>
        </m:sSub>
      </m:oMath>
      <w:r>
        <w:rPr>
          <w:color w:val="000000"/>
        </w:rPr>
        <w:t xml:space="preserve"> being the observed (data) and calculated (fit) PDF and </w:t>
      </w:r>
      <w:r>
        <w:rPr>
          <w:i/>
          <w:color w:val="000000"/>
        </w:rPr>
        <w:t>w</w:t>
      </w:r>
      <w:r>
        <w:rPr>
          <w:color w:val="000000"/>
        </w:rPr>
        <w:t>(</w:t>
      </w:r>
      <w:r>
        <w:rPr>
          <w:i/>
          <w:color w:val="000000"/>
        </w:rPr>
        <w:t>r</w:t>
      </w:r>
      <w:r>
        <w:rPr>
          <w:i/>
          <w:color w:val="000000"/>
          <w:vertAlign w:val="subscript"/>
        </w:rPr>
        <w:t>i</w:t>
      </w:r>
      <w:r>
        <w:rPr>
          <w:color w:val="000000"/>
        </w:rPr>
        <w:t>) the weight for each data point.</w:t>
      </w:r>
    </w:p>
    <w:p w14:paraId="45F0A2C8" w14:textId="5C54731E" w:rsidR="003056E0" w:rsidRDefault="003056E0" w:rsidP="003056E0">
      <w:pPr>
        <w:spacing w:line="480" w:lineRule="auto"/>
        <w:rPr>
          <w:color w:val="000000"/>
        </w:rPr>
      </w:pPr>
      <w:r>
        <w:rPr>
          <w:i/>
          <w:vertAlign w:val="superscript"/>
        </w:rPr>
        <w:t>19</w:t>
      </w:r>
      <w:r>
        <w:rPr>
          <w:i/>
        </w:rPr>
        <w:t xml:space="preserve">F and </w:t>
      </w:r>
      <w:r>
        <w:rPr>
          <w:i/>
          <w:vertAlign w:val="superscript"/>
        </w:rPr>
        <w:t>7</w:t>
      </w:r>
      <w:r>
        <w:rPr>
          <w:i/>
        </w:rPr>
        <w:t>Li Solid-State NMR Spectroscopy.</w:t>
      </w:r>
      <w:r>
        <w:t xml:space="preserve"> </w:t>
      </w:r>
      <w:r>
        <w:rPr>
          <w:rStyle w:val="TAMainTextCar"/>
          <w:rFonts w:ascii="Times New Roman" w:hAnsi="Times New Roman"/>
          <w:vertAlign w:val="superscript"/>
        </w:rPr>
        <w:t>19</w:t>
      </w:r>
      <w:r>
        <w:rPr>
          <w:rStyle w:val="TAMainTextCar"/>
          <w:rFonts w:ascii="Times New Roman" w:hAnsi="Times New Roman"/>
        </w:rPr>
        <w:t xml:space="preserve">F and </w:t>
      </w:r>
      <w:r>
        <w:rPr>
          <w:rStyle w:val="TAMainTextCar"/>
          <w:rFonts w:ascii="Times New Roman" w:hAnsi="Times New Roman"/>
          <w:vertAlign w:val="superscript"/>
        </w:rPr>
        <w:t>7</w:t>
      </w:r>
      <w:r>
        <w:rPr>
          <w:rStyle w:val="TAMainTextCar"/>
          <w:rFonts w:ascii="Times New Roman" w:hAnsi="Times New Roman"/>
        </w:rPr>
        <w:t>Li solid-state magic angle spinning (MAS) NMR experiments were performed on a Bruker Avance 300 spectrometer operating at 7.0 T (</w:t>
      </w:r>
      <w:r>
        <w:rPr>
          <w:rStyle w:val="TAMainTextCar"/>
          <w:rFonts w:ascii="Times New Roman" w:hAnsi="Times New Roman"/>
          <w:vertAlign w:val="superscript"/>
        </w:rPr>
        <w:t>19</w:t>
      </w:r>
      <w:r>
        <w:rPr>
          <w:rStyle w:val="TAMainTextCar"/>
          <w:rFonts w:ascii="Times New Roman" w:hAnsi="Times New Roman"/>
        </w:rPr>
        <w:t xml:space="preserve">F and </w:t>
      </w:r>
      <w:r>
        <w:rPr>
          <w:rStyle w:val="TAMainTextCar"/>
          <w:rFonts w:ascii="Times New Roman" w:hAnsi="Times New Roman"/>
          <w:vertAlign w:val="superscript"/>
        </w:rPr>
        <w:t>7</w:t>
      </w:r>
      <w:r>
        <w:rPr>
          <w:rStyle w:val="TAMainTextCar"/>
          <w:rFonts w:ascii="Times New Roman" w:hAnsi="Times New Roman"/>
        </w:rPr>
        <w:t xml:space="preserve">Li Larmor frequencies of 282.2 and 116.7 MHz, respectively), using a 1.3 mm CP-MAS probe head. The electrochemically prepared samples were washed with DMF and stored under dry nitrogen gas, in a glove box, in which the 1.3 mm rotors have been filled. Experimental details about the </w:t>
      </w:r>
      <w:r>
        <w:rPr>
          <w:rStyle w:val="TAMainTextCar"/>
          <w:rFonts w:ascii="Times New Roman" w:hAnsi="Times New Roman"/>
          <w:vertAlign w:val="superscript"/>
        </w:rPr>
        <w:t>19</w:t>
      </w:r>
      <w:r>
        <w:rPr>
          <w:rStyle w:val="TAMainTextCar"/>
          <w:rFonts w:ascii="Times New Roman" w:hAnsi="Times New Roman"/>
        </w:rPr>
        <w:t>F MAS NMR spectrum of Ti</w:t>
      </w:r>
      <w:r>
        <w:rPr>
          <w:rStyle w:val="TAMainTextCar"/>
          <w:rFonts w:ascii="Times New Roman" w:hAnsi="Times New Roman"/>
          <w:vertAlign w:val="subscript"/>
        </w:rPr>
        <w:t>0.78</w:t>
      </w:r>
      <w:r>
        <w:rPr>
          <w:rStyle w:val="TAMainTextCar"/>
          <w:rFonts w:ascii="Times New Roman" w:hAnsi="Times New Roman"/>
        </w:rPr>
        <w:sym w:font="Wingdings" w:char="F0A8"/>
      </w:r>
      <w:r>
        <w:rPr>
          <w:rStyle w:val="TAMainTextCar"/>
          <w:rFonts w:ascii="Times New Roman" w:hAnsi="Times New Roman"/>
          <w:vertAlign w:val="subscript"/>
        </w:rPr>
        <w:t>0.22</w:t>
      </w:r>
      <w:r>
        <w:rPr>
          <w:rStyle w:val="TAMainTextCar"/>
          <w:rFonts w:ascii="Times New Roman" w:hAnsi="Times New Roman"/>
        </w:rPr>
        <w:t>O</w:t>
      </w:r>
      <w:r>
        <w:rPr>
          <w:rStyle w:val="TAMainTextCar"/>
          <w:rFonts w:ascii="Times New Roman" w:hAnsi="Times New Roman"/>
          <w:vertAlign w:val="subscript"/>
        </w:rPr>
        <w:t>1.12</w:t>
      </w:r>
      <w:r>
        <w:rPr>
          <w:rStyle w:val="TAMainTextCar"/>
          <w:rFonts w:ascii="Times New Roman" w:hAnsi="Times New Roman"/>
        </w:rPr>
        <w:t>F</w:t>
      </w:r>
      <w:r>
        <w:rPr>
          <w:rStyle w:val="TAMainTextCar"/>
          <w:rFonts w:ascii="Times New Roman" w:hAnsi="Times New Roman"/>
          <w:vertAlign w:val="subscript"/>
        </w:rPr>
        <w:t>0.40</w:t>
      </w:r>
      <w:r>
        <w:rPr>
          <w:rStyle w:val="TAMainTextCar"/>
          <w:rFonts w:ascii="Times New Roman" w:hAnsi="Times New Roman"/>
        </w:rPr>
        <w:t>(OH)</w:t>
      </w:r>
      <w:r>
        <w:rPr>
          <w:rStyle w:val="TAMainTextCar"/>
          <w:rFonts w:ascii="Times New Roman" w:hAnsi="Times New Roman"/>
          <w:vertAlign w:val="subscript"/>
        </w:rPr>
        <w:t>0.48</w:t>
      </w:r>
      <w:r>
        <w:rPr>
          <w:rStyle w:val="TAMainTextCar"/>
          <w:rFonts w:ascii="Times New Roman" w:hAnsi="Times New Roman"/>
        </w:rPr>
        <w:t xml:space="preserve"> have been reported previously.</w:t>
      </w:r>
      <w:r>
        <w:rPr>
          <w:rStyle w:val="TAMainTextCar"/>
          <w:rFonts w:ascii="Times New Roman" w:hAnsi="Times New Roman"/>
        </w:rPr>
        <w:fldChar w:fldCharType="begin"/>
      </w:r>
      <w:r>
        <w:rPr>
          <w:rStyle w:val="TAMainTextCar"/>
          <w:rFonts w:ascii="Times New Roman" w:hAnsi="Times New Roman"/>
        </w:rPr>
        <w:instrText xml:space="preserve"> ADDIN ZOTERO_ITEM CSL_CITATION {"citationID":"gUBPcfnf","properties":{"formattedCitation":"[17]","plainCitation":"[17]","noteIndex":0},"citationItems":[{"id":205,"uris":["http://zotero.org/users/4816088/items/6ZHA6KTE"],"uri":["http://zotero.org/users/4816088/items/6ZHA6KTE"],"itemData":{"id":205,"type":"article-journal","title":"High Substitution Rate in TiO2 Anatase Nanoparticles with Cationic Vacancies for Fast Lithium Storage","container-title":"Chemistry of Materials","page":"5014-5019","volume":"27","issue":"14","source":"ACS Publications","abstract":"Doping is generally used to tune and enhance the properties of metal oxides. However, their chemical composition cannot be readily modified beyond low dopant amounts without disrupting the crystalline atomic structure. In the case of anatase TiO2, we introduce a new solution-based chemical route allowing the composition to be significantly modified, substituting the divalent O2? anions by monovalent F? and OH? anions resulting in the formation of cationic Ti4+ vacancies (?) whose concentration can be controlled by the reaction temperature. The resulting polyanionic anatase has the general composition Ti1?x?y?x+yO2?4(x+y)F4x(OH)4y, reaching vacancy concentrations of up to 22%, i.e., Ti0.78?0.22O1.12F0.4(OH)0.48. Solid-state 19F NMR spectroscopy reveals that fluoride ions can accommodate up to three different environments, depending on Ti and vacancies (i.e. Ti3-F, Ti2?1-F, and Ti1?2-F), with a preferential location close to vacancies. DFT calculations further confirm the fluoride/vacancy ordering. When its characteristics were evaluated as an electrode for reversible Li-ion storage, the material shows a modified lithium reaction mechanism, which has been rationalized by the occurrence of cationic vacancies acting as additional lithium hosting sites within the anatase framework. Finally, the material shows a fast discharging/charging behavior, compared to TiO2, highlighting the benefits of the structural modifications and paving the way for the design of advanced electrode materials, based on a defect mediated mechanism.","DOI":"10.1021/acs.chemmater.5b01407","ISSN":"0897-4756","journalAbbreviation":"Chem. Mater.","author":[{"family":"Li","given":"Wei"},{"family":"Corradini","given":"Dario"},{"family":"Body","given":"Monique"},{"family":"Legein","given":"Christophe"},{"family":"Salanne","given":"Mathieu"},{"family":"Ma","given":"Jiwei"},{"family":"Chapman","given":"Karena W."},{"family":"Chupas","given":"Peter J."},{"family":"Rollet","given":"Anne-Laure"},{"family":"Julien","given":"Christian"},{"family":"Zhagib","given":"Karim"},{"family":"Duttine","given":"Mathieu"},{"family":"Demourgues","given":"Alain"},{"family":"Groult","given":"Henri"},{"family":"Dambournet","given":"Damien"}],"issued":{"date-parts":[["2015",7,28]]}}}],"schema":"https://github.com/citation-style-language/schema/raw/master/csl-citation.json"} </w:instrText>
      </w:r>
      <w:r>
        <w:rPr>
          <w:rStyle w:val="TAMainTextCar"/>
          <w:rFonts w:ascii="Times New Roman" w:hAnsi="Times New Roman"/>
        </w:rPr>
        <w:fldChar w:fldCharType="separate"/>
      </w:r>
      <w:r w:rsidRPr="003056E0">
        <w:rPr>
          <w:rFonts w:cs="Times"/>
        </w:rPr>
        <w:t>[17]</w:t>
      </w:r>
      <w:r>
        <w:rPr>
          <w:rStyle w:val="TAMainTextCar"/>
          <w:rFonts w:ascii="Times New Roman" w:hAnsi="Times New Roman"/>
        </w:rPr>
        <w:fldChar w:fldCharType="end"/>
      </w:r>
      <w:r>
        <w:rPr>
          <w:rStyle w:val="TAMainTextCar"/>
          <w:rFonts w:ascii="Times New Roman" w:hAnsi="Times New Roman"/>
        </w:rPr>
        <w:t xml:space="preserve"> The room temperature </w:t>
      </w:r>
      <w:r>
        <w:rPr>
          <w:rStyle w:val="TAMainTextCar"/>
          <w:rFonts w:ascii="Times New Roman" w:hAnsi="Times New Roman"/>
          <w:vertAlign w:val="superscript"/>
        </w:rPr>
        <w:t>19</w:t>
      </w:r>
      <w:r>
        <w:rPr>
          <w:rStyle w:val="TAMainTextCar"/>
          <w:rFonts w:ascii="Times New Roman" w:hAnsi="Times New Roman"/>
        </w:rPr>
        <w:t xml:space="preserve">F MAS spectra of the electrochemically prepared samples (charged and discharged electrodes) were recorded using a Hahn echo sequence with an interpulse delay equal to one rotor period. The 90° pulse length was set to 1.25 μs, and the recycle delay was set to 10 or 20 s. The room temperature </w:t>
      </w:r>
      <w:r>
        <w:rPr>
          <w:rStyle w:val="TAMainTextCar"/>
          <w:rFonts w:ascii="Times New Roman" w:hAnsi="Times New Roman"/>
          <w:vertAlign w:val="superscript"/>
        </w:rPr>
        <w:t>7</w:t>
      </w:r>
      <w:r>
        <w:rPr>
          <w:rStyle w:val="TAMainTextCar"/>
          <w:rFonts w:ascii="Times New Roman" w:hAnsi="Times New Roman"/>
        </w:rPr>
        <w:t xml:space="preserve">Li MAS spectra of the charged and discharged electrodes were recorded using a single pulse sequence. The 90° pulse length was set to 2 μs, and the recycle delay was set to 10 s or 30 s. </w:t>
      </w:r>
      <w:r>
        <w:rPr>
          <w:rStyle w:val="TAMainTextCar"/>
          <w:rFonts w:ascii="Times New Roman" w:hAnsi="Times New Roman"/>
          <w:vertAlign w:val="superscript"/>
        </w:rPr>
        <w:t>19</w:t>
      </w:r>
      <w:r>
        <w:rPr>
          <w:rStyle w:val="TAMainTextCar"/>
          <w:rFonts w:ascii="Times New Roman" w:hAnsi="Times New Roman"/>
        </w:rPr>
        <w:t xml:space="preserve">F and </w:t>
      </w:r>
      <w:r>
        <w:rPr>
          <w:rStyle w:val="TAMainTextCar"/>
          <w:rFonts w:ascii="Times New Roman" w:hAnsi="Times New Roman"/>
          <w:vertAlign w:val="superscript"/>
        </w:rPr>
        <w:t>7</w:t>
      </w:r>
      <w:r>
        <w:rPr>
          <w:rStyle w:val="TAMainTextCar"/>
          <w:rFonts w:ascii="Times New Roman" w:hAnsi="Times New Roman"/>
        </w:rPr>
        <w:t>Li spectra are referenced to CFCl</w:t>
      </w:r>
      <w:r>
        <w:rPr>
          <w:rStyle w:val="TAMainTextCar"/>
          <w:rFonts w:ascii="Times New Roman" w:hAnsi="Times New Roman"/>
          <w:vertAlign w:val="subscript"/>
        </w:rPr>
        <w:t>3</w:t>
      </w:r>
      <w:r>
        <w:rPr>
          <w:rStyle w:val="TAMainTextCar"/>
          <w:rFonts w:ascii="Times New Roman" w:hAnsi="Times New Roman"/>
        </w:rPr>
        <w:t xml:space="preserve"> and 1 M LiCl aqueous solution, respectively, and they were fitted by using the DMFit software.</w:t>
      </w:r>
      <w:r>
        <w:rPr>
          <w:rStyle w:val="TAMainTextCar"/>
          <w:rFonts w:ascii="Times New Roman" w:hAnsi="Times New Roman"/>
        </w:rPr>
        <w:fldChar w:fldCharType="begin"/>
      </w:r>
      <w:r w:rsidR="00BF0DF2">
        <w:rPr>
          <w:rStyle w:val="TAMainTextCar"/>
          <w:rFonts w:ascii="Times New Roman" w:hAnsi="Times New Roman"/>
        </w:rPr>
        <w:instrText xml:space="preserve"> ADDIN ZOTERO_ITEM CSL_CITATION {"citationID":"Kr6qQZRs","properties":{"formattedCitation":"[46]","plainCitation":"[46]","noteIndex":0},"citationItems":[{"id":346,"uris":["http://zotero.org/users/4816088/items/K4T6W4X2"],"uri":["http://zotero.org/users/4816088/items/K4T6W4X2"],"itemData":{"id":346,"type":"article-journal","title":"Modelling one- and two-dimensional solid-state NMR spectra","container-title":"Magnetic Resonance in Chemistry","page":"70-76","volume":"40","issue":"1","source":"Wiley Online Library","abstract":"With the description of more and more complex one- and two-dimensional NMR experiments comes the need to develop methods to make a comprehensive interpretation of the various different experiments that can be carried out on the same sample or series of related samples. We present some examples of modelling one- and two-dimensional solid-state NMR spectra of I = ½ spin and quadrupolar nuclei, using laboratory-developed software that is made available to the NMR community. Copyright © 2001 John Wiley &amp; Sons, Ltd.","DOI":"10.1002/mrc.984","ISSN":"1097-458X","journalAbbreviation":"Magn. Reson. Chem.","language":"en","author":[{"family":"Massiot","given":"Dominique"},{"family":"Fayon","given":"Franck"},{"family":"Capron","given":"Mickael"},{"family":"King","given":"Ian"},{"family":"Le Calvé","given":"Stéphanie"},{"family":"Alonso","given":"Bruno"},{"family":"Durand","given":"Jean-Olivier"},{"family":"Bujoli","given":"Bruno"},{"family":"Gan","given":"Zhehong"},{"family":"Hoatson","given":"Gina"}],"issued":{"date-parts":[["2002",1,1]]}}}],"schema":"https://github.com/citation-style-language/schema/raw/master/csl-citation.json"} </w:instrText>
      </w:r>
      <w:r>
        <w:rPr>
          <w:rStyle w:val="TAMainTextCar"/>
          <w:rFonts w:ascii="Times New Roman" w:hAnsi="Times New Roman"/>
        </w:rPr>
        <w:fldChar w:fldCharType="separate"/>
      </w:r>
      <w:r w:rsidR="00BF0DF2" w:rsidRPr="00BF0DF2">
        <w:rPr>
          <w:rFonts w:cs="Times"/>
        </w:rPr>
        <w:t>[46]</w:t>
      </w:r>
      <w:r>
        <w:rPr>
          <w:rStyle w:val="TAMainTextCar"/>
          <w:rFonts w:ascii="Times New Roman" w:hAnsi="Times New Roman"/>
        </w:rPr>
        <w:fldChar w:fldCharType="end"/>
      </w:r>
    </w:p>
    <w:p w14:paraId="3BA1B2CA" w14:textId="1150011E" w:rsidR="003056E0" w:rsidRDefault="003056E0" w:rsidP="003056E0">
      <w:pPr>
        <w:pStyle w:val="VAFigureCaption"/>
      </w:pPr>
      <w:r>
        <w:rPr>
          <w:i/>
        </w:rPr>
        <w:lastRenderedPageBreak/>
        <w:t>Electrochemistry</w:t>
      </w:r>
      <w:r>
        <w:t>: The composition of the electrode was 80 wt.% active materials, 10 wt.% C (Timcal, Super P), and 10 wt.% polyvinylidene difluoride (PVDF, Aldrich). The electrode materials were drop-</w:t>
      </w:r>
      <w:bookmarkStart w:id="78" w:name="_GoBack"/>
      <w:bookmarkEnd w:id="78"/>
      <w:r>
        <w:t>coated on a Mo foil (≥99.9%, Aldrich)</w:t>
      </w:r>
      <w:r>
        <w:fldChar w:fldCharType="begin"/>
      </w:r>
      <w:r>
        <w:instrText xml:space="preserve"> ADDIN EN.CITE &lt;EndNote&gt;&lt;Cite&gt;&lt;Author&gt;Cheng&lt;/Author&gt;&lt;Year&gt;2014&lt;/Year&gt;&lt;RecNum&gt;47&lt;/RecNum&gt;&lt;DisplayText&gt;&lt;style face="superscript"&gt;[19]&lt;/style&gt;&lt;/DisplayText&gt;&lt;record&gt;&lt;rec-number&gt;47&lt;/rec-number&gt;&lt;foreign-keys&gt;&lt;key app="EN" db-id="500srvpxlvw2soefftixzav1dvt50z9d0awz" timestamp="1509632882"&gt;47&lt;/key&gt;&lt;/foreign-keys&gt;&lt;ref-type name="Journal Article"&gt;17&lt;/ref-type&gt;&lt;contributors&gt;&lt;authors&gt;&lt;author&gt;Cheng, Yingwen&lt;/author&gt;&lt;author&gt;Liu, Tianbiao&lt;/author&gt;&lt;author&gt;Shao, Yuyan&lt;/author&gt;&lt;author&gt;Engelhard, Mark H.&lt;/author&gt;&lt;author&gt;Liu, Jun&lt;/author&gt;&lt;author&gt;Li, Guosheng&lt;/author&gt;&lt;/authors&gt;&lt;/contributors&gt;&lt;titles&gt;&lt;title&gt;Electrochemically stable cathode current collectors for rechargeable magnesium batteries&lt;/title&gt;&lt;secondary-title&gt;J. Mater. Chem. A&lt;/secondary-title&gt;&lt;/titles&gt;&lt;periodical&gt;&lt;full-title&gt;J. Mater. Chem. A&lt;/full-title&gt;&lt;/periodical&gt;&lt;pages&gt;2473-2477&lt;/pages&gt;&lt;volume&gt;2&lt;/volume&gt;&lt;number&gt;8&lt;/number&gt;&lt;dates&gt;&lt;year&gt;2014&lt;/year&gt;&lt;/dates&gt;&lt;isbn&gt;2050-7488&amp;#xD;2050-7496&lt;/isbn&gt;&lt;urls&gt;&lt;/urls&gt;&lt;electronic-resource-num&gt;10.1039/c3ta15113a&lt;/electronic-resource-num&gt;&lt;/record&gt;&lt;/Cite&gt;&lt;/EndNote&gt;</w:instrText>
      </w:r>
      <w:r>
        <w:fldChar w:fldCharType="separate"/>
      </w:r>
      <w:r>
        <w:rPr>
          <w:noProof/>
          <w:vertAlign w:val="superscript"/>
        </w:rPr>
        <w:t>[</w:t>
      </w:r>
      <w:hyperlink r:id="rId15" w:anchor="_ENREF_37" w:tooltip="Cheng, 2014 #47" w:history="1">
        <w:r>
          <w:rPr>
            <w:rStyle w:val="Lienhypertexte"/>
            <w:noProof/>
            <w:color w:val="auto"/>
            <w:u w:val="none"/>
            <w:vertAlign w:val="superscript"/>
          </w:rPr>
          <w:t>19</w:t>
        </w:r>
      </w:hyperlink>
      <w:r>
        <w:rPr>
          <w:noProof/>
          <w:vertAlign w:val="superscript"/>
        </w:rPr>
        <w:t>]</w:t>
      </w:r>
      <w:r>
        <w:fldChar w:fldCharType="end"/>
      </w:r>
      <w:r>
        <w:t xml:space="preserve"> with the density of 2 mg cm</w:t>
      </w:r>
      <w:r>
        <w:rPr>
          <w:vertAlign w:val="superscript"/>
        </w:rPr>
        <w:t>-2</w:t>
      </w:r>
      <w:r>
        <w:t xml:space="preserve">. 0.2 M APC + LiCl / THF was prepared </w:t>
      </w:r>
      <w:r w:rsidRPr="001C2BB1">
        <w:t xml:space="preserve">by mixing 2 </w:t>
      </w:r>
      <w:r w:rsidRPr="001C2BB1">
        <w:rPr>
          <w:smallCaps/>
        </w:rPr>
        <w:t>M</w:t>
      </w:r>
      <w:r w:rsidRPr="001C2BB1">
        <w:t xml:space="preserve"> PhMgCl /  THF (Sigma-Aldrich) and 0.5 M AlCl</w:t>
      </w:r>
      <w:r w:rsidRPr="001C2BB1">
        <w:rPr>
          <w:vertAlign w:val="subscript"/>
        </w:rPr>
        <w:t>3</w:t>
      </w:r>
      <w:r w:rsidRPr="001C2BB1">
        <w:t xml:space="preserve"> / THF (Sigma-Aldrich) in THF (anhydrous, ≥99.9%, Sigma-Aldrich) dropwise under stirring for 12 hours. LiCl (</w:t>
      </w:r>
      <w:r w:rsidR="00E42305" w:rsidRPr="001C2BB1">
        <w:t>ultra-dry</w:t>
      </w:r>
      <w:r w:rsidRPr="001C2BB1">
        <w:t xml:space="preserve">, 99.995%, Alfa Aesar) was further added under stirring condition, and stirred for at least 12 hours. </w:t>
      </w:r>
      <w:r w:rsidR="00E42305" w:rsidRPr="001C2BB1">
        <w:t xml:space="preserve">Borosilicate glass-fiber separator (Whatmann Grade GF/D) was soaked with </w:t>
      </w:r>
      <w:r w:rsidRPr="001C2BB1">
        <w:t xml:space="preserve">400 </w:t>
      </w:r>
      <w:r w:rsidRPr="001C2BB1">
        <w:rPr>
          <w:i/>
        </w:rPr>
        <w:t>μ</w:t>
      </w:r>
      <w:r w:rsidRPr="001C2BB1">
        <w:rPr>
          <w:rFonts w:eastAsia="MS Mincho"/>
          <w:lang w:eastAsia="ja-JP"/>
        </w:rPr>
        <w:t xml:space="preserve">L of the </w:t>
      </w:r>
      <w:r w:rsidR="00E42305" w:rsidRPr="001C2BB1">
        <w:rPr>
          <w:rFonts w:eastAsia="MS Mincho"/>
          <w:lang w:eastAsia="ja-JP"/>
        </w:rPr>
        <w:t xml:space="preserve">electrolyte </w:t>
      </w:r>
      <w:r w:rsidRPr="001C2BB1">
        <w:rPr>
          <w:rFonts w:eastAsia="MS Mincho"/>
          <w:lang w:eastAsia="ja-JP"/>
        </w:rPr>
        <w:t>solution</w:t>
      </w:r>
      <w:r w:rsidRPr="001C2BB1">
        <w:t xml:space="preserve">. Mg metal was used as the counter and reference electrodes. Electrochemical measurements were carried out using three-electrode Swagelok-type cells within the voltage range of 0.05 – 2.3 V </w:t>
      </w:r>
      <w:r w:rsidRPr="001C2BB1">
        <w:rPr>
          <w:i/>
        </w:rPr>
        <w:t>vs.</w:t>
      </w:r>
      <w:r w:rsidRPr="001C2BB1">
        <w:t xml:space="preserve"> Mg</w:t>
      </w:r>
      <w:r w:rsidRPr="001C2BB1">
        <w:rPr>
          <w:vertAlign w:val="superscript"/>
        </w:rPr>
        <w:t>2+</w:t>
      </w:r>
      <w:r w:rsidRPr="001C2BB1">
        <w:t>/Mg</w:t>
      </w:r>
      <w:r>
        <w:t xml:space="preserve">, and the temperature was set at 25 </w:t>
      </w:r>
      <w:r>
        <w:rPr>
          <w:vertAlign w:val="superscript"/>
        </w:rPr>
        <w:t>°</w:t>
      </w:r>
      <w:r>
        <w:t>C using a thermostatic chamber. The cells were assembled in an argon-filled glovebox, and the data was collected on SP-200 or BCS-805 (Bio-Logic Science Instruments). Galvanostatic-intermittent-titration-technique was applied during the first discharge. A constant-current discharge pulse at the current density of 10 mA g</w:t>
      </w:r>
      <w:r>
        <w:rPr>
          <w:vertAlign w:val="superscript"/>
        </w:rPr>
        <w:t>-1</w:t>
      </w:r>
      <w:r>
        <w:t xml:space="preserve"> was applied to the cell for 1 h, followed by a relaxation period for 10 h. This protocol was repeated until the cell potential reached +0.05 V vs. Mg</w:t>
      </w:r>
      <w:r>
        <w:rPr>
          <w:vertAlign w:val="superscript"/>
        </w:rPr>
        <w:t>2+</w:t>
      </w:r>
      <w:r>
        <w:t>/Mg.</w:t>
      </w:r>
    </w:p>
    <w:p w14:paraId="4554CAF2" w14:textId="34C2640F" w:rsidR="003056E0" w:rsidRDefault="003056E0" w:rsidP="003056E0">
      <w:pPr>
        <w:pStyle w:val="VAFigureCaption"/>
      </w:pPr>
      <w:r>
        <w:t xml:space="preserve">Computational: We performed our density functional theory calculations using the code </w:t>
      </w:r>
      <w:r>
        <w:rPr>
          <w:smallCaps/>
        </w:rPr>
        <w:t>VASP</w:t>
      </w:r>
      <w:bookmarkStart w:id="79" w:name="OLE_LINK14"/>
      <w:bookmarkStart w:id="80" w:name="OLE_LINK13"/>
      <w:r>
        <w:fldChar w:fldCharType="begin"/>
      </w:r>
      <w:r w:rsidR="00BF0DF2">
        <w:rPr>
          <w:smallCaps/>
        </w:rPr>
        <w:instrText xml:space="preserve"> ADDIN ZOTERO_ITEM CSL_CITATION {"citationID":"zvDDmbyH","properties":{"formattedCitation":"[47,48]","plainCitation":"[47,48]","noteIndex":0},"citationItems":[{"id":504,"uris":["http://zotero.org/users/4816088/items/NS2CBJNI"],"uri":["http://zotero.org/users/4816088/items/NS2CBJNI"],"itemData":{"id":504,"type":"article-journal","title":"Norm-conserving and ultrasoft pseudopotentials for first-row and transition elements","container-title":"Journal of Physics: Condensed Matter","page":"8245","volume":"6","issue":"40","source":"Institute of Physics","abstract":"The construction of accurate pseudopotentials with good convergence properties for the first-row and transition elements is discussed. We show that by combining an improved description of the pseudowavefunction inside the cut-off radius with the concept of ultrasoft pseudopotentials introduced by Vanderbilt optimal compromise between transferability and plane-wave convergence can be achieved. With the new pseudopotentials, basis sets with no more than 75-100 plane waves per atom are sufficient to reproduce the results obtained with the most accurate norm-conserving pseudopotentials.","DOI":"10.1088/0953-8984/6/40/015","ISSN":"0953-8984","journalAbbreviation":"J. Phys.: Condens. Matter","language":"en","author":[{"family":"Kresse","given":"G."},{"family":"Hafner","given":"J."}],"issued":{"date-parts":[["1994"]]}}},{"id":513,"uris":["http://zotero.org/users/4816088/items/M4NKCVF7"],"uri":["http://zotero.org/users/4816088/items/M4NKCVF7"],"itemData":{"id":513,"type":"article-journal","title":"Efficiency of ab-initio total energy calculations for metals and semiconductors using a plane-wave basis set","container-title":"Computational Materials Science","page":"15-50","volume":"6","issue":"1","source":"ScienceDirect","abstract":"We present a detailed description and comparison of algorithms for performing ab-initio quantum-mechanical calculations using pseudopotentials and a plane-wave basis set. We will discuss: (a) partial occupancies within the framework of the linear tetrahedron method and the finite temperature density-functional theory, (b) iterative methods for the diagonalization of the Kohn-Sham Hamiltonian and a discussion of an efficient iterative method based on the ideas of Pulay's residual minimization, which is close to an order Natoms2 scaling even for relatively large systems, (c) efficient Broyden-like and Pulay-like mixing methods for the charge density including a new special ‘preconditioning’ optimized for a plane-wave basis set, (d) conjugate gradient methods for minimizing the electronic free energy with respect to all degrees of freedom simultaneously. We have implemented these algorithms within a powerful package called VAMP (Vienna ab-initio molecular-dynamics package). The program and the techniques have been used successfully for a large number of different systems (liquid and amorphous semiconductors, liquid simple and transition metals, metallic and semi-conducting surfaces, phonons in simple metals, transition metals and semiconductors) and turned out to be very reliable.","DOI":"10.1016/0927-0256(96)00008-0","ISSN":"0927-0256","journalAbbreviation":"Computational Materials Science","author":[{"family":"Kresse","given":"G."},{"family":"Furthmüller","given":"J."}],"issued":{"date-parts":[["1996",7,1]]}}}],"schema":"https://github.com/citation-style-language/schema/raw/master/csl-citation.json"} </w:instrText>
      </w:r>
      <w:r>
        <w:fldChar w:fldCharType="separate"/>
      </w:r>
      <w:r w:rsidR="00BF0DF2" w:rsidRPr="00BF0DF2">
        <w:rPr>
          <w:rFonts w:cs="Times"/>
        </w:rPr>
        <w:t>[47,48]</w:t>
      </w:r>
      <w:r>
        <w:fldChar w:fldCharType="end"/>
      </w:r>
      <w:r>
        <w:t>, with valence electrons described by a plane-wave basis with a cutoff of 500 eV</w:t>
      </w:r>
      <w:bookmarkEnd w:id="79"/>
      <w:bookmarkEnd w:id="80"/>
      <w:r>
        <w:t>. Interactions between core and valence electrons were described using the projector augmented wave (PAW) method</w:t>
      </w:r>
      <w:r>
        <w:fldChar w:fldCharType="begin"/>
      </w:r>
      <w:r w:rsidR="00BF0DF2">
        <w:instrText xml:space="preserve"> ADDIN ZOTERO_ITEM CSL_CITATION {"citationID":"GyqSWUsD","properties":{"formattedCitation":"[49]","plainCitation":"[49]","noteIndex":0},"citationItems":[{"id":515,"uris":["http://zotero.org/users/4816088/items/E4WGTIMT"],"uri":["http://zotero.org/users/4816088/items/E4WGTIMT"],"itemData":{"id":515,"type":"article-journal","title":"From ultrasoft pseudopotentials to the projector augmented-wave method","container-title":"Physical Review B","page":"1758-1775","volume":"59","issue":"3","source":"APS","abstract":"The formal relationship between ultrasoft (US) Vanderbilt-type pseudopotentials and Blöchl’s projector augmented wave (PAW) method is derived. It is shown that the total energy functional for US pseudopotentials can be obtained by linearization of two terms in a slightly modified PAW total energy functional. The Hamilton operator, the forces, and the stress tensor are derived for this modified PAW functional. A simple way to implement the PAW method in existing plane-wave codes supporting US pseudopotentials is pointed out. In addition, critical tests are presented to compare the accuracy and efficiency of the PAW and the US pseudopotential method with relaxed core all electron methods. These tests include small molecules (H2,H2O,Li2,N2,F2,BF3,SiF4) and several bulk systems (diamond, Si, V, Li, Ca, CaF2, Fe, Co, Ni). Particular attention is paid to the bulk properties and magnetic energies of Fe, Co, and Ni.","DOI":"10.1103/PhysRevB.59.1758","journalAbbreviation":"Phys. Rev. B","author":[{"family":"Kresse","given":"G."},{"family":"Joubert","given":"D."}],"issued":{"date-parts":[["1999",1,15]]}}}],"schema":"https://github.com/citation-style-language/schema/raw/master/csl-citation.json"} </w:instrText>
      </w:r>
      <w:r>
        <w:fldChar w:fldCharType="separate"/>
      </w:r>
      <w:r w:rsidR="00BF0DF2" w:rsidRPr="00BF0DF2">
        <w:rPr>
          <w:rFonts w:cs="Times"/>
        </w:rPr>
        <w:t>[49]</w:t>
      </w:r>
      <w:r>
        <w:fldChar w:fldCharType="end"/>
      </w:r>
      <w:r>
        <w:t>, with cores of [Mg] for Ti, [He] for O, [He] for F, [H</w:t>
      </w:r>
      <w:r>
        <w:rPr>
          <w:vertAlign w:val="superscript"/>
        </w:rPr>
        <w:t>+</w:t>
      </w:r>
      <w:r>
        <w:t>] for Li, [He] for Mg, and [H</w:t>
      </w:r>
      <w:r>
        <w:rPr>
          <w:vertAlign w:val="superscript"/>
        </w:rPr>
        <w:t>+</w:t>
      </w:r>
      <w:r>
        <w:t>] for H. The calculations used the revised Perdew-Burke-Ernzerhof generalized gradient approximation function PBEsol,</w:t>
      </w:r>
      <w:r>
        <w:fldChar w:fldCharType="begin"/>
      </w:r>
      <w:r w:rsidR="00BF0DF2">
        <w:instrText xml:space="preserve"> ADDIN ZOTERO_ITEM CSL_CITATION {"citationID":"uUqlFlxG","properties":{"formattedCitation":"[50]","plainCitation":"[50]","noteIndex":0},"citationItems":[{"id":"woE8BCE2/fxF6zs6m","uris":["http://zotero.org/users/5584665/items/MIUWTXEW"],"uri":["http://zotero.org/users/5584665/items/MIUWTXEW"],"itemData":{"id":105,"type":"article-journal","title":"Surface states on NiO (100) and the origin of the contrast reversal in atomically resolved scanning tunneling microscope images","container-title":"Physical Review B","page":"4900-4908","volume":"56","issue":"8","source":"DOI.org (Crossref)","DOI":"10.1103/PhysRevB.56.4900","ISSN":"0163-1829, 1095-3795","journalAbbreviation":"Phys. Rev. B","language":"en","author":[{"family":"Dudarev","given":"S. L."},{"family":"Liechtenstein","given":"A. I."},{"family":"Castell","given":"M. R."},{"family":"Briggs","given":"G. A. D."},{"family":"Sutton","given":"A. P."}],"issued":{"date-parts":[["1997",8,15]]}}}],"schema":"https://github.com/citation-style-language/schema/raw/master/csl-citation.json"} </w:instrText>
      </w:r>
      <w:r>
        <w:fldChar w:fldCharType="separate"/>
      </w:r>
      <w:r w:rsidR="00BF0DF2" w:rsidRPr="00BF0DF2">
        <w:rPr>
          <w:rFonts w:cs="Times"/>
        </w:rPr>
        <w:t>[50]</w:t>
      </w:r>
      <w:r>
        <w:fldChar w:fldCharType="end"/>
      </w:r>
      <w:r>
        <w:t xml:space="preserve"> with a Dudarev +</w:t>
      </w:r>
      <w:r>
        <w:rPr>
          <w:i/>
        </w:rPr>
        <w:t>U</w:t>
      </w:r>
      <w:r>
        <w:t xml:space="preserve"> correction applied to the Ti d states (GGA+</w:t>
      </w:r>
      <w:r>
        <w:rPr>
          <w:i/>
        </w:rPr>
        <w:t>U</w:t>
      </w:r>
      <w:r>
        <w:t>).</w:t>
      </w:r>
      <w:r>
        <w:fldChar w:fldCharType="begin"/>
      </w:r>
      <w:r w:rsidR="00BF0DF2">
        <w:instrText xml:space="preserve"> ADDIN ZOTERO_ITEM CSL_CITATION {"citationID":"8FlhXrr0","properties":{"formattedCitation":"[51,52]","plainCitation":"[51,52]","noteIndex":0},"citationItems":[{"id":1085,"uris":["http://zotero.org/users/4816088/items/P6I4C78S"],"uri":["http://zotero.org/users/4816088/items/P6I4C78S"],"itemData":{"id":1085,"type":"article-journal","title":"Electron-energy-loss spectra and the structural stability of nickel oxide:  An LSDA+U study","container-title":"Physical Review B","page":"1505-1509","volume":"57","issue":"3","source":"APS","abstract":"We demonstrate how by taking better account of electron correlations in the 3d shell of metal ions in nickel oxide it is possible to improve the description of both electron energy loss spectra and parameters characterizing the structural stability of the material compared with local spin density functional theory.","DOI":"10.1103/PhysRevB.57.1505","shortTitle":"Electron-energy-loss spectra and the structural stability of nickel oxide","journalAbbreviation":"Phys. Rev. B","author":[{"family":"Dudarev","given":"S. L."},{"family":"Botton","given":"G. A."},{"family":"Savrasov","given":"S. Y."},{"family":"Humphreys","given":"C. J."},{"family":"Sutton","given":"A. P."}],"issued":{"date-parts":[["1998",1,15]]}}},{"id":524,"uris":["http://zotero.org/users/4816088/items/DSKDPN5T"],"uri":["http://zotero.org/users/4816088/items/DSKDPN5T"],"itemData":{"id":524,"type":"article-journal","title":"$\\text{GGA}+U$ description of lithium intercalation into anatase ${\\text{TiO}}_{2}$","container-title":"Physical Review B","page":"144119","volume":"82","issue":"14","source":"APS","abstract":"We have used density-functional theory [generalized gradient approximation (GGA)] to study lithium intercalation at low concentration into anatase TiO2. To describe the defect states produced by Li doping a Hubbard “+U” correction is applied to the Ti d states (GGA+U). Uncorrected GGA calculations predict LixTiO2 to be metallic with the excess charge distributed over all Ti sites, whereas GGA+U predicts a defect state 0.96 eV below the conduction band, in agreement with experimental photoelectron spectra. This occupied defect state corresponds to charge strongly localized at a single Ti 3d site neighboring the intercalated lithium with a magnetization of 1 μB. This polaronic state produces a redshifted optical absorption spectrum, which is compared to those for the native O-vacancy and Ti-interstitial defects. The strong localization of charge at a single Ti center lowers the symmetry of the interstitial geometry relative to that predicted by GGA. The intercalated lithium sits close to the center of the octahedral site, occupying a single potential energy minimum with respect to displacement along the [001] direction. This challenges the previous interpretation of neutron diffraction data that there exist two potential energy minima separated by 1.6 Å along the [001] direction within each octahedron. Nudged elastic band calculations give barriers to interoctahedral diffusion of </w:instrText>
      </w:r>
      <w:r w:rsidR="00BF0DF2">
        <w:rPr>
          <w:rFonts w:ascii="Cambria Math" w:hAnsi="Cambria Math" w:cs="Cambria Math"/>
        </w:rPr>
        <w:instrText>∼</w:instrText>
      </w:r>
      <w:r w:rsidR="00BF0DF2">
        <w:instrText xml:space="preserve">0.6 eV, in good agreement with experimental data. These barrier heights are found to depend only weakly on the position of the donated electron. The intercalation energy is 2.14 eV with GGA and 1.88 eV with GGA+U, compared to the experimental value of </w:instrText>
      </w:r>
      <w:r w:rsidR="00BF0DF2">
        <w:rPr>
          <w:rFonts w:ascii="Cambria Math" w:hAnsi="Cambria Math" w:cs="Cambria Math"/>
        </w:rPr>
        <w:instrText>∼</w:instrText>
      </w:r>
      <w:r w:rsidR="00BF0DF2">
        <w:instrText xml:space="preserve">1.9 eV. Li-electron binding energies have also been calculated. The [Li∙i-Ti′Ti] complex has a binding energy of 56 meV, and a second electron is predicted to be bound to give [Li∙i−2Ti′Ti] with a stabilization energy of 30 meV, indicating that intercalated lithium will weakly trap excess electrons produced during photoillumination or introduced by additional n-type doping.","DOI":"10.1103/PhysRevB.82.144119","journalAbbreviation":"Phys. Rev. B","author":[{"family":"Morgan","given":"Benjamin J."},{"family":"Watson","given":"Graeme W."}],"issued":{"date-parts":[["2010",10,29]]}}}],"schema":"https://github.com/citation-style-language/schema/raw/master/csl-citation.json"} </w:instrText>
      </w:r>
      <w:r>
        <w:fldChar w:fldCharType="separate"/>
      </w:r>
      <w:r w:rsidR="00BF0DF2" w:rsidRPr="00BF0DF2">
        <w:rPr>
          <w:rFonts w:cs="Times"/>
        </w:rPr>
        <w:t>[51,52]</w:t>
      </w:r>
      <w:r>
        <w:fldChar w:fldCharType="end"/>
      </w:r>
      <w:r>
        <w:t xml:space="preserve"> We used a value of </w:t>
      </w:r>
      <w:r>
        <w:rPr>
          <w:i/>
        </w:rPr>
        <w:t>U</w:t>
      </w:r>
      <w:r>
        <w:rPr>
          <w:vertAlign w:val="subscript"/>
        </w:rPr>
        <w:t>Ti,</w:t>
      </w:r>
      <w:r>
        <w:rPr>
          <w:i/>
          <w:vertAlign w:val="subscript"/>
        </w:rPr>
        <w:t>d</w:t>
      </w:r>
      <w:r>
        <w:rPr>
          <w:i/>
        </w:rPr>
        <w:t> </w:t>
      </w:r>
      <w:r>
        <w:t xml:space="preserve">= 4.2 eV, which has previously been used to </w:t>
      </w:r>
      <w:r>
        <w:lastRenderedPageBreak/>
        <w:t>model intercalation of lithium and other metal ions in anatase TiO</w:t>
      </w:r>
      <w:r>
        <w:rPr>
          <w:vertAlign w:val="subscript"/>
        </w:rPr>
        <w:t>2</w:t>
      </w:r>
      <w:r>
        <w:t xml:space="preserve"> and TiO</w:t>
      </w:r>
      <w:r>
        <w:rPr>
          <w:vertAlign w:val="subscript"/>
        </w:rPr>
        <w:t>2</w:t>
      </w:r>
      <w:r>
        <w:t>(B).</w:t>
      </w:r>
      <w:r>
        <w:fldChar w:fldCharType="begin"/>
      </w:r>
      <w:r w:rsidR="00BF0DF2">
        <w:instrText xml:space="preserve"> ADDIN ZOTERO_ITEM CSL_CITATION {"citationID":"xuLEDaYi","properties":{"formattedCitation":"[16,23,52,53]","plainCitation":"[16,23,52,53]","noteIndex":0},"citationItems":[{"id":978,"uris":["http://zotero.org/users/4816088/items/C6AZCH5Z"],"uri":["http://zotero.org/users/4816088/items/C6AZCH5Z"],"itemData":{"id":978,"type":"article-journal","title":"Reversible magnesium and aluminium ions insertion in cation-deficient anatase TiO&lt;sub&gt;2&lt;/sub&gt;","container-title":"Nature Materials","page":"1142","volume":"16","issue":"11","source":"www.nature.com","abstract":"&lt;p&gt;Compared to monovalent lithium or sodium ions, the reversible insertion of multivalent ions into battery electrodes has proved challenging. An aliovalent doping strategy involving reversible Mg&lt;sup&gt;2+&lt;/sup&gt; and Al&lt;sup&gt;3+&lt;/sup&gt; insertion in anatase TiO&lt;sub&gt;2&lt;/sub&gt; is now reported.&lt;/p&gt;","DOI":"10.1038/nmat4976","ISSN":"1476-4660","language":"En","author":[{"family":"Koketsu","given":"Toshinari"},{"family":"Ma","given":"Jiwei"},{"family":"Morgan","given":"Benjamin J."},{"family":"Body","given":"Monique"},{"family":"Legein","given":"Christophe"},{"family":"Dachraoui","given":"Walid"},{"family":"Giannini","given":"Mattia"},{"family":"Demortière","given":"Arnaud"},{"family":"Salanne","given":"Mathieu"},{"family":"Dardoize","given":"François"},{"family":"Groult","given":"Henri"},{"family":"Borkiewicz","given":"Olaf J."},{"family":"Chapman","given":"Karena W."},{"family":"Strasser","given":"Peter"},{"family":"Dambournet","given":"Damien"}],"issued":{"date-parts":[["2017",11]]}}},{"id":451,"uris":["http://zotero.org/users/4816088/items/AE562TXH"],"uri":["http://zotero.org/users/4816088/items/AE562TXH"],"itemData":{"id":451,"type":"article-journal","title":"Role of Lithium Ordering in the LixTiO2 Anatase → Titanate Phase Transition","container-title":"The Journal of Physical Chemistry Letters","page":"1657-1661","volume":"2","issue":"14","source":"ACS Publications","abstract":"The mechanism of the tetragonal ↔ orthorhombic phase separation of Li-intercalated anatase TiO2 has previously been proposed to be a cooperative Jahn–Teller distortion due to occupation of low-lying Ti 3dxz,yz orbitals. Using density functional calculations, we show that the orthorhombic distortion of Li0.5TiO2 is not a purely electronic phenomenon and that intercalated Li plays a critical role. For a 2 × 1 × 1 expanded supercell for 0 ≤ x(Li) ≤ 1, the intercalation voltage is minimized for x(Li) = 0.5. The low-energy structures display a common structural motif of edge-sharing pairs of LiO6 octahedra, which allows all Li to adopt favorable oxygen coordination. Long-ranged disorder of these subunits explains the apparent random Li distribution seen in experimental diffraction data.","DOI":"10.1021/jz200718e","ISSN":"1948-7185","journalAbbreviation":"J. Phys. Chem. Lett.","author":[{"family":"Morgan","given":"Benjamin J."},{"family":"Watson","given":"Graeme W."}],"issued":{"date-parts":[["2011",7,21]]}}},{"id":524,"uris":["http://zotero.org/users/4816088/items/DSKDPN5T"],"uri":["http://zotero.org/users/4816088/items/DSKDPN5T"],"itemData":{"id":524,"type":"article-journal","title":"$\\text{GGA}+U$ description of lithium intercalation into anatase ${\\text{TiO}}_{2}$","container-title":"Physical Review B","page":"144119","volume":"82","issue":"14","source":"APS","abstract":"We have used density-functional theory [generalized gradient approximation (GGA)] to study lithium intercalation at low concentration into anatase TiO2. To describe the defect states produced by Li doping a Hubbard “+U” correction is applied to the Ti d states (GGA+U). Uncorrected GGA calculations predict LixTiO2 to be metallic with the excess charge distributed over all Ti sites, whereas GGA+U predicts a defect state 0.96 eV below the conduction band, in agreement with experimental photoelectron spectra. This occupied defect state corresponds to charge strongly localized at a single Ti 3d site neighboring the intercalated lithium with a magnetization of 1 μB. This polaronic state produces a redshifted optical absorption spectrum, which is compared to those for the native O-vacancy and Ti-interstitial defects. The strong localization of charge at a single Ti center lowers the symmetry of the interstitial geometry relative to that predicted by GGA. The intercalated lithium sits close to the center of the octahedral site, occupying a single potential energy minimum with respect to displacement along the [001] direction. This challenges the previous interpretation of neutron diffraction data that there exist two potential energy minima separated by 1.6 Å along the [001] direction within each octahedron. Nudged elastic band calculations give barriers to interoctahedral diffusion of </w:instrText>
      </w:r>
      <w:r w:rsidR="00BF0DF2">
        <w:rPr>
          <w:rFonts w:ascii="Cambria Math" w:hAnsi="Cambria Math" w:cs="Cambria Math"/>
        </w:rPr>
        <w:instrText>∼</w:instrText>
      </w:r>
      <w:r w:rsidR="00BF0DF2">
        <w:instrText xml:space="preserve">0.6 eV, in good agreement with experimental data. These barrier heights are found to depend only weakly on the position of the donated electron. The intercalation energy is 2.14 eV with GGA and 1.88 eV with GGA+U, compared to the experimental value of </w:instrText>
      </w:r>
      <w:r w:rsidR="00BF0DF2">
        <w:rPr>
          <w:rFonts w:ascii="Cambria Math" w:hAnsi="Cambria Math" w:cs="Cambria Math"/>
        </w:rPr>
        <w:instrText>∼</w:instrText>
      </w:r>
      <w:r w:rsidR="00BF0DF2">
        <w:instrText xml:space="preserve">1.9 eV. Li-electron binding energies have also been calculated. The [Li∙i-Ti′Ti] complex has a binding energy of 56 meV, and a second electron is predicted to be bound to give [Li∙i−2Ti′Ti] with a stabilization energy of 30 meV, indicating that intercalated lithium will weakly trap excess electrons produced during photoillumination or introduced by additional n-type doping.","DOI":"10.1103/PhysRevB.82.144119","journalAbbreviation":"Phys. Rev. B","author":[{"family":"Morgan","given":"Benjamin J."},{"family":"Watson","given":"Graeme W."}],"issued":{"date-parts":[["2010",10,29]]}}},{"id":527,"uris":["http://zotero.org/users/4816088/items/H8X5UVJT"],"uri":["http://zotero.org/users/4816088/items/H8X5UVJT"],"itemData":{"id":527,"type":"article-journal","title":"Lithium intercalation into TiO${}_{2}$(B): A comparison of LDA, GGA, and GGA+$U$ density functional calculations","container-title":"Physical Review B","page":"035147","volume":"86","issue":"3","source":"APS","abstract":"Density functional theory has been used to study lithium intercalation into TiO2(B) at low to moderate concentrations [0&lt;x(Li)≤0.25] with a range of density functionals: LDA, GGA (PW91, PBE, PBEsol), and GGA+U (PBE+U, PBEsol+U), with the GGA+U calculations employing a Hubbard+U correction to the Ti d states. LDA and GGA functionals give the same general behavior, whereas qualitatively different behavior is predicted by GGA+U for electronic structure and the order of stability of occupied intercalation sites. LDA/GGA functionals predict LixTiO2(B) to be metallic, with the excess charge distributed over all the Ti sites. In contrast, GGA+U predicts defect states in the band gap corresponding to charge strongly localized at specific Ti sites. All the considered functionals predict A1 and/or A2 site occupation at x(Li)=0.25, which challenges the interpretation of previous neutron data that, at this composition, the C site is preferentially occupied.","DOI":"10.1103/PhysRevB.86.035147","shortTitle":"Lithium intercalation into TiO${}_{2}$(B)","journalAbbreviation":"Phys. Rev. B","author":[{"family":"Morgan","given":"Benjamin J."},{"family":"Madden","given":"Paul A."}],"issued":{"date-parts":[["2012",7,27]]}}}],"schema":"https://github.com/citation-style-language/schema/raw/master/csl-citation.json"} </w:instrText>
      </w:r>
      <w:r>
        <w:fldChar w:fldCharType="separate"/>
      </w:r>
      <w:r w:rsidR="00BF0DF2" w:rsidRPr="00BF0DF2">
        <w:rPr>
          <w:rFonts w:cs="Times"/>
        </w:rPr>
        <w:t>[16,23,52,53]</w:t>
      </w:r>
      <w:r>
        <w:fldChar w:fldCharType="end"/>
      </w:r>
      <w:r>
        <w:t xml:space="preserve"> To model anatase TiO</w:t>
      </w:r>
      <w:r>
        <w:rPr>
          <w:vertAlign w:val="subscript"/>
        </w:rPr>
        <w:t>2</w:t>
      </w:r>
      <w:r>
        <w:t>, we first performed a full geometry optimisation on a single Ti</w:t>
      </w:r>
      <w:r>
        <w:rPr>
          <w:vertAlign w:val="subscript"/>
        </w:rPr>
        <w:t>4</w:t>
      </w:r>
      <w:r>
        <w:t>O</w:t>
      </w:r>
      <w:r>
        <w:rPr>
          <w:vertAlign w:val="subscript"/>
        </w:rPr>
        <w:t>8</w:t>
      </w:r>
      <w:r>
        <w:t xml:space="preserve"> unit cell, with optimized lattice parameters obtained by fitting a series of constant volume calculations to the Murnaghan equation of state. All subsequent calculations were fixed to the resulting optimised lattice parameters. Intercalation into stoichiometric anatase TiO</w:t>
      </w:r>
      <w:r>
        <w:rPr>
          <w:vertAlign w:val="subscript"/>
        </w:rPr>
        <w:t>2</w:t>
      </w:r>
      <w:r>
        <w:t xml:space="preserve"> was modelled using a 4 × 4 × 2 supercell (384 atoms), with a single Li ion inserted at an interstitial site (LiTi</w:t>
      </w:r>
      <w:r>
        <w:rPr>
          <w:vertAlign w:val="subscript"/>
        </w:rPr>
        <w:t>128</w:t>
      </w:r>
      <w:r>
        <w:t>O</w:t>
      </w:r>
      <w:r>
        <w:rPr>
          <w:vertAlign w:val="subscript"/>
        </w:rPr>
        <w:t>256</w:t>
      </w:r>
      <w:r>
        <w:t>). To model intercalation at single- and double-titanium vacancies we performed a series of calculations in 4 × 4 × 2 supercells, with either 1 Ti vacancy, and 4 charge compensating F anions, giving cell stoichiometries of Ti</w:t>
      </w:r>
      <w:r>
        <w:rPr>
          <w:vertAlign w:val="subscript"/>
        </w:rPr>
        <w:t>127</w:t>
      </w:r>
      <w:r>
        <w:t>O</w:t>
      </w:r>
      <w:r>
        <w:rPr>
          <w:vertAlign w:val="subscript"/>
        </w:rPr>
        <w:t>252</w:t>
      </w:r>
      <w:r>
        <w:t>F</w:t>
      </w:r>
      <w:r>
        <w:rPr>
          <w:vertAlign w:val="subscript"/>
        </w:rPr>
        <w:t>4</w:t>
      </w:r>
      <w:r>
        <w:t>, or 2 Ti vacancies, and 8 charge compensating F anions, giving a stoichiometry of Ti</w:t>
      </w:r>
      <w:r>
        <w:rPr>
          <w:vertAlign w:val="subscript"/>
        </w:rPr>
        <w:t>126</w:t>
      </w:r>
      <w:r>
        <w:t>O</w:t>
      </w:r>
      <w:r>
        <w:rPr>
          <w:vertAlign w:val="subscript"/>
        </w:rPr>
        <w:t>248</w:t>
      </w:r>
      <w:r>
        <w:t>F</w:t>
      </w:r>
      <w:r>
        <w:rPr>
          <w:vertAlign w:val="subscript"/>
        </w:rPr>
        <w:t>8</w:t>
      </w:r>
      <w:r>
        <w:t>. In both cases, we consider models with all fluoride ions occupying anion sites adjacent to the titanium vacancies, which we have previously shown minimizes the DFT-calculated energy.</w:t>
      </w:r>
      <w:r>
        <w:fldChar w:fldCharType="begin"/>
      </w:r>
      <w:r w:rsidR="00CA4C4F">
        <w:instrText xml:space="preserve"> ADDIN ZOTERO_ITEM CSL_CITATION {"citationID":"96CgGqwj","properties":{"formattedCitation":"[17,26,32]","plainCitation":"[17,26,32]","noteIndex":0},"citationItems":[{"id":205,"uris":["http://zotero.org/users/4816088/items/6ZHA6KTE"],"uri":["http://zotero.org/users/4816088/items/6ZHA6KTE"],"itemData":{"id":205,"type":"article-journal","title":"High Substitution Rate in TiO2 Anatase Nanoparticles with Cationic Vacancies for Fast Lithium Storage","container-title":"Chemistry of Materials","page":"5014-5019","volume":"27","issue":"14","source":"ACS Publications","abstract":"Doping is generally used to tune and enhance the properties of metal oxides. However, their chemical composition cannot be readily modified beyond low dopant amounts without disrupting the crystalline atomic structure. In the case of anatase TiO2, we introduce a new solution-based chemical route allowing the composition to be significantly modified, substituting the divalent O2? anions by monovalent F? and OH? anions resulting in the formation of cationic Ti4+ vacancies (?) whose concentration can be controlled by the reaction temperature. The resulting polyanionic anatase has the general composition Ti1?x?y?x+yO2?4(x+y)F4x(OH)4y, reaching vacancy concentrations of up to 22%, i.e., Ti0.78?0.22O1.12F0.4(OH)0.48. Solid-state 19F NMR spectroscopy reveals that fluoride ions can accommodate up to three different environments, depending on Ti and vacancies (i.e. Ti3-F, Ti2?1-F, and Ti1?2-F), with a preferential location close to vacancies. DFT calculations further confirm the fluoride/vacancy ordering. When its characteristics were evaluated as an electrode for reversible Li-ion storage, the material shows a modified lithium reaction mechanism, which has been rationalized by the occurrence of cationic vacancies acting as additional lithium hosting sites within the anatase framework. Finally, the material shows a fast discharging/charging behavior, compared to TiO2, highlighting the benefits of the structural modifications and paving the way for the design of advanced electrode materials, based on a defect mediated mechanism.","DOI":"10.1021/acs.chemmater.5b01407","ISSN":"0897-4756","journalAbbreviation":"Chem. Mater.","author":[{"family":"Li","given":"Wei"},{"family":"Corradini","given":"Dario"},{"family":"Body","given":"Monique"},{"family":"Legein","given":"Christophe"},{"family":"Salanne","given":"Mathieu"},{"family":"Ma","given":"Jiwei"},{"family":"Chapman","given":"Karena W."},{"family":"Chupas","given":"Peter J."},{"family":"Rollet","given":"Anne-Laure"},{"family":"Julien","given":"Christian"},{"family":"Zhagib","given":"Karim"},{"family":"Duttine","given":"Mathieu"},{"family":"Demourgues","given":"Alain"},{"family":"Groult","given":"Henri"},{"family":"Dambournet","given":"Damien"}],"issued":{"date-parts":[["2015",7,28]]}}},{"id":4707,"uris":["http://zotero.org/users/4816088/items/PCLUHDVV"],"uri":["http://zotero.org/users/4816088/items/PCLUHDVV"],"itemData":{"id":4707,"type":"article-journal","title":"Controlled hydroxy-fluorination reaction of anatase to promote Mg2+ mobility in rechargeable magnesium batteries","container-title":"Chemical Communications","page":"10080-10083","volume":"54","issue":"72","source":"pubs.rsc.org","abstract":"In anatase TiO2, substituting oxide anions with singly charged (F,OH) anions allows the controlled formation of cation vacancies, which act as reversible intercalation sites for Mg2+. We show that ion-transport (diffusion coefficients) and intercalation (reversible capacity) properties are controlled by two critical parameters: the vacancy concentration and the local anionic environment. Our results emphasise the complexity of this behaviour, and highlight the potential benefits of chemically controlling cationic-defects in electrode materials for rechargeable multivalent-ion batteries.","DOI":"10.1039/C8CC04136A","ISSN":"1364-548X","journalAbbreviation":"Chem. Commun.","language":"en","author":[{"family":"Ma","given":"Jiwei"},{"family":"Koketsu","given":"Toshinari"},{"family":"Morgan","given":"Benjamin J."},{"family":"Legein","given":"Christophe"},{"family":"Body","given":"Monique"},{"family":"Strasser","given":"Peter"},{"family":"Dambournet","given":"Damien"}],"issued":{"date-parts":[["2018",9,6]]}}},{"id":2841,"uris":["http://zotero.org/users/4816088/items/VPAETU2W"],"uri":["http://zotero.org/users/4816088/items/VPAETU2W"],"itemData":{"id":2841,"type":"article-journal","title":"Lithium Intercalation in Anatase Titanium Vacancies and the Role of Local Anionic Environment","container-title":"Chemistry of Materials","page":"3078-3089","volume":"30","issue":"9","source":"ACS Publications","abstract":"The structure of bulk and nondefective compounds is generally described with crystal models built from well mastered techniques such the analysis of an X-ray diffractogram. The presence of defects, such as cationic vacancies, locally disrupt the long-range order, with the appearance of local structures with order extending only a few nanometers. To probe and describe the electrochemical properties of cation-deficient anatase, we investigated a series of materials having different concentrations of vacancies, i.e., Ti1–x–y□x+yO2–4(x+y)F4x(OH)4y, and compared their properties with respect to defect-free stoichiometric anatase TiO2. At first, we characterized the series of materials Ti1–x–y□x+yO2–4(x+y)F4x(OH)4y by means of pair distribution function (PDF), 19F nuclear magnetic resonance (NMR), Raman and X-ray photoelectron spectroscopies, to probe the compositional and structural features. Second, we characterized the insertion electrochemical properties vs metallic lithium where we emphasized the beneficial role of the vacancies on the cyclability of the electrode under high C-rate, with performances scaling with the concentration of vacancies. The improved properties were explained by the change of the lithium insertion mechanism due to the presence of the vacancies, which act as host sites and suppress the phase transition typically observed in pure TiO2, and further favor diffusive transport of lithium within the structure. NMR spectroscopy performed on lithiated samples provides evidence for the insertion of lithium in vacancies. By combining electrochemistry and DFT-calculations, we characterized the electrochemical signatures of the lithium insertion in the vacancies. Importantly, we found that the insertion voltage largely depends on the local anionic environment of the vacancy with a fluoride and hydroxide-rich environments, yielding high and low insertion voltages, respectively. This work further supports the beneficial use of defects engineering in electrodes for batteries and provides new fundamental knowledge in the insertion chemistry of cationic vacancies as host sites.","DOI":"10.1021/acs.chemmater.8b00925","ISSN":"0897-4756","journalAbbreviation":"Chem. Mater.","author":[{"family":"Ma","given":"Jiwei"},{"family":"Li","given":"Wei"},{"family":"Morgan","given":"Benjamin J."},{"family":"Światowska","given":"Jolanta"},{"family":"Baddour-Hadjean","given":"Rita"},{"family":"Body","given":"Monique"},{"family":"Legein","given":"Christophe"},{"family":"Borkiewicz","given":"Olaf J."},{"family":"Leclerc","given":"Sandrine"},{"family":"Groult","given":"Henri"},{"family":"Lantelme","given":"Frédéric"},{"family":"Laberty-Robert","given":"Christel"},{"family":"Dambournet","given":"Damien"}],"issued":{"date-parts":[["2018",5,8]]}}}],"schema":"https://github.com/citation-style-language/schema/raw/master/csl-citation.json"} </w:instrText>
      </w:r>
      <w:r>
        <w:fldChar w:fldCharType="separate"/>
      </w:r>
      <w:r w:rsidR="00CA4C4F" w:rsidRPr="00CA4C4F">
        <w:rPr>
          <w:rFonts w:cs="Times"/>
        </w:rPr>
        <w:t>[17,26,32]</w:t>
      </w:r>
      <w:r>
        <w:fldChar w:fldCharType="end"/>
      </w:r>
      <w:r>
        <w:t xml:space="preserve"> </w:t>
      </w:r>
    </w:p>
    <w:p w14:paraId="60FA7E67" w14:textId="13FD17EF" w:rsidR="003056E0" w:rsidRDefault="003056E0" w:rsidP="003056E0">
      <w:pPr>
        <w:pStyle w:val="VAFigureCaption"/>
      </w:pPr>
      <w:r>
        <w:t>Individual calculations were deemed optimized when all atomic forces were smaller than 0.01 eV Å</w:t>
      </w:r>
      <w:r>
        <w:rPr>
          <w:vertAlign w:val="superscript"/>
        </w:rPr>
        <w:t>-1</w:t>
      </w:r>
      <w:r>
        <w:t xml:space="preserve">. All calculations were spin polarized, and used a 2 × 2 × 2 Monkhorst-Pack grid for sampling </w:t>
      </w:r>
      <w:r>
        <w:rPr>
          <w:i/>
        </w:rPr>
        <w:t>k</w:t>
      </w:r>
      <w:r>
        <w:t xml:space="preserve">-space. To calculate intercalation energies, reference calculations for metallic Li and metallic Mg were performed using the same convergence criteria as above. For both metals we considered 2-atom cells, and used a </w:t>
      </w:r>
      <w:bookmarkStart w:id="81" w:name="OLE_LINK85"/>
      <w:bookmarkStart w:id="82" w:name="OLE_LINK69"/>
      <w:r>
        <w:t xml:space="preserve">16 × 16 × 16 Monkhorst-Pack grid for Li </w:t>
      </w:r>
      <w:bookmarkEnd w:id="81"/>
      <w:bookmarkEnd w:id="82"/>
      <w:r>
        <w:t xml:space="preserve">and a 18 × 18 × 18 Monkhorst-Pack grid for Mg for </w:t>
      </w:r>
      <w:r>
        <w:rPr>
          <w:i/>
        </w:rPr>
        <w:t>k</w:t>
      </w:r>
      <w:r>
        <w:t>-space sampling. A data set containing all DFT calculation inputs and outputs is available at the University of Bath Data Archive, published under the CC-BY-4.0 license.</w:t>
      </w:r>
      <w:r w:rsidR="00BF0DF2">
        <w:fldChar w:fldCharType="begin"/>
      </w:r>
      <w:r w:rsidR="00BF0DF2">
        <w:instrText xml:space="preserve"> ADDIN ZOTERO_ITEM CSL_CITATION {"citationID":"gfssKijU","properties":{"formattedCitation":"[39]","plainCitation":"[39]","noteIndex":0},"citationItems":[{"id":823,"uris":["http://zotero.org/users/4816088/items/QM2EPF26"],"uri":["http://zotero.org/users/4816088/items/QM2EPF26"],"itemData":{"id":823,"type":"article-journal","title":"Electrochemical reactions in fluoride-ion batteries: mechanistic insights from Pair Distribution Function analysis","container-title":"J. Mater. Chem. A","page":"-","abstract":"Detailed analysis of electrochemical reactions occurring in a rechargeable Fluoride-Ion Battery (FIB) is provided by means of synchrotron X-ray diffraction (XRD) and Pair Distribution Function (PDF) analysis. In this study, a symmetrical cell containing Bi-BiF3 composite electrodes was characterized after three cycles. As for Li conversion-based electrodes, our study confirms that a multi-electron redox process occurs between Bi metal and BiF3. XRD and PDF analyses show that multiple Bi oxyfluoride phases are formed due to the presence of Bi oxide in the initial Bi electrode and/or Bi oxyfluoride in the initial BiF3 electrode. Quantitative PDF analyses suggests that oxygen does not migrate through the electrolyte and that the fluoride ion is the sole charge transfer anion. Hence, we showed that oxide species are not preventing the electrochemical reactions, opening the path for the study of metal oxyfluoride as active materials for FIBs.","DOI":"10.1039/C7TA04005A","author":[{"family":"Grenier","given":"Antonin"},{"family":"Porras-Gutierrez","given":"Ana-Gabriela"},{"family":"Groult","given":"Henri"},{"family":"Beyer","given":"Kevin A"},{"family":"Borkiewicz","given":"Olaf J"},{"family":"Chapman","given":"Karena J"},{"family":"Dambournet","given":"Damien"}],"issued":{"date-parts":[["2017"]]}}}],"schema":"https://github.com/citation-style-language/schema/raw/master/csl-citation.json"} </w:instrText>
      </w:r>
      <w:r w:rsidR="00BF0DF2">
        <w:fldChar w:fldCharType="separate"/>
      </w:r>
      <w:r w:rsidR="00BF0DF2" w:rsidRPr="00BF0DF2">
        <w:rPr>
          <w:rFonts w:cs="Times"/>
        </w:rPr>
        <w:t>[39]</w:t>
      </w:r>
      <w:r w:rsidR="00BF0DF2">
        <w:fldChar w:fldCharType="end"/>
      </w:r>
      <w:r>
        <w:t xml:space="preserve"> The dataset also includes analysis scripts, published under the MIT license, used to post-process the DFT data and to generate </w:t>
      </w:r>
      <w:r>
        <w:rPr>
          <w:b/>
        </w:rPr>
        <w:t>Fig. 6</w:t>
      </w:r>
      <w:r>
        <w:t>. The data analysis scripts use the Python packages numpy,</w:t>
      </w:r>
      <w:r>
        <w:fldChar w:fldCharType="begin"/>
      </w:r>
      <w:r w:rsidR="00BF0DF2">
        <w:instrText xml:space="preserve"> ADDIN ZOTERO_ITEM CSL_CITATION {"citationID":"Wo5Ldyor","properties":{"formattedCitation":"[54,55]","plainCitation":"[54,55]","noteIndex":0},"citationItems":[{"id":4995,"uris":["http://zotero.org/users/4816088/items/5PSIXQQ2"],"uri":["http://zotero.org/users/4816088/items/5PSIXQQ2"],"itemData":{"id":4995,"type":"book","title":"Guide to NumPy","publisher":"CreateSpace Independent Publishing Platform","publisher-place":"USA","edition":"2nd","source":"ACM Digital Library","event-place":"USA","abstract":"This is the second edition of Travis Oliphant's A Guide to NumPy originally published electronically in 2006. It is designed to be a reference that can be used by practitioners who are familiar with Python but want to learn more about NumPy and related tools. In this updated edition, new perspectives are shared as well as descriptions of new distributed processing tools in the ecosystem, and how Numba can be used to compile code using NumPy arrays. Travis Oliphant is the co-founder and CEO of Continuum Analytics. Continuum Analytics develops Anaconda, the leading modern open source analytics platform powered by Python. Travis, who is a passionate advocate of open source technology, has a Ph.D. from Mayo Clinic and B.S. and M.S. degrees in Mathematics and Electrical Engineering from Brigham Young University. Since 1997, he has worked extensively with Python for computational and data science. He was the primary creator of the NumPy package and founding contributor to the SciPy package. He was also a co-founder and past board member of NumFOCUS, a non-profit for reproducible and accessible science that supports the PyData stack. He also served on the board of the Python Software Foundation.","ISBN":"978-1-5173-0007-4","author":[{"family":"Oliphant","given":"Travis E."}],"issued":{"date-parts":[["2015"]]}}},{"id":4996,"uris":["http://zotero.org/users/4816088/items/2A86HRAF"],"uri":["http://zotero.org/users/4816088/items/2A86HRAF"],"itemData":{"id":4996,"type":"article-journal","title":"The NumPy Array: A Structure for Efficient Numerical Computation","container-title":"Computing in Science Engineering","page":"22-30","volume":"13","issue":"2","source":"IEEE Xplore","abstract":"In the Python world, NumPy arrays are the standard representation for numerical data and enable efficient implementation of numerical computations in a high-level language. As this effort shows, NumPy performance can be improved through three techniques: vectorizing calculations, avoiding copying data in memory, and minimizing operation counts.","DOI":"10.1109/MCSE.2011.37","ISSN":"1521-9615","shortTitle":"The NumPy Array","author":[{"family":"Walt","given":"S.","dropping-particle":"van der"},{"family":"Colbert","given":"S. C."},{"family":"Varoquaux","given":"G."}],"issued":{"date-parts":[["2011",3]]}}}],"schema":"https://github.com/citation-style-language/schema/raw/master/csl-citation.json"} </w:instrText>
      </w:r>
      <w:r>
        <w:fldChar w:fldCharType="separate"/>
      </w:r>
      <w:r w:rsidR="00BF0DF2" w:rsidRPr="00BF0DF2">
        <w:rPr>
          <w:rFonts w:cs="Times"/>
        </w:rPr>
        <w:t>[54,55]</w:t>
      </w:r>
      <w:r>
        <w:fldChar w:fldCharType="end"/>
      </w:r>
      <w:r>
        <w:t xml:space="preserve"> snakemake,</w:t>
      </w:r>
      <w:r>
        <w:fldChar w:fldCharType="begin"/>
      </w:r>
      <w:r w:rsidR="00BF0DF2">
        <w:instrText xml:space="preserve"> ADDIN ZOTERO_ITEM CSL_CITATION {"citationID":"TqgJoDDc","properties":{"formattedCitation":"[56]","plainCitation":"[56]","noteIndex":0},"citationItems":[{"id":4998,"uris":["http://zotero.org/users/4816088/items/BKVI224F"],"uri":["http://zotero.org/users/4816088/items/BKVI224F"],"itemData":{"id":4998,"type":"article-journal","title":"Snakemake—a scalable bioinformatics workflow engine","container-title":"Bioinformatics","page":"2520-2522","volume":"28","issue":"19","source":"academic.oup.com","abstract":"Abstract.  Summary: Snakemake is a workflow engine that provides a readable Python-based workflow definition language and a powerful execution environment that","DOI":"10.1093/bioinformatics/bts480","ISSN":"1367-4803","journalAbbreviation":"Bioinformatics","language":"en","author":[{"family":"Köster","given":"Johannes"},{"family":"Rahmann","given":"Sven"}],"issued":{"date-parts":[["2012",10,1]]}}}],"schema":"https://github.com/citation-style-language/schema/raw/master/csl-citation.json"} </w:instrText>
      </w:r>
      <w:r>
        <w:fldChar w:fldCharType="separate"/>
      </w:r>
      <w:r w:rsidR="00BF0DF2" w:rsidRPr="00BF0DF2">
        <w:rPr>
          <w:rFonts w:cs="Times"/>
        </w:rPr>
        <w:t>[56]</w:t>
      </w:r>
      <w:r>
        <w:fldChar w:fldCharType="end"/>
      </w:r>
      <w:r>
        <w:t xml:space="preserve"> surfinpy,</w:t>
      </w:r>
      <w:r>
        <w:fldChar w:fldCharType="begin"/>
      </w:r>
      <w:r w:rsidR="00BF0DF2">
        <w:instrText xml:space="preserve"> ADDIN ZOTERO_ITEM CSL_CITATION {"citationID":"XZR2VKSn","properties":{"formattedCitation":"[57]","plainCitation":"[57]","noteIndex":0},"citationItems":[{"id":5001,"uris":["http://zotero.org/users/4816088/items/IATJYZZL"],"uri":["http://zotero.org/users/4816088/items/IATJYZZL"],"itemData":{"id":5001,"type":"webpage","title":"surfinpy: A Surface Phase Diagram Generator","container-title":"The Journal of Open Source Software","abstract":"Symington et al., (2019). surfinpy: A Surface Phase Diagram Generator. Journal of Open Source Software, 4(34), 1210, https://doi.org/10.21105/joss.01210","URL":"http://joss.theoj.org","note":"DOI: 10.21105/joss.01210","shortTitle":"surfinpy","language":"en","issued":{"date-parts":[["2019",2,20]]},"accessed":{"date-parts":[["2019",5,6]]}}}],"schema":"https://github.com/citation-style-language/schema/raw/master/csl-citation.json"} </w:instrText>
      </w:r>
      <w:r>
        <w:fldChar w:fldCharType="separate"/>
      </w:r>
      <w:r w:rsidR="00BF0DF2" w:rsidRPr="00BF0DF2">
        <w:rPr>
          <w:rFonts w:cs="Times"/>
        </w:rPr>
        <w:t>[57]</w:t>
      </w:r>
      <w:r>
        <w:fldChar w:fldCharType="end"/>
      </w:r>
      <w:r>
        <w:t xml:space="preserve"> and vasppy.</w:t>
      </w:r>
      <w:r>
        <w:fldChar w:fldCharType="begin"/>
      </w:r>
      <w:r w:rsidR="00BF0DF2">
        <w:instrText xml:space="preserve"> ADDIN ZOTERO_ITEM CSL_CITATION {"citationID":"EcboYbSO","properties":{"formattedCitation":"[58]","plainCitation":"[58]","noteIndex":0},"citationItems":[{"id":5004,"uris":["http://zotero.org/users/4816088/items/28FGB9GA"],"uri":["http://zotero.org/users/4816088/items/28FGB9GA"],"itemData":{"id":5004,"type":"book","title":"vasppy","publisher":"Zenodo","source":"Zenodo","abstract":"A Python module for working with VASP input and output.","URL":"https://zenodo.org/record/2667551#.XNAnzDAzaUk","note":"DOI: 10.5281/zenodo.2667551","author":[{"family":"Morgan","given":"Benjamin J."}],"issued":{"date-parts":[["2019",5,5]]},"accessed":{"date-parts":[["2019",5,6]]}}}],"schema":"https://github.com/citation-style-language/schema/raw/master/csl-citation.json"} </w:instrText>
      </w:r>
      <w:r>
        <w:fldChar w:fldCharType="separate"/>
      </w:r>
      <w:r w:rsidR="00BF0DF2" w:rsidRPr="00BF0DF2">
        <w:rPr>
          <w:rFonts w:cs="Times"/>
        </w:rPr>
        <w:t>[58]</w:t>
      </w:r>
      <w:r>
        <w:fldChar w:fldCharType="end"/>
      </w:r>
    </w:p>
    <w:p w14:paraId="04D0231E" w14:textId="77777777" w:rsidR="003056E0" w:rsidRDefault="003056E0" w:rsidP="003056E0">
      <w:pPr>
        <w:pStyle w:val="MainText"/>
        <w:spacing w:line="240" w:lineRule="auto"/>
      </w:pPr>
    </w:p>
    <w:p w14:paraId="3FDFE661" w14:textId="77777777" w:rsidR="003056E0" w:rsidRDefault="003056E0" w:rsidP="003056E0">
      <w:pPr>
        <w:pStyle w:val="Acknowledgements"/>
        <w:rPr>
          <w:i/>
        </w:rPr>
      </w:pPr>
      <w:r>
        <w:rPr>
          <w:b/>
        </w:rPr>
        <w:lastRenderedPageBreak/>
        <w:t>Supporting Information</w:t>
      </w:r>
    </w:p>
    <w:p w14:paraId="0B95DEB9" w14:textId="77777777" w:rsidR="003056E0" w:rsidRDefault="003056E0" w:rsidP="003056E0">
      <w:pPr>
        <w:pStyle w:val="Acknowledgements"/>
      </w:pPr>
      <w:r>
        <w:t>Supporting Information file.</w:t>
      </w:r>
    </w:p>
    <w:p w14:paraId="0F8E1DA0" w14:textId="77777777" w:rsidR="003056E0" w:rsidRDefault="003056E0" w:rsidP="003056E0">
      <w:pPr>
        <w:pStyle w:val="MainText"/>
      </w:pPr>
    </w:p>
    <w:p w14:paraId="5A13425D" w14:textId="77777777" w:rsidR="003056E0" w:rsidRDefault="003056E0" w:rsidP="003056E0">
      <w:pPr>
        <w:pStyle w:val="Head1"/>
      </w:pPr>
      <w:r>
        <w:t>Acknowledgements</w:t>
      </w:r>
    </w:p>
    <w:p w14:paraId="2FE5CF50" w14:textId="77777777" w:rsidR="003056E0" w:rsidRDefault="003056E0" w:rsidP="003056E0">
      <w:r>
        <w:t xml:space="preserve">The research leading to these results has received funding from the French National Research Agency under Idex@Sorbonne University for the Future Investments program (No. ANR-11-IDEX-0004-02) and “Sino German TU9 network for electromobility” under the grant reference number 16N11929. The work done at the Advanced Photon Source, an Office of Science User Facility operated for the U. S. Department of Energy (DOE) Office of Science by Argonne National Laboratory, was supported by the U.S. DOE under Contract No. DE-AC02-06CH11357. B. J. M. acknowledges support from the Royal Society (Grant No. UF130329), and the Faraday Institution (faraday.ac.uk; </w:t>
      </w:r>
      <w:bookmarkStart w:id="83" w:name="OLE_LINK89"/>
      <w:bookmarkStart w:id="84" w:name="OLE_LINK88"/>
      <w:r>
        <w:t>EP/S003053/1</w:t>
      </w:r>
      <w:bookmarkEnd w:id="83"/>
      <w:bookmarkEnd w:id="84"/>
      <w:r>
        <w:t>, grant number FIRG003). Calculations were performed using the Balena High Performance Computing Service at the University of Bath, and the ARCHER supercomputer, through membership of the UK's HPC Materials Chemistry Consortium, funded by EPSRC grant EP/L000202.</w:t>
      </w:r>
    </w:p>
    <w:p w14:paraId="1E4F0EA0" w14:textId="77777777" w:rsidR="003056E0" w:rsidRDefault="003056E0" w:rsidP="003056E0">
      <w:pPr>
        <w:pStyle w:val="Head1"/>
      </w:pPr>
      <w:r>
        <w:t>References</w:t>
      </w:r>
    </w:p>
    <w:p w14:paraId="100F82B8" w14:textId="77777777" w:rsidR="00BF0DF2" w:rsidRDefault="003056E0" w:rsidP="00BF0DF2">
      <w:pPr>
        <w:pStyle w:val="Bibliographie"/>
      </w:pPr>
      <w:r>
        <w:fldChar w:fldCharType="begin"/>
      </w:r>
      <w:r>
        <w:instrText xml:space="preserve"> ADDIN ZOTERO_BIBL {"uncited":[],"omitted":[],"custom":[]} CSL_BIBLIOGRAPHY </w:instrText>
      </w:r>
      <w:r>
        <w:fldChar w:fldCharType="separate"/>
      </w:r>
      <w:r w:rsidR="00BF0DF2">
        <w:t>[1]</w:t>
      </w:r>
      <w:r w:rsidR="00BF0DF2">
        <w:tab/>
        <w:t>B. Dunn, H. Kamath, J.-M. Tarascon, Electrical Energy Storage for the Grid: A Battery of Choices, Science. 334 (2011) 928–935. doi:10.1126/science.1212741.</w:t>
      </w:r>
    </w:p>
    <w:p w14:paraId="3E168112" w14:textId="77777777" w:rsidR="00BF0DF2" w:rsidRDefault="00BF0DF2" w:rsidP="00BF0DF2">
      <w:pPr>
        <w:pStyle w:val="Bibliographie"/>
      </w:pPr>
      <w:r>
        <w:t>[2]</w:t>
      </w:r>
      <w:r>
        <w:tab/>
        <w:t>D. Aurbach, Z. Lu, A. Schechter, Y. Gofer, H. Gizbar, R. Turgeman, Y. Cohen, M. Moshkovich, E. Levi, Prototype systems for rechargeable magnesium batteries, Nature. 407 (2000) 724–727. doi:10.1038/35037553.</w:t>
      </w:r>
    </w:p>
    <w:p w14:paraId="00625A2C" w14:textId="77777777" w:rsidR="00BF0DF2" w:rsidRDefault="00BF0DF2" w:rsidP="00BF0DF2">
      <w:pPr>
        <w:pStyle w:val="Bibliographie"/>
      </w:pPr>
      <w:r>
        <w:t>[3]</w:t>
      </w:r>
      <w:r>
        <w:tab/>
        <w:t>D. Aurbach, Y. Cohen, M. Moshkovich, The Study of Reversible Magnesium Deposition by In Situ Scanning Tunneling Microscopy, Electrochem. Solid-State Lett. 4 (2001) A113–A116. doi:10.1149/1.1379828.</w:t>
      </w:r>
    </w:p>
    <w:p w14:paraId="5829FA2A" w14:textId="77777777" w:rsidR="00BF0DF2" w:rsidRDefault="00BF0DF2" w:rsidP="00BF0DF2">
      <w:pPr>
        <w:pStyle w:val="Bibliographie"/>
      </w:pPr>
      <w:r>
        <w:t>[4]</w:t>
      </w:r>
      <w:r>
        <w:tab/>
        <w:t>M. Matsui, Study on electrochemically deposited Mg metal, Journal of Power Sources. 196 (2011) 7048–7055. doi:10.1016/j.jpowsour.2010.11.141.</w:t>
      </w:r>
    </w:p>
    <w:p w14:paraId="5D6EEF3B" w14:textId="77777777" w:rsidR="00BF0DF2" w:rsidRDefault="00BF0DF2" w:rsidP="00BF0DF2">
      <w:pPr>
        <w:pStyle w:val="Bibliographie"/>
      </w:pPr>
      <w:r>
        <w:t>[5]</w:t>
      </w:r>
      <w:r>
        <w:tab/>
        <w:t>H.D. Yoo, I. Shterenberg, Y. Gofer, G. Gershinsky, N. Pour, D. Aurbach, Mg rechargeable batteries: an on-going challenge, Energy Environ. Sci. 6 (2013) 2265–2279. doi:10.1039/C3EE40871J.</w:t>
      </w:r>
    </w:p>
    <w:p w14:paraId="03DC87B9" w14:textId="77777777" w:rsidR="00BF0DF2" w:rsidRDefault="00BF0DF2" w:rsidP="00BF0DF2">
      <w:pPr>
        <w:pStyle w:val="Bibliographie"/>
      </w:pPr>
      <w:r>
        <w:t>[6]</w:t>
      </w:r>
      <w:r>
        <w:tab/>
        <w:t>X. Sun, P. Bonnick, V. Duffort, M. Liu, Z. Rong, K.A. Persson, G. Ceder, L.F. Nazar, A high capacity thiospinel cathode for Mg batteries, Energy Environ. Sci. 9 (2016) 2273–2277. doi:10.1039/C6EE00724D.</w:t>
      </w:r>
    </w:p>
    <w:p w14:paraId="3E4F7D27" w14:textId="77777777" w:rsidR="00BF0DF2" w:rsidRDefault="00BF0DF2" w:rsidP="00BF0DF2">
      <w:pPr>
        <w:pStyle w:val="Bibliographie"/>
      </w:pPr>
      <w:r>
        <w:t>[7]</w:t>
      </w:r>
      <w:r>
        <w:tab/>
        <w:t>X. Sun, P. Bonnick, L.F. Nazar, Layered TiS2 Positive Electrode for Mg Batteries, ACS Energy Lett. 1 (2016) 297–301. doi:10.1021/acsenergylett.6b00145.</w:t>
      </w:r>
    </w:p>
    <w:p w14:paraId="0A811CCF" w14:textId="77777777" w:rsidR="00BF0DF2" w:rsidRDefault="00BF0DF2" w:rsidP="00BF0DF2">
      <w:pPr>
        <w:pStyle w:val="Bibliographie"/>
      </w:pPr>
      <w:r>
        <w:t>[8]</w:t>
      </w:r>
      <w:r>
        <w:tab/>
        <w:t>V. Duffort, X. Sun, L.F. Nazar, Screening for positive electrodes for magnesium batteries: a protocol for studies at elevated temperatures, Chem. Commun. 52 (2016) 12458–12461. doi:10.1039/C6CC05363G.</w:t>
      </w:r>
    </w:p>
    <w:p w14:paraId="163AEA4C" w14:textId="77777777" w:rsidR="00BF0DF2" w:rsidRDefault="00BF0DF2" w:rsidP="00BF0DF2">
      <w:pPr>
        <w:pStyle w:val="Bibliographie"/>
      </w:pPr>
      <w:r>
        <w:t>[9]</w:t>
      </w:r>
      <w:r>
        <w:tab/>
        <w:t>M. Liu, Z. Rong, R. Malik, P. Canepa, A. Jain, G. Ceder, K. A. Persson, Spinel compounds as multivalent battery cathodes: a systematic evaluation based on ab initio calculations, Energy &amp; Environmental Science. 8 (2015) 964–974. doi:10.1039/C4EE03389B.</w:t>
      </w:r>
    </w:p>
    <w:p w14:paraId="6D3B28D1" w14:textId="77777777" w:rsidR="00BF0DF2" w:rsidRDefault="00BF0DF2" w:rsidP="00BF0DF2">
      <w:pPr>
        <w:pStyle w:val="Bibliographie"/>
      </w:pPr>
      <w:r>
        <w:t>[10]</w:t>
      </w:r>
      <w:r>
        <w:tab/>
        <w:t>Z. Rong, R. Malik, P. Canepa, G. Sai Gautam, M. Liu, A. Jain, K. Persson, G. Ceder, Materials Design Rules for Multivalent Ion Mobility in Intercalation Structures, Chem. Mater. 27 (2015) 6016–6021. doi:10.1021/acs.chemmater.5b02342.</w:t>
      </w:r>
    </w:p>
    <w:p w14:paraId="1199D782" w14:textId="77777777" w:rsidR="00BF0DF2" w:rsidRDefault="00BF0DF2" w:rsidP="00BF0DF2">
      <w:pPr>
        <w:pStyle w:val="Bibliographie"/>
      </w:pPr>
      <w:r>
        <w:lastRenderedPageBreak/>
        <w:t>[11]</w:t>
      </w:r>
      <w:r>
        <w:tab/>
        <w:t>Z. Rong, P. Xiao, M. Liu, W. Huang, D.C. Hannah, W. Scullin, K.A. Persson, G. Ceder, Fast Mg2+ diffusion in Mo3(PO4)3O for Mg batteries, Chem. Commun. 53 (2017) 7998–8001. doi:10.1039/C7CC02903A.</w:t>
      </w:r>
    </w:p>
    <w:p w14:paraId="55ED5A2F" w14:textId="77777777" w:rsidR="00BF0DF2" w:rsidRDefault="00BF0DF2" w:rsidP="00BF0DF2">
      <w:pPr>
        <w:pStyle w:val="Bibliographie"/>
      </w:pPr>
      <w:r>
        <w:t>[12]</w:t>
      </w:r>
      <w:r>
        <w:tab/>
        <w:t>J.-H. Cho, M. Aykol, S. Kim, J.-H. Ha, C. Wolverton, K.Y. Chung, K.-B. Kim, B.-W. Cho, Controlling the Intercalation Chemistry to Design High-Performance Dual-Salt Hybrid Rechargeable Batteries, J. Am. Chem. Soc. 136 (2014) 16116–16119. doi:10.1021/ja508463z.</w:t>
      </w:r>
    </w:p>
    <w:p w14:paraId="0DA9B39D" w14:textId="77777777" w:rsidR="00BF0DF2" w:rsidRDefault="00BF0DF2" w:rsidP="00BF0DF2">
      <w:pPr>
        <w:pStyle w:val="Bibliographie"/>
      </w:pPr>
      <w:r>
        <w:t>[13]</w:t>
      </w:r>
      <w:r>
        <w:tab/>
        <w:t>Y. Gofer, O. Chusid, H. Gizbar, Y. Viestfrid, H.E. Gottlieb, V. Marks, D. Aurbach, Improved Electrolyte Solutions for Rechargeable Magnesium Batteries, Electrochem. Solid-State Lett. 9 (2006) A257–A260. doi:10.1149/1.2186003.</w:t>
      </w:r>
    </w:p>
    <w:p w14:paraId="425C4F26" w14:textId="77777777" w:rsidR="00BF0DF2" w:rsidRDefault="00BF0DF2" w:rsidP="00BF0DF2">
      <w:pPr>
        <w:pStyle w:val="Bibliographie"/>
      </w:pPr>
      <w:r>
        <w:t>[14]</w:t>
      </w:r>
      <w:r>
        <w:tab/>
        <w:t>T. Ichitsubo, S. Okamoto, T. Kawaguchi, Y. Kumagai, F. Oba, S. Yagi, N. Goto, T. Doi, E. Matsubara, Toward “rocking-chair type” Mg–Li dual-salt batteries, J. Mater. Chem. A. 3 (2015) 10188–10194. doi:10.1039/C5TA01365H.</w:t>
      </w:r>
    </w:p>
    <w:p w14:paraId="6A5538B9" w14:textId="77777777" w:rsidR="00BF0DF2" w:rsidRDefault="00BF0DF2" w:rsidP="00BF0DF2">
      <w:pPr>
        <w:pStyle w:val="Bibliographie"/>
      </w:pPr>
      <w:r>
        <w:t>[15]</w:t>
      </w:r>
      <w:r>
        <w:tab/>
        <w:t>H. Li, N.L. Okamoto, T. Hatakeyama, Y. Kumagai, F. Oba, T. Ichitsubo, Fast Diffusion of Multivalent Ions Facilitated by Concerted Interactions in Dual-Ion Battery Systems, Advanced Energy Materials. 8 (2018) 1801475. doi:10.1002/aenm.201801475.</w:t>
      </w:r>
    </w:p>
    <w:p w14:paraId="626DFBD4" w14:textId="77777777" w:rsidR="00BF0DF2" w:rsidRDefault="00BF0DF2" w:rsidP="00BF0DF2">
      <w:pPr>
        <w:pStyle w:val="Bibliographie"/>
      </w:pPr>
      <w:r>
        <w:t>[16]</w:t>
      </w:r>
      <w:r>
        <w:tab/>
        <w:t>T. Koketsu, J. Ma, B.J. Morgan, M. Body, C. Legein, W. Dachraoui, M. Giannini, A. Demortière, M. Salanne, F. Dardoize, H. Groult, O.J. Borkiewicz, K.W. Chapman, P. Strasser, D. Dambournet, Reversible magnesium and aluminium ions insertion in cation-deficient anatase TiO</w:t>
      </w:r>
      <w:r>
        <w:rPr>
          <w:vertAlign w:val="subscript"/>
        </w:rPr>
        <w:t>2</w:t>
      </w:r>
      <w:r>
        <w:t>, Nature Materials. 16 (2017) 1142. doi:10.1038/nmat4976.</w:t>
      </w:r>
    </w:p>
    <w:p w14:paraId="3062E010" w14:textId="77777777" w:rsidR="00BF0DF2" w:rsidRDefault="00BF0DF2" w:rsidP="00BF0DF2">
      <w:pPr>
        <w:pStyle w:val="Bibliographie"/>
      </w:pPr>
      <w:r>
        <w:t>[17]</w:t>
      </w:r>
      <w:r>
        <w:tab/>
        <w:t>W. Li, D. Corradini, M. Body, C. Legein, M. Salanne, J. Ma, K.W. Chapman, P.J. Chupas, A.-L. Rollet, C. Julien, K. Zhagib, M. Duttine, A. Demourgues, H. Groult, D. Dambournet, High Substitution Rate in TiO2 Anatase Nanoparticles with Cationic Vacancies for Fast Lithium Storage, Chem. Mater. 27 (2015) 5014–5019. doi:10.1021/acs.chemmater.5b01407.</w:t>
      </w:r>
    </w:p>
    <w:p w14:paraId="5C3A9CCE" w14:textId="77777777" w:rsidR="00BF0DF2" w:rsidRDefault="00BF0DF2" w:rsidP="00BF0DF2">
      <w:pPr>
        <w:pStyle w:val="Bibliographie"/>
      </w:pPr>
      <w:r>
        <w:t>[18]</w:t>
      </w:r>
      <w:r>
        <w:tab/>
        <w:t>H.D. Yoo, Y. Liang, Y. Li, Y. Yao, High Areal Capacity Hybrid Magnesium–Lithium-Ion Battery with 99.9% Coulombic Efficiency for Large-Scale Energy Storage, ACS Appl. Mater. Interfaces. 7 (2015) 7001–7007. doi:10.1021/acsami.5b01206.</w:t>
      </w:r>
    </w:p>
    <w:p w14:paraId="4F9E6041" w14:textId="77777777" w:rsidR="00BF0DF2" w:rsidRDefault="00BF0DF2" w:rsidP="00BF0DF2">
      <w:pPr>
        <w:pStyle w:val="Bibliographie"/>
      </w:pPr>
      <w:r>
        <w:t>[19]</w:t>
      </w:r>
      <w:r>
        <w:tab/>
        <w:t>M. Wagemaker, W.J.H. Borghols, F.M. Mulder, Large Impact of Particle Size on Insertion Reactions. A Case for Anatase LixTiO2, J. Am. Chem. Soc. 129 (2007) 4323–4327. doi:10.1021/ja067733p.</w:t>
      </w:r>
    </w:p>
    <w:p w14:paraId="09DF7A27" w14:textId="77777777" w:rsidR="00BF0DF2" w:rsidRDefault="00BF0DF2" w:rsidP="00BF0DF2">
      <w:pPr>
        <w:pStyle w:val="Bibliographie"/>
      </w:pPr>
      <w:r>
        <w:t>[20]</w:t>
      </w:r>
      <w:r>
        <w:tab/>
        <w:t>S. Sodergren, H. Siegbahn, H. Rensmo, H. Lindstrom, A. Hagfeldt, S.E. Lindquist, Lithium intercalation in nanoporous anatase TiO2 studied with XPS, J. Phys. Chem. B. 101 (1997) 3087–3090. doi:10.1021/jp9639399.</w:t>
      </w:r>
    </w:p>
    <w:p w14:paraId="5D5DEA28" w14:textId="77777777" w:rsidR="00BF0DF2" w:rsidRDefault="00BF0DF2" w:rsidP="00BF0DF2">
      <w:pPr>
        <w:pStyle w:val="Bibliographie"/>
      </w:pPr>
      <w:r>
        <w:t>[21]</w:t>
      </w:r>
      <w:r>
        <w:tab/>
        <w:t>High catalytic activity of anatase titanium dioxide for decomposition of electrolyte solution in lithium ion battery - ScienceDirect, (n.d.). https://www.sciencedirect.com/science/article/pii/S0378775314009306 (accessed September 18, 2019).</w:t>
      </w:r>
    </w:p>
    <w:p w14:paraId="76ECDF03" w14:textId="77777777" w:rsidR="00BF0DF2" w:rsidRDefault="00BF0DF2" w:rsidP="00BF0DF2">
      <w:pPr>
        <w:pStyle w:val="Bibliographie"/>
      </w:pPr>
      <w:r>
        <w:t>[22]</w:t>
      </w:r>
      <w:r>
        <w:tab/>
        <w:t>W. Weppner, R.A. Huggins, Determination of the Kinetic Parameters of Mixed</w:t>
      </w:r>
      <w:r>
        <w:rPr>
          <w:rFonts w:ascii="Cambria Math" w:hAnsi="Cambria Math" w:cs="Cambria Math"/>
        </w:rPr>
        <w:t>‐</w:t>
      </w:r>
      <w:r>
        <w:t>Conducting Electrodes and Application to the System Li3Sb, J. Electrochem. Soc. 124 (1977) 1569</w:t>
      </w:r>
      <w:r>
        <w:rPr>
          <w:rFonts w:cs="Times"/>
        </w:rPr>
        <w:t>–</w:t>
      </w:r>
      <w:r>
        <w:t>1578. doi:10.1149/1.2133112.</w:t>
      </w:r>
    </w:p>
    <w:p w14:paraId="7834782A" w14:textId="77777777" w:rsidR="00BF0DF2" w:rsidRDefault="00BF0DF2" w:rsidP="00BF0DF2">
      <w:pPr>
        <w:pStyle w:val="Bibliographie"/>
      </w:pPr>
      <w:r>
        <w:t>[23]</w:t>
      </w:r>
      <w:r>
        <w:tab/>
        <w:t>B.J. Morgan, G.W. Watson, Role of Lithium Ordering in the LixTiO2 Anatase → Titanate Phase Transition, J. Phys. Chem. Lett. 2 (2011) 1657–1661. doi:10.1021/jz200718e.</w:t>
      </w:r>
    </w:p>
    <w:p w14:paraId="0FF2C9B0" w14:textId="77777777" w:rsidR="00BF0DF2" w:rsidRDefault="00BF0DF2" w:rsidP="00BF0DF2">
      <w:pPr>
        <w:pStyle w:val="Bibliographie"/>
      </w:pPr>
      <w:r>
        <w:t>[24]</w:t>
      </w:r>
      <w:r>
        <w:tab/>
        <w:t>A.A. Belak, Y. Wang, A. Van der Ven, Kinetics of Anatase Electrodes: The Role of Ordering, Anisotropy, and Shape Memory Effects, Chem. Mater. 24 (2012) 2894–2898. doi:10.1021/cm300881t.</w:t>
      </w:r>
    </w:p>
    <w:p w14:paraId="70302419" w14:textId="77777777" w:rsidR="00BF0DF2" w:rsidRDefault="00BF0DF2" w:rsidP="00BF0DF2">
      <w:pPr>
        <w:pStyle w:val="Bibliographie"/>
      </w:pPr>
      <w:r>
        <w:lastRenderedPageBreak/>
        <w:t>[25]</w:t>
      </w:r>
      <w:r>
        <w:tab/>
        <w:t>P.L. Taberna, S. Mitra, P. Poizot, P. Simon, J.-M. Tarascon, High rate capabilities Fe</w:t>
      </w:r>
      <w:r>
        <w:rPr>
          <w:vertAlign w:val="subscript"/>
        </w:rPr>
        <w:t>3</w:t>
      </w:r>
      <w:r>
        <w:t>O</w:t>
      </w:r>
      <w:r>
        <w:rPr>
          <w:vertAlign w:val="subscript"/>
        </w:rPr>
        <w:t>4</w:t>
      </w:r>
      <w:r>
        <w:t>-based Cu nano-architectured electrodes for lithium-ion battery applications, Nature Materials. 5 (2006) 567–573. doi:10.1038/nmat1672.</w:t>
      </w:r>
    </w:p>
    <w:p w14:paraId="01E5D802" w14:textId="77777777" w:rsidR="00BF0DF2" w:rsidRDefault="00BF0DF2" w:rsidP="00BF0DF2">
      <w:pPr>
        <w:pStyle w:val="Bibliographie"/>
      </w:pPr>
      <w:r>
        <w:t>[26]</w:t>
      </w:r>
      <w:r>
        <w:tab/>
        <w:t>J. Ma, T. Koketsu, B.J. Morgan, C. Legein, M. Body, P. Strasser, D. Dambournet, Controlled hydroxy-fluorination reaction of anatase to promote Mg2+ mobility in rechargeable magnesium batteries, Chem. Commun. 54 (2018) 10080–10083. doi:10.1039/C8CC04136A.</w:t>
      </w:r>
    </w:p>
    <w:p w14:paraId="699C8131" w14:textId="77777777" w:rsidR="00BF0DF2" w:rsidRDefault="00BF0DF2" w:rsidP="00BF0DF2">
      <w:pPr>
        <w:pStyle w:val="Bibliographie"/>
      </w:pPr>
      <w:r>
        <w:t>[27]</w:t>
      </w:r>
      <w:r>
        <w:tab/>
        <w:t>D.A. Keen, A comparison of various commonly used correlation functions for describing total scattering, J Appl Cryst, J Appl Crystallogr. 34 (2001) 172–177. doi:10.1107/S0021889800019993.</w:t>
      </w:r>
    </w:p>
    <w:p w14:paraId="3415250C" w14:textId="77777777" w:rsidR="00BF0DF2" w:rsidRDefault="00BF0DF2" w:rsidP="00BF0DF2">
      <w:pPr>
        <w:pStyle w:val="Bibliographie"/>
      </w:pPr>
      <w:r>
        <w:t>[28]</w:t>
      </w:r>
      <w:r>
        <w:tab/>
        <w:t>S.J.L. Billinge, I. Levin, The Problem with Determining Atomic Structure at the Nanoscale, Science. 316 (2007) 561–565. doi:10.1126/science.1135080.</w:t>
      </w:r>
    </w:p>
    <w:p w14:paraId="2A3B0B96" w14:textId="77777777" w:rsidR="00BF0DF2" w:rsidRDefault="00BF0DF2" w:rsidP="00BF0DF2">
      <w:pPr>
        <w:pStyle w:val="Bibliographie"/>
      </w:pPr>
      <w:r>
        <w:t>[29]</w:t>
      </w:r>
      <w:r>
        <w:tab/>
        <w:t>M. Wagemaker, G.J. Kearley, A.A. van Well, H. Mutka, F.M. Mulder, Multiple Li Positions inside Oxygen Octahedra in Lithiated TiO2 Anatase, J. Am. Chem. Soc. 125 (2003) 840–848. doi:10.1021/ja028165q.</w:t>
      </w:r>
    </w:p>
    <w:p w14:paraId="3638453F" w14:textId="77777777" w:rsidR="00BF0DF2" w:rsidRDefault="00BF0DF2" w:rsidP="00BF0DF2">
      <w:pPr>
        <w:pStyle w:val="Bibliographie"/>
      </w:pPr>
      <w:r>
        <w:t>[30]</w:t>
      </w:r>
      <w:r>
        <w:tab/>
        <w:t>K. Shen, H. Chen, F. Klaver, F.M. Mulder, M. Wagemaker, Impact of Particle Size on the Non-Equilibrium Phase Transition of Lithium-Inserted Anatase TiO2, Chem. Mater. 26 (2014) 1608–1615. doi:10.1021/cm4037346.</w:t>
      </w:r>
    </w:p>
    <w:p w14:paraId="27C54DDE" w14:textId="77777777" w:rsidR="00BF0DF2" w:rsidRDefault="00BF0DF2" w:rsidP="00BF0DF2">
      <w:pPr>
        <w:pStyle w:val="Bibliographie"/>
      </w:pPr>
      <w:r>
        <w:t>[31]</w:t>
      </w:r>
      <w:r>
        <w:tab/>
        <w:t>A. Sadoc, M. Body, C. Legein, M. Biswal, F. Fayon, X. Rocquefelte, F. Boucher, NMR parameters in alkali, alkaline earth and rare earth fluorides from first principle calculations, Phys. Chem. Chem. Phys. 13 (2011) 18539–18550. doi:10.1039/C1CP21253B.</w:t>
      </w:r>
    </w:p>
    <w:p w14:paraId="5748F82B" w14:textId="77777777" w:rsidR="00BF0DF2" w:rsidRDefault="00BF0DF2" w:rsidP="00BF0DF2">
      <w:pPr>
        <w:pStyle w:val="Bibliographie"/>
      </w:pPr>
      <w:r>
        <w:t>[32]</w:t>
      </w:r>
      <w:r>
        <w:tab/>
        <w:t>J. Ma, W. Li, B.J. Morgan, J. Światowska, R. Baddour-Hadjean, M. Body, C. Legein, O.J. Borkiewicz, S. Leclerc, H. Groult, F. Lantelme, C. Laberty-Robert, D. Dambournet, Lithium Intercalation in Anatase Titanium Vacancies and the Role of Local Anionic Environment, Chem. Mater. 30 (2018) 3078–3089. doi:10.1021/acs.chemmater.8b00925.</w:t>
      </w:r>
    </w:p>
    <w:p w14:paraId="25655E24" w14:textId="77777777" w:rsidR="00BF0DF2" w:rsidRDefault="00BF0DF2" w:rsidP="00BF0DF2">
      <w:pPr>
        <w:pStyle w:val="Bibliographie"/>
      </w:pPr>
      <w:r>
        <w:t>[33]</w:t>
      </w:r>
      <w:r>
        <w:tab/>
        <w:t xml:space="preserve">R.J. Messinger, M. Ménétrier, E. Salager, A. Boulineau, M. Duttine, D. Carlier, J.-M. Ateba Mba, L. Croguennec, C. Masquelier, D. Massiot, M. Deschamps, Revealing Defects in Crystalline Lithium-Ion Battery Electrodes by Solid-State NMR: Applications to LiVPO </w:t>
      </w:r>
      <w:r>
        <w:rPr>
          <w:vertAlign w:val="subscript"/>
        </w:rPr>
        <w:t>4</w:t>
      </w:r>
      <w:r>
        <w:t xml:space="preserve"> F, Chem. Mater. 27 (2015) 5212–5221. doi:10.1021/acs.chemmater.5b01234.</w:t>
      </w:r>
    </w:p>
    <w:p w14:paraId="3CD960B9" w14:textId="77777777" w:rsidR="00BF0DF2" w:rsidRDefault="00BF0DF2" w:rsidP="00BF0DF2">
      <w:pPr>
        <w:pStyle w:val="Bibliographie"/>
      </w:pPr>
      <w:r>
        <w:t>[34]</w:t>
      </w:r>
      <w:r>
        <w:tab/>
        <w:t>V. Luca, T.L. Hanley, N.K. Roberts, R.F. Howe, NMR and X-ray Absorption Study of Lithium Intercalation in Micro- and Nanocrystalline Anatase, Chem. Mater. 11 (1999) 2089–2102. doi:10.1021/cm990007j.</w:t>
      </w:r>
    </w:p>
    <w:p w14:paraId="7A606448" w14:textId="77777777" w:rsidR="00BF0DF2" w:rsidRDefault="00BF0DF2" w:rsidP="00BF0DF2">
      <w:pPr>
        <w:pStyle w:val="Bibliographie"/>
      </w:pPr>
      <w:r>
        <w:t>[35]</w:t>
      </w:r>
      <w:r>
        <w:tab/>
        <w:t xml:space="preserve">M. Wagemaker, R. van de Krol, A.P.M. Kentgens, A.A. van Well, F.M. Mulder, Two Phase Morphology Limits Lithium Diffusion in TiO </w:t>
      </w:r>
      <w:r>
        <w:rPr>
          <w:vertAlign w:val="subscript"/>
        </w:rPr>
        <w:t>2</w:t>
      </w:r>
      <w:r>
        <w:t xml:space="preserve"> (Anatase): A </w:t>
      </w:r>
      <w:r>
        <w:rPr>
          <w:vertAlign w:val="superscript"/>
        </w:rPr>
        <w:t>7</w:t>
      </w:r>
      <w:r>
        <w:t xml:space="preserve"> Li MAS NMR Study, J. Am. Chem. Soc. 123 (2001) 11454–11461. doi:10.1021/ja0161148.</w:t>
      </w:r>
    </w:p>
    <w:p w14:paraId="5EF41E82" w14:textId="77777777" w:rsidR="00BF0DF2" w:rsidRDefault="00BF0DF2" w:rsidP="00BF0DF2">
      <w:pPr>
        <w:pStyle w:val="Bibliographie"/>
      </w:pPr>
      <w:r>
        <w:t>[36]</w:t>
      </w:r>
      <w:r>
        <w:tab/>
        <w:t xml:space="preserve">A.Y.H. Lo, R.W. Schurko, M. Vettraino, B.O. Skadtchenko, M. Trudeau, D.M. Antonelli, Solid-State </w:t>
      </w:r>
      <w:r>
        <w:rPr>
          <w:vertAlign w:val="superscript"/>
        </w:rPr>
        <w:t>23</w:t>
      </w:r>
      <w:r>
        <w:t xml:space="preserve"> Na and </w:t>
      </w:r>
      <w:r>
        <w:rPr>
          <w:vertAlign w:val="superscript"/>
        </w:rPr>
        <w:t>7</w:t>
      </w:r>
      <w:r>
        <w:t xml:space="preserve"> Li NMR Investigations of Sodium- and Lithium-Reduced Mesoporous Titanium Oxides, Inorg. Chem. 45 (2006) 1828–1838. doi:10.1021/ic051654h.</w:t>
      </w:r>
    </w:p>
    <w:p w14:paraId="564340E9" w14:textId="77777777" w:rsidR="00BF0DF2" w:rsidRDefault="00BF0DF2" w:rsidP="00BF0DF2">
      <w:pPr>
        <w:pStyle w:val="Bibliographie"/>
      </w:pPr>
      <w:r>
        <w:t>[37]</w:t>
      </w:r>
      <w:r>
        <w:tab/>
        <w:t>H. Günther, Lithium NMR, in: R.K. Harris (Ed.), Encyclopedia of Magnetic Resonance, John Wiley &amp; Sons, Ltd, Chichester, UK, 2007: p. emrstm0273. doi:10.1002/9780470034590.emrstm0273.</w:t>
      </w:r>
    </w:p>
    <w:p w14:paraId="6D1E02C2" w14:textId="77777777" w:rsidR="00BF0DF2" w:rsidRDefault="00BF0DF2" w:rsidP="00BF0DF2">
      <w:pPr>
        <w:pStyle w:val="Bibliographie"/>
      </w:pPr>
      <w:r>
        <w:t>[38]</w:t>
      </w:r>
      <w:r>
        <w:tab/>
        <w:t>M.K. Aydinol, A.F. Kohan, G. Ceder, K. Cho, J. Joannopoulos, Ab initio study of lithium intercalation in metal oxides and metal dichalcogenides, Phys. Rev. B. 56 (1997) 1354–1365. doi:10.1103/PhysRevB.56.1354.</w:t>
      </w:r>
    </w:p>
    <w:p w14:paraId="335CBDB2" w14:textId="62CFBA4E" w:rsidR="00BF0DF2" w:rsidRDefault="00BF0DF2" w:rsidP="00BF0DF2">
      <w:pPr>
        <w:pStyle w:val="Bibliographie"/>
      </w:pPr>
      <w:r>
        <w:lastRenderedPageBreak/>
        <w:t>[39]</w:t>
      </w:r>
      <w:r>
        <w:tab/>
      </w:r>
      <w:r w:rsidRPr="00BF0DF2">
        <w:t>Morgan, B. DFT dataset: Exploiting Cationic Vacancies for Increased Energy Densities in Dual-Ion Batteries; University of Bath Research Data Archive, 2019. doi.org/10.15125/BATH-00689</w:t>
      </w:r>
    </w:p>
    <w:p w14:paraId="07E61AD4" w14:textId="77777777" w:rsidR="00BF0DF2" w:rsidRDefault="00BF0DF2" w:rsidP="00BF0DF2">
      <w:pPr>
        <w:pStyle w:val="Bibliographie"/>
      </w:pPr>
      <w:r>
        <w:t>[40]</w:t>
      </w:r>
      <w:r>
        <w:tab/>
        <w:t>P.J. Chupas, X. Qiu, J.C. Hanson, P.L. Lee, C.P. Grey, S.J.L. Billinge, Rapid-acquisition pair distribution function (RA-PDF) analysis, Journal of Applied Crystallography. 36 (2003) 1342–1347. doi:10.1107/S0021889803017564.</w:t>
      </w:r>
    </w:p>
    <w:p w14:paraId="219FDD3B" w14:textId="77777777" w:rsidR="00BF0DF2" w:rsidRDefault="00BF0DF2" w:rsidP="00BF0DF2">
      <w:pPr>
        <w:pStyle w:val="Bibliographie"/>
      </w:pPr>
      <w:r>
        <w:t>[41]</w:t>
      </w:r>
      <w:r>
        <w:tab/>
        <w:t>P.J. Chupas, K.W. Chapman, P.L. Lee, Applications of an amorphous silicon-based area detector for high-resolution, high-sensitivity and fast time-resolved pair distribution function measurements, Journal of Applied Crystallography. 40 (2007) 463–470. doi:10.1107/S0021889807007856.</w:t>
      </w:r>
    </w:p>
    <w:p w14:paraId="0CF6EC57" w14:textId="77777777" w:rsidR="00BF0DF2" w:rsidRDefault="00BF0DF2" w:rsidP="00BF0DF2">
      <w:pPr>
        <w:pStyle w:val="Bibliographie"/>
      </w:pPr>
      <w:r>
        <w:t>[42]</w:t>
      </w:r>
      <w:r>
        <w:tab/>
        <w:t>A.P. Hammersley, S.O. Svensson, M. Hanfland, A.N. Fitch, D. Hausermann, Two-dimensional detector software: From real detector to idealised image or two-theta scan, High Pressure Research. 14 (1996) 235–248. doi:10.1080/08957959608201408.</w:t>
      </w:r>
    </w:p>
    <w:p w14:paraId="77D57927" w14:textId="77777777" w:rsidR="00BF0DF2" w:rsidRDefault="00BF0DF2" w:rsidP="00BF0DF2">
      <w:pPr>
        <w:pStyle w:val="Bibliographie"/>
      </w:pPr>
      <w:r>
        <w:t>[43]</w:t>
      </w:r>
      <w:r>
        <w:tab/>
        <w:t>X. Qiu, J.W. Thompson, S.J.L. Billinge, PDFgetX2: a GUI-driven program to obtain the pair distribution function from X-ray powder diffraction data, J. Appl. Cryst. 37 (2004) 678–678. doi:10.1107/S0021889804011744.</w:t>
      </w:r>
    </w:p>
    <w:p w14:paraId="5395CC2C" w14:textId="77777777" w:rsidR="00BF0DF2" w:rsidRDefault="00BF0DF2" w:rsidP="00BF0DF2">
      <w:pPr>
        <w:pStyle w:val="Bibliographie"/>
      </w:pPr>
      <w:r>
        <w:t>[44]</w:t>
      </w:r>
      <w:r>
        <w:tab/>
        <w:t>C.L. Farrow, P. Juhas, J.W. Liu, D. Bryndin, E.S. Božin, J. Bloch, T. Proffen, S.J.L. Billinge, PDFfit2 and PDFgui: computer programs for studying nanostructure in crystals, Journal of Physics: Condensed Matter. 19 (2007) 335219. doi:10.1088/0953-8984/19/33/335219.</w:t>
      </w:r>
    </w:p>
    <w:p w14:paraId="34C68954" w14:textId="77777777" w:rsidR="00BF0DF2" w:rsidRDefault="00BF0DF2" w:rsidP="00BF0DF2">
      <w:pPr>
        <w:pStyle w:val="Bibliographie"/>
      </w:pPr>
      <w:r>
        <w:t>[45]</w:t>
      </w:r>
      <w:r>
        <w:tab/>
        <w:t>T. Egami, S.J.L. Billinge, Underneath the Bragg Peaks: Structural Analysis of Complex Materials, Elsevier, 2003.</w:t>
      </w:r>
    </w:p>
    <w:p w14:paraId="3F8F3116" w14:textId="77777777" w:rsidR="00BF0DF2" w:rsidRDefault="00BF0DF2" w:rsidP="00BF0DF2">
      <w:pPr>
        <w:pStyle w:val="Bibliographie"/>
      </w:pPr>
      <w:r>
        <w:t>[46]</w:t>
      </w:r>
      <w:r>
        <w:tab/>
        <w:t>D. Massiot, F. Fayon, M. Capron, I. King, S. Le Calvé, B. Alonso, J.-O. Durand, B. Bujoli, Z. Gan, G. Hoatson, Modelling one- and two-dimensional solid-state NMR spectra, Magn. Reson. Chem. 40 (2002) 70–76. doi:10.1002/mrc.984.</w:t>
      </w:r>
    </w:p>
    <w:p w14:paraId="735ADD19" w14:textId="77777777" w:rsidR="00BF0DF2" w:rsidRDefault="00BF0DF2" w:rsidP="00BF0DF2">
      <w:pPr>
        <w:pStyle w:val="Bibliographie"/>
      </w:pPr>
      <w:r>
        <w:t>[47]</w:t>
      </w:r>
      <w:r>
        <w:tab/>
        <w:t>G. Kresse, J. Hafner, Norm-conserving and ultrasoft pseudopotentials for first-row and transition elements, J. Phys.: Condens. Matter. 6 (1994) 8245. doi:10.1088/0953-8984/6/40/015.</w:t>
      </w:r>
    </w:p>
    <w:p w14:paraId="7FE10C8D" w14:textId="77777777" w:rsidR="00BF0DF2" w:rsidRDefault="00BF0DF2" w:rsidP="00BF0DF2">
      <w:pPr>
        <w:pStyle w:val="Bibliographie"/>
      </w:pPr>
      <w:r>
        <w:t>[48]</w:t>
      </w:r>
      <w:r>
        <w:tab/>
        <w:t>G. Kresse, J. Furthmüller, Efficiency of ab-initio total energy calculations for metals and semiconductors using a plane-wave basis set, Computational Materials Science. 6 (1996) 15–50. doi:10.1016/0927-0256(96)00008-0.</w:t>
      </w:r>
    </w:p>
    <w:p w14:paraId="77AB82D1" w14:textId="77777777" w:rsidR="00BF0DF2" w:rsidRDefault="00BF0DF2" w:rsidP="00BF0DF2">
      <w:pPr>
        <w:pStyle w:val="Bibliographie"/>
      </w:pPr>
      <w:r>
        <w:t>[49]</w:t>
      </w:r>
      <w:r>
        <w:tab/>
        <w:t>G. Kresse, D. Joubert, From ultrasoft pseudopotentials to the projector augmented-wave method, Phys. Rev. B. 59 (1999) 1758–1775. doi:10.1103/PhysRevB.59.1758.</w:t>
      </w:r>
    </w:p>
    <w:p w14:paraId="09C68709" w14:textId="77777777" w:rsidR="00BF0DF2" w:rsidRDefault="00BF0DF2" w:rsidP="00BF0DF2">
      <w:pPr>
        <w:pStyle w:val="Bibliographie"/>
      </w:pPr>
      <w:r>
        <w:t>[50]</w:t>
      </w:r>
      <w:r>
        <w:tab/>
        <w:t>S.L. Dudarev, A.I. Liechtenstein, M.R. Castell, G.A.D. Briggs, A.P. Sutton, Surface states on NiO (100) and the origin of the contrast reversal in atomically resolved scanning tunneling microscope images, Phys. Rev. B. 56 (1997) 4900–4908. doi:10.1103/PhysRevB.56.4900.</w:t>
      </w:r>
    </w:p>
    <w:p w14:paraId="20372888" w14:textId="77777777" w:rsidR="00BF0DF2" w:rsidRDefault="00BF0DF2" w:rsidP="00BF0DF2">
      <w:pPr>
        <w:pStyle w:val="Bibliographie"/>
      </w:pPr>
      <w:r>
        <w:t>[51]</w:t>
      </w:r>
      <w:r>
        <w:tab/>
        <w:t>S.L. Dudarev, G.A. Botton, S.Y. Savrasov, C.J. Humphreys, A.P. Sutton, Electron-energy-loss spectra and the structural stability of nickel oxide:  An LSDA+U study, Phys. Rev. B. 57 (1998) 1505–1509. doi:10.1103/PhysRevB.57.1505.</w:t>
      </w:r>
    </w:p>
    <w:p w14:paraId="7F1AAF16" w14:textId="77777777" w:rsidR="00BF0DF2" w:rsidRDefault="00BF0DF2" w:rsidP="00BF0DF2">
      <w:pPr>
        <w:pStyle w:val="Bibliographie"/>
      </w:pPr>
      <w:r>
        <w:t>[52]</w:t>
      </w:r>
      <w:r>
        <w:tab/>
        <w:t>B.J. Morgan, G.W. Watson, $\text{GGA}+U$ description of lithium intercalation into anatase ${\text{TiO}}_{2}$, Phys. Rev. B. 82 (2010) 144119. doi:10.1103/PhysRevB.82.144119.</w:t>
      </w:r>
    </w:p>
    <w:p w14:paraId="3DBBDC59" w14:textId="77777777" w:rsidR="00BF0DF2" w:rsidRDefault="00BF0DF2" w:rsidP="00BF0DF2">
      <w:pPr>
        <w:pStyle w:val="Bibliographie"/>
      </w:pPr>
      <w:r>
        <w:t>[53]</w:t>
      </w:r>
      <w:r>
        <w:tab/>
        <w:t>B.J. Morgan, P.A. Madden, Lithium intercalation into TiO${}_{2}$(B): A comparison of LDA, GGA, and GGA+$U$ density functional calculations, Phys. Rev. B. 86 (2012) 035147. doi:10.1103/PhysRevB.86.035147.</w:t>
      </w:r>
    </w:p>
    <w:p w14:paraId="6B0117D3" w14:textId="77777777" w:rsidR="00BF0DF2" w:rsidRDefault="00BF0DF2" w:rsidP="00BF0DF2">
      <w:pPr>
        <w:pStyle w:val="Bibliographie"/>
      </w:pPr>
      <w:r>
        <w:lastRenderedPageBreak/>
        <w:t>[54]</w:t>
      </w:r>
      <w:r>
        <w:tab/>
        <w:t>T.E. Oliphant, Guide to NumPy, 2nd ed., CreateSpace Independent Publishing Platform, USA, 2015.</w:t>
      </w:r>
    </w:p>
    <w:p w14:paraId="23FBDD29" w14:textId="77777777" w:rsidR="00BF0DF2" w:rsidRDefault="00BF0DF2" w:rsidP="00BF0DF2">
      <w:pPr>
        <w:pStyle w:val="Bibliographie"/>
      </w:pPr>
      <w:r>
        <w:t>[55]</w:t>
      </w:r>
      <w:r>
        <w:tab/>
        <w:t>S. van der Walt, S.C. Colbert, G. Varoquaux, The NumPy Array: A Structure for Efficient Numerical Computation, Computing in Science Engineering. 13 (2011) 22–30. doi:10.1109/MCSE.2011.37.</w:t>
      </w:r>
    </w:p>
    <w:p w14:paraId="106029C4" w14:textId="77777777" w:rsidR="00BF0DF2" w:rsidRDefault="00BF0DF2" w:rsidP="00BF0DF2">
      <w:pPr>
        <w:pStyle w:val="Bibliographie"/>
      </w:pPr>
      <w:r>
        <w:t>[56]</w:t>
      </w:r>
      <w:r>
        <w:tab/>
        <w:t>J. Köster, S. Rahmann, Snakemake—a scalable bioinformatics workflow engine, Bioinformatics. 28 (2012) 2520–2522. doi:10.1093/bioinformatics/bts480.</w:t>
      </w:r>
    </w:p>
    <w:p w14:paraId="542EFCB3" w14:textId="77777777" w:rsidR="00BF0DF2" w:rsidRDefault="00BF0DF2" w:rsidP="00BF0DF2">
      <w:pPr>
        <w:pStyle w:val="Bibliographie"/>
      </w:pPr>
      <w:r>
        <w:t>[57]</w:t>
      </w:r>
      <w:r>
        <w:tab/>
        <w:t>surfinpy: A Surface Phase Diagram Generator, The Journal of Open Source Software. (2019). doi:10.21105/joss.01210.</w:t>
      </w:r>
    </w:p>
    <w:p w14:paraId="29A13738" w14:textId="77777777" w:rsidR="00BF0DF2" w:rsidRDefault="00BF0DF2" w:rsidP="00BF0DF2">
      <w:pPr>
        <w:pStyle w:val="Bibliographie"/>
      </w:pPr>
      <w:r>
        <w:t>[58]</w:t>
      </w:r>
      <w:r>
        <w:tab/>
        <w:t>B.J. Morgan, vasppy, Zenodo, 2019. doi:10.5281/zenodo.2667551.</w:t>
      </w:r>
    </w:p>
    <w:p w14:paraId="22A4F12C" w14:textId="55FAFF95" w:rsidR="006628BA" w:rsidRDefault="003056E0" w:rsidP="003056E0">
      <w:pPr>
        <w:pStyle w:val="Head1"/>
      </w:pPr>
      <w:r>
        <w:fldChar w:fldCharType="end"/>
      </w:r>
      <w:r w:rsidRPr="003056E0">
        <w:t xml:space="preserve"> </w:t>
      </w:r>
    </w:p>
    <w:p w14:paraId="6F856014" w14:textId="2CC4E0DB" w:rsidR="003056E0" w:rsidRDefault="003056E0" w:rsidP="003056E0">
      <w:pPr>
        <w:pStyle w:val="Head1"/>
      </w:pPr>
      <w:r>
        <w:t>Graphical abstract</w:t>
      </w:r>
    </w:p>
    <w:p w14:paraId="6AC3C072" w14:textId="77777777" w:rsidR="003056E0" w:rsidRDefault="003056E0" w:rsidP="003056E0">
      <w:pPr>
        <w:pStyle w:val="Head1"/>
      </w:pPr>
      <w:r>
        <w:rPr>
          <w:noProof/>
          <w:lang w:val="fr-FR" w:eastAsia="fr-FR"/>
        </w:rPr>
        <w:drawing>
          <wp:inline distT="0" distB="0" distL="0" distR="0" wp14:anchorId="40587871" wp14:editId="1D115E58">
            <wp:extent cx="3959860" cy="1799590"/>
            <wp:effectExtent l="0" t="0" r="2540" b="0"/>
            <wp:docPr id="22" name="Image 22"/>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16" cstate="print">
                      <a:extLst>
                        <a:ext uri="{28A0092B-C50C-407E-A947-70E740481C1C}">
                          <a14:useLocalDpi xmlns:a14="http://schemas.microsoft.com/office/drawing/2010/main" val="0"/>
                        </a:ext>
                      </a:extLst>
                    </a:blip>
                    <a:srcRect l="15386" t="7774" r="3275" b="7573"/>
                    <a:stretch/>
                  </pic:blipFill>
                  <pic:spPr bwMode="auto">
                    <a:xfrm>
                      <a:off x="0" y="0"/>
                      <a:ext cx="3959860" cy="1799590"/>
                    </a:xfrm>
                    <a:prstGeom prst="rect">
                      <a:avLst/>
                    </a:prstGeom>
                    <a:ln>
                      <a:noFill/>
                    </a:ln>
                    <a:extLst>
                      <a:ext uri="{53640926-AAD7-44D8-BBD7-CCE9431645EC}">
                        <a14:shadowObscured xmlns:a14="http://schemas.microsoft.com/office/drawing/2010/main"/>
                      </a:ext>
                    </a:extLst>
                  </pic:spPr>
                </pic:pic>
              </a:graphicData>
            </a:graphic>
          </wp:inline>
        </w:drawing>
      </w:r>
    </w:p>
    <w:p w14:paraId="72BAC5E1" w14:textId="77777777" w:rsidR="003056E0" w:rsidRDefault="003056E0" w:rsidP="003056E0">
      <w:pPr>
        <w:pStyle w:val="Head1"/>
      </w:pPr>
    </w:p>
    <w:p w14:paraId="02463B3C" w14:textId="77777777" w:rsidR="003056E0" w:rsidRDefault="003056E0" w:rsidP="003056E0">
      <w:pPr>
        <w:pStyle w:val="Head1"/>
      </w:pPr>
    </w:p>
    <w:p w14:paraId="5B5B0EE3" w14:textId="77777777" w:rsidR="003056E0" w:rsidRDefault="003056E0" w:rsidP="003056E0">
      <w:pPr>
        <w:pStyle w:val="Head1"/>
      </w:pPr>
    </w:p>
    <w:p w14:paraId="4F570D1B" w14:textId="77777777" w:rsidR="003056E0" w:rsidRDefault="003056E0" w:rsidP="000702AD">
      <w:pPr>
        <w:pStyle w:val="BGKeywords"/>
      </w:pPr>
    </w:p>
    <w:sectPr w:rsidR="003056E0" w:rsidSect="000B5610">
      <w:footerReference w:type="even" r:id="rId17"/>
      <w:footerReference w:type="default" r:id="rId18"/>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11C524" w14:textId="77777777" w:rsidR="00523626" w:rsidRDefault="00523626">
      <w:r>
        <w:separator/>
      </w:r>
    </w:p>
  </w:endnote>
  <w:endnote w:type="continuationSeparator" w:id="0">
    <w:p w14:paraId="2010A296" w14:textId="77777777" w:rsidR="00523626" w:rsidRDefault="00523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Constantia"/>
    <w:panose1 w:val="00000000000000000000"/>
    <w:charset w:val="00"/>
    <w:family w:val="roman"/>
    <w:notTrueType/>
    <w:pitch w:val="variable"/>
    <w:sig w:usb0="00000001"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C0A9E" w14:textId="77777777" w:rsidR="00625DE4" w:rsidRDefault="00625DE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0980165C" w14:textId="77777777" w:rsidR="00625DE4" w:rsidRDefault="00625DE4">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9BA52" w14:textId="77777777" w:rsidR="00625DE4" w:rsidRDefault="00625DE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1C2BB1">
      <w:rPr>
        <w:rStyle w:val="Numrodepage"/>
        <w:noProof/>
      </w:rPr>
      <w:t>25</w:t>
    </w:r>
    <w:r>
      <w:rPr>
        <w:rStyle w:val="Numrodepage"/>
      </w:rPr>
      <w:fldChar w:fldCharType="end"/>
    </w:r>
  </w:p>
  <w:p w14:paraId="400DBEB2" w14:textId="77777777" w:rsidR="00625DE4" w:rsidRDefault="00625DE4">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D6AF8E" w14:textId="77777777" w:rsidR="00523626" w:rsidRDefault="00523626">
      <w:r>
        <w:separator/>
      </w:r>
    </w:p>
  </w:footnote>
  <w:footnote w:type="continuationSeparator" w:id="0">
    <w:p w14:paraId="37B6B5A2" w14:textId="77777777" w:rsidR="00523626" w:rsidRDefault="005236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8"/>
  </w:num>
  <w:num w:numId="2">
    <w:abstractNumId w:val="6"/>
  </w:num>
  <w:num w:numId="3">
    <w:abstractNumId w:val="9"/>
  </w:num>
  <w:num w:numId="4">
    <w:abstractNumId w:val="7"/>
  </w:num>
  <w:num w:numId="5">
    <w:abstractNumId w:val="5"/>
  </w:num>
  <w:num w:numId="6">
    <w:abstractNumId w:val="4"/>
  </w:num>
  <w:num w:numId="7">
    <w:abstractNumId w:val="3"/>
  </w:num>
  <w:num w:numId="8">
    <w:abstractNumId w:val="1"/>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A3C"/>
    <w:rsid w:val="000002F2"/>
    <w:rsid w:val="00000A7A"/>
    <w:rsid w:val="00007FB2"/>
    <w:rsid w:val="00013469"/>
    <w:rsid w:val="000141A7"/>
    <w:rsid w:val="00022553"/>
    <w:rsid w:val="00023810"/>
    <w:rsid w:val="00023C1B"/>
    <w:rsid w:val="00040607"/>
    <w:rsid w:val="000535B6"/>
    <w:rsid w:val="0005660F"/>
    <w:rsid w:val="00056696"/>
    <w:rsid w:val="000702AD"/>
    <w:rsid w:val="00080504"/>
    <w:rsid w:val="000873D3"/>
    <w:rsid w:val="00097620"/>
    <w:rsid w:val="000A74F1"/>
    <w:rsid w:val="000B206D"/>
    <w:rsid w:val="000B2C88"/>
    <w:rsid w:val="000B2EEB"/>
    <w:rsid w:val="000B453A"/>
    <w:rsid w:val="000B5610"/>
    <w:rsid w:val="000C05CC"/>
    <w:rsid w:val="000C38B8"/>
    <w:rsid w:val="000C6EEA"/>
    <w:rsid w:val="000D47E4"/>
    <w:rsid w:val="000E04C3"/>
    <w:rsid w:val="00110357"/>
    <w:rsid w:val="00123243"/>
    <w:rsid w:val="001263D1"/>
    <w:rsid w:val="00127017"/>
    <w:rsid w:val="001373DA"/>
    <w:rsid w:val="00160B56"/>
    <w:rsid w:val="0016495A"/>
    <w:rsid w:val="0016631E"/>
    <w:rsid w:val="001823F0"/>
    <w:rsid w:val="0018387E"/>
    <w:rsid w:val="001842B8"/>
    <w:rsid w:val="001858EF"/>
    <w:rsid w:val="001929BC"/>
    <w:rsid w:val="00195ACA"/>
    <w:rsid w:val="001A07F8"/>
    <w:rsid w:val="001A7A90"/>
    <w:rsid w:val="001C2BB1"/>
    <w:rsid w:val="001D4C2D"/>
    <w:rsid w:val="001E61EA"/>
    <w:rsid w:val="001F2E03"/>
    <w:rsid w:val="00212B1D"/>
    <w:rsid w:val="00216A34"/>
    <w:rsid w:val="00217ECA"/>
    <w:rsid w:val="00225334"/>
    <w:rsid w:val="002319D1"/>
    <w:rsid w:val="00243FDF"/>
    <w:rsid w:val="00271A02"/>
    <w:rsid w:val="00290429"/>
    <w:rsid w:val="002A6E76"/>
    <w:rsid w:val="002A7493"/>
    <w:rsid w:val="002C3431"/>
    <w:rsid w:val="002C7917"/>
    <w:rsid w:val="002D5942"/>
    <w:rsid w:val="002F2272"/>
    <w:rsid w:val="00300087"/>
    <w:rsid w:val="003056E0"/>
    <w:rsid w:val="0031373B"/>
    <w:rsid w:val="00316867"/>
    <w:rsid w:val="00324128"/>
    <w:rsid w:val="00326D11"/>
    <w:rsid w:val="003279DE"/>
    <w:rsid w:val="00332620"/>
    <w:rsid w:val="003526B6"/>
    <w:rsid w:val="00361E35"/>
    <w:rsid w:val="003664E9"/>
    <w:rsid w:val="003679A1"/>
    <w:rsid w:val="003864C2"/>
    <w:rsid w:val="00391744"/>
    <w:rsid w:val="00392506"/>
    <w:rsid w:val="00393835"/>
    <w:rsid w:val="00393964"/>
    <w:rsid w:val="00397236"/>
    <w:rsid w:val="003A42F0"/>
    <w:rsid w:val="003A7A6C"/>
    <w:rsid w:val="003B4951"/>
    <w:rsid w:val="003B4AF3"/>
    <w:rsid w:val="003B584A"/>
    <w:rsid w:val="003D175D"/>
    <w:rsid w:val="003D217B"/>
    <w:rsid w:val="003E1F76"/>
    <w:rsid w:val="003F3FB7"/>
    <w:rsid w:val="003F7441"/>
    <w:rsid w:val="00404774"/>
    <w:rsid w:val="00405CE4"/>
    <w:rsid w:val="00424EE5"/>
    <w:rsid w:val="00453138"/>
    <w:rsid w:val="004554E9"/>
    <w:rsid w:val="00475FD2"/>
    <w:rsid w:val="00476322"/>
    <w:rsid w:val="004A09A9"/>
    <w:rsid w:val="004C01B8"/>
    <w:rsid w:val="004C268D"/>
    <w:rsid w:val="004C3DDD"/>
    <w:rsid w:val="004C5CA8"/>
    <w:rsid w:val="004D1703"/>
    <w:rsid w:val="004E283C"/>
    <w:rsid w:val="004E5C18"/>
    <w:rsid w:val="004E7185"/>
    <w:rsid w:val="004E79E3"/>
    <w:rsid w:val="0050192E"/>
    <w:rsid w:val="00501987"/>
    <w:rsid w:val="00507A07"/>
    <w:rsid w:val="00510154"/>
    <w:rsid w:val="00523626"/>
    <w:rsid w:val="0052449A"/>
    <w:rsid w:val="00526B85"/>
    <w:rsid w:val="00530984"/>
    <w:rsid w:val="005400FE"/>
    <w:rsid w:val="005553EF"/>
    <w:rsid w:val="0056055F"/>
    <w:rsid w:val="00563FF9"/>
    <w:rsid w:val="00567E81"/>
    <w:rsid w:val="00573040"/>
    <w:rsid w:val="00586AEE"/>
    <w:rsid w:val="00591A57"/>
    <w:rsid w:val="0059739A"/>
    <w:rsid w:val="005977D0"/>
    <w:rsid w:val="005A700B"/>
    <w:rsid w:val="005B2A99"/>
    <w:rsid w:val="005D0C10"/>
    <w:rsid w:val="005D5F75"/>
    <w:rsid w:val="005E46AC"/>
    <w:rsid w:val="005E7EF7"/>
    <w:rsid w:val="00607182"/>
    <w:rsid w:val="00625DE4"/>
    <w:rsid w:val="00627DB5"/>
    <w:rsid w:val="00631D92"/>
    <w:rsid w:val="006455A5"/>
    <w:rsid w:val="00646B4C"/>
    <w:rsid w:val="0065152F"/>
    <w:rsid w:val="00656A33"/>
    <w:rsid w:val="006628BA"/>
    <w:rsid w:val="006643B4"/>
    <w:rsid w:val="00683131"/>
    <w:rsid w:val="0069083E"/>
    <w:rsid w:val="00695EFB"/>
    <w:rsid w:val="006A01AA"/>
    <w:rsid w:val="006A3E34"/>
    <w:rsid w:val="006A5BA2"/>
    <w:rsid w:val="006B2581"/>
    <w:rsid w:val="006D4B07"/>
    <w:rsid w:val="007000D9"/>
    <w:rsid w:val="00706403"/>
    <w:rsid w:val="00713A41"/>
    <w:rsid w:val="007163EF"/>
    <w:rsid w:val="00735CD9"/>
    <w:rsid w:val="00747701"/>
    <w:rsid w:val="007561E7"/>
    <w:rsid w:val="007578E3"/>
    <w:rsid w:val="007629D3"/>
    <w:rsid w:val="00764798"/>
    <w:rsid w:val="007747D6"/>
    <w:rsid w:val="00785B78"/>
    <w:rsid w:val="007902AE"/>
    <w:rsid w:val="00794616"/>
    <w:rsid w:val="007A11AD"/>
    <w:rsid w:val="007B32C0"/>
    <w:rsid w:val="007C2FAC"/>
    <w:rsid w:val="007D448E"/>
    <w:rsid w:val="007D59A5"/>
    <w:rsid w:val="007E146C"/>
    <w:rsid w:val="007F7C51"/>
    <w:rsid w:val="008047DE"/>
    <w:rsid w:val="0081107F"/>
    <w:rsid w:val="00814912"/>
    <w:rsid w:val="008258BC"/>
    <w:rsid w:val="00826DC2"/>
    <w:rsid w:val="0082785A"/>
    <w:rsid w:val="008418A3"/>
    <w:rsid w:val="00843AA8"/>
    <w:rsid w:val="00845879"/>
    <w:rsid w:val="00847756"/>
    <w:rsid w:val="0085243E"/>
    <w:rsid w:val="00852EB6"/>
    <w:rsid w:val="008548AB"/>
    <w:rsid w:val="00861278"/>
    <w:rsid w:val="008633FA"/>
    <w:rsid w:val="008655C0"/>
    <w:rsid w:val="008702C3"/>
    <w:rsid w:val="0088053C"/>
    <w:rsid w:val="00883439"/>
    <w:rsid w:val="00884BC1"/>
    <w:rsid w:val="008900B4"/>
    <w:rsid w:val="0089100B"/>
    <w:rsid w:val="008A6E5F"/>
    <w:rsid w:val="008D28AF"/>
    <w:rsid w:val="008D30F9"/>
    <w:rsid w:val="008D53B2"/>
    <w:rsid w:val="008F02AF"/>
    <w:rsid w:val="00912169"/>
    <w:rsid w:val="00913DE9"/>
    <w:rsid w:val="0092037A"/>
    <w:rsid w:val="009246AD"/>
    <w:rsid w:val="00934366"/>
    <w:rsid w:val="0093473F"/>
    <w:rsid w:val="009505DD"/>
    <w:rsid w:val="00964A8A"/>
    <w:rsid w:val="00966323"/>
    <w:rsid w:val="00967A64"/>
    <w:rsid w:val="00986B8C"/>
    <w:rsid w:val="009A1DAF"/>
    <w:rsid w:val="009A63A4"/>
    <w:rsid w:val="009A7DC5"/>
    <w:rsid w:val="009B1A29"/>
    <w:rsid w:val="009B6A87"/>
    <w:rsid w:val="009C2D53"/>
    <w:rsid w:val="009C32C3"/>
    <w:rsid w:val="009C54C6"/>
    <w:rsid w:val="009D1B3A"/>
    <w:rsid w:val="009D38A8"/>
    <w:rsid w:val="009D3C16"/>
    <w:rsid w:val="009E1714"/>
    <w:rsid w:val="009E68FD"/>
    <w:rsid w:val="009F2E7E"/>
    <w:rsid w:val="009F3AC5"/>
    <w:rsid w:val="009F4045"/>
    <w:rsid w:val="009F778D"/>
    <w:rsid w:val="00A02D62"/>
    <w:rsid w:val="00A04615"/>
    <w:rsid w:val="00A20EB5"/>
    <w:rsid w:val="00A35576"/>
    <w:rsid w:val="00A458BA"/>
    <w:rsid w:val="00A46B6F"/>
    <w:rsid w:val="00A527DB"/>
    <w:rsid w:val="00A52D86"/>
    <w:rsid w:val="00A5342D"/>
    <w:rsid w:val="00A764EF"/>
    <w:rsid w:val="00A8526F"/>
    <w:rsid w:val="00AA4C84"/>
    <w:rsid w:val="00AA6B51"/>
    <w:rsid w:val="00AA7C4C"/>
    <w:rsid w:val="00AB0E4B"/>
    <w:rsid w:val="00AB1369"/>
    <w:rsid w:val="00AB156E"/>
    <w:rsid w:val="00AB34C5"/>
    <w:rsid w:val="00AD0408"/>
    <w:rsid w:val="00AD6384"/>
    <w:rsid w:val="00AF25AC"/>
    <w:rsid w:val="00AF26EE"/>
    <w:rsid w:val="00AF4F6D"/>
    <w:rsid w:val="00AF7961"/>
    <w:rsid w:val="00AF7F6A"/>
    <w:rsid w:val="00B05A88"/>
    <w:rsid w:val="00B232EF"/>
    <w:rsid w:val="00B44641"/>
    <w:rsid w:val="00B45FB3"/>
    <w:rsid w:val="00B4617D"/>
    <w:rsid w:val="00B47F9C"/>
    <w:rsid w:val="00B531E3"/>
    <w:rsid w:val="00B55E95"/>
    <w:rsid w:val="00B6363D"/>
    <w:rsid w:val="00B66A37"/>
    <w:rsid w:val="00B7134E"/>
    <w:rsid w:val="00B736A8"/>
    <w:rsid w:val="00B7618D"/>
    <w:rsid w:val="00B81C44"/>
    <w:rsid w:val="00B90729"/>
    <w:rsid w:val="00BB5064"/>
    <w:rsid w:val="00BC2849"/>
    <w:rsid w:val="00BC72D2"/>
    <w:rsid w:val="00BD2C44"/>
    <w:rsid w:val="00BD32CA"/>
    <w:rsid w:val="00BF0DF2"/>
    <w:rsid w:val="00C00652"/>
    <w:rsid w:val="00C10EE0"/>
    <w:rsid w:val="00C12556"/>
    <w:rsid w:val="00C13F21"/>
    <w:rsid w:val="00C35178"/>
    <w:rsid w:val="00C36C97"/>
    <w:rsid w:val="00C520B3"/>
    <w:rsid w:val="00C6170A"/>
    <w:rsid w:val="00C66891"/>
    <w:rsid w:val="00C74FAD"/>
    <w:rsid w:val="00C76A5E"/>
    <w:rsid w:val="00C813ED"/>
    <w:rsid w:val="00C827A6"/>
    <w:rsid w:val="00C84F96"/>
    <w:rsid w:val="00C87B3F"/>
    <w:rsid w:val="00C92B17"/>
    <w:rsid w:val="00C96FFF"/>
    <w:rsid w:val="00CA4C4F"/>
    <w:rsid w:val="00CE18B8"/>
    <w:rsid w:val="00CE4AC5"/>
    <w:rsid w:val="00CF123D"/>
    <w:rsid w:val="00CF73AB"/>
    <w:rsid w:val="00D318E5"/>
    <w:rsid w:val="00D32E24"/>
    <w:rsid w:val="00D36227"/>
    <w:rsid w:val="00D3734F"/>
    <w:rsid w:val="00D542EE"/>
    <w:rsid w:val="00D667CB"/>
    <w:rsid w:val="00D75139"/>
    <w:rsid w:val="00D80EDA"/>
    <w:rsid w:val="00D9120A"/>
    <w:rsid w:val="00D945F6"/>
    <w:rsid w:val="00D96842"/>
    <w:rsid w:val="00DA0B5B"/>
    <w:rsid w:val="00DD6DBB"/>
    <w:rsid w:val="00DE37DC"/>
    <w:rsid w:val="00DE514E"/>
    <w:rsid w:val="00E00B07"/>
    <w:rsid w:val="00E06D3B"/>
    <w:rsid w:val="00E074F2"/>
    <w:rsid w:val="00E320AF"/>
    <w:rsid w:val="00E40CEA"/>
    <w:rsid w:val="00E41A3C"/>
    <w:rsid w:val="00E42305"/>
    <w:rsid w:val="00E707E7"/>
    <w:rsid w:val="00E845F3"/>
    <w:rsid w:val="00E8482B"/>
    <w:rsid w:val="00E91482"/>
    <w:rsid w:val="00E9279D"/>
    <w:rsid w:val="00E95AE2"/>
    <w:rsid w:val="00E96302"/>
    <w:rsid w:val="00EA1D23"/>
    <w:rsid w:val="00EC04FB"/>
    <w:rsid w:val="00F01DFC"/>
    <w:rsid w:val="00F13459"/>
    <w:rsid w:val="00F134F5"/>
    <w:rsid w:val="00F152E9"/>
    <w:rsid w:val="00F214BF"/>
    <w:rsid w:val="00F24247"/>
    <w:rsid w:val="00F47B85"/>
    <w:rsid w:val="00F51BAA"/>
    <w:rsid w:val="00F53920"/>
    <w:rsid w:val="00F54BDD"/>
    <w:rsid w:val="00F5523C"/>
    <w:rsid w:val="00F5645C"/>
    <w:rsid w:val="00F60142"/>
    <w:rsid w:val="00F66089"/>
    <w:rsid w:val="00F767D2"/>
    <w:rsid w:val="00F919A6"/>
    <w:rsid w:val="00F93A6A"/>
    <w:rsid w:val="00FA51A7"/>
    <w:rsid w:val="00FC33BE"/>
    <w:rsid w:val="00FE6219"/>
    <w:rsid w:val="00FF2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3067A8"/>
  <w15:docId w15:val="{11FC86F9-D9D5-467A-B5FC-C09CD954D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jc w:val="both"/>
    </w:pPr>
    <w:rPr>
      <w:rFonts w:ascii="Times" w:hAnsi="Times"/>
      <w:sz w:val="24"/>
    </w:rPr>
  </w:style>
  <w:style w:type="paragraph" w:styleId="Titre1">
    <w:name w:val="heading 1"/>
    <w:basedOn w:val="Normal"/>
    <w:link w:val="Titre1Car"/>
    <w:uiPriority w:val="9"/>
    <w:qFormat/>
    <w:rsid w:val="003056E0"/>
    <w:pPr>
      <w:spacing w:before="100" w:beforeAutospacing="1" w:after="100" w:afterAutospacing="1"/>
      <w:jc w:val="left"/>
      <w:outlineLvl w:val="0"/>
    </w:pPr>
    <w:rPr>
      <w:rFonts w:ascii="Times New Roman" w:hAnsi="Times New Roman"/>
      <w:b/>
      <w:bCs/>
      <w:kern w:val="36"/>
      <w:sz w:val="48"/>
      <w:szCs w:val="48"/>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suivivisit">
    <w:name w:val="FollowedHyperlink"/>
    <w:uiPriority w:val="99"/>
    <w:rPr>
      <w:color w:val="800080"/>
      <w:u w:val="single"/>
    </w:rPr>
  </w:style>
  <w:style w:type="paragraph" w:styleId="Corpsdetexte">
    <w:name w:val="Body Text"/>
    <w:basedOn w:val="Normal"/>
    <w:pPr>
      <w:jc w:val="center"/>
    </w:pPr>
    <w:rPr>
      <w:b/>
      <w:sz w:val="40"/>
    </w:rPr>
  </w:style>
  <w:style w:type="paragraph" w:styleId="Notedebasdepage">
    <w:name w:val="footnote text"/>
    <w:basedOn w:val="Normal"/>
    <w:next w:val="TFReferencesSection"/>
    <w:link w:val="NotedebasdepageCar"/>
    <w:uiPriority w:val="99"/>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link w:val="TAMainTextCar"/>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uiPriority w:val="99"/>
    <w:qFormat/>
    <w:pPr>
      <w:spacing w:after="240" w:line="480" w:lineRule="auto"/>
      <w:jc w:val="center"/>
    </w:pPr>
    <w:rPr>
      <w:i/>
    </w:rPr>
  </w:style>
  <w:style w:type="paragraph" w:customStyle="1" w:styleId="BCAuthorAddress">
    <w:name w:val="BC_Author_Address"/>
    <w:basedOn w:val="Normal"/>
    <w:next w:val="BIEmailAddress"/>
    <w:uiPriority w:val="99"/>
    <w:qFormat/>
    <w:pPr>
      <w:spacing w:after="240" w:line="480" w:lineRule="auto"/>
      <w:jc w:val="center"/>
    </w:pPr>
  </w:style>
  <w:style w:type="paragraph" w:customStyle="1" w:styleId="BIEmailAddress">
    <w:name w:val="BI_Email_Address"/>
    <w:basedOn w:val="Normal"/>
    <w:next w:val="AIReceivedDate"/>
    <w:qFormat/>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link w:val="TDAcknowledgmentsChar"/>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uiPriority w:val="99"/>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link w:val="TCTableBodyChar"/>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Lienhypertexte">
    <w:name w:val="Hyperlink"/>
    <w:uiPriority w:val="99"/>
    <w:rPr>
      <w:color w:val="0000FF"/>
      <w:u w:val="single"/>
    </w:rPr>
  </w:style>
  <w:style w:type="paragraph" w:styleId="Pieddepage">
    <w:name w:val="footer"/>
    <w:basedOn w:val="Normal"/>
    <w:link w:val="PieddepageCar"/>
    <w:uiPriority w:val="99"/>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Numrodepage">
    <w:name w:val="page number"/>
    <w:basedOn w:val="Policepardfaut"/>
  </w:style>
  <w:style w:type="paragraph" w:styleId="Textedebulles">
    <w:name w:val="Balloon Text"/>
    <w:basedOn w:val="Normal"/>
    <w:link w:val="TextedebullesCar"/>
    <w:uiPriority w:val="99"/>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uiPriority w:val="99"/>
    <w:rsid w:val="001A7A90"/>
    <w:pPr>
      <w:autoSpaceDE w:val="0"/>
      <w:autoSpaceDN w:val="0"/>
      <w:adjustRightInd w:val="0"/>
    </w:pPr>
    <w:rPr>
      <w:rFonts w:ascii="Symbol" w:hAnsi="Symbol" w:cs="Symbol"/>
      <w:color w:val="000000"/>
      <w:sz w:val="24"/>
      <w:szCs w:val="24"/>
    </w:rPr>
  </w:style>
  <w:style w:type="paragraph" w:styleId="Bibliographie">
    <w:name w:val="Bibliography"/>
    <w:basedOn w:val="Normal"/>
    <w:next w:val="Normal"/>
    <w:uiPriority w:val="37"/>
    <w:unhideWhenUsed/>
    <w:rsid w:val="007163EF"/>
    <w:pPr>
      <w:tabs>
        <w:tab w:val="left" w:pos="504"/>
      </w:tabs>
      <w:spacing w:after="0"/>
      <w:ind w:left="504" w:hanging="504"/>
    </w:pPr>
  </w:style>
  <w:style w:type="table" w:styleId="Grilledutableau">
    <w:name w:val="Table Grid"/>
    <w:basedOn w:val="TableauNormal"/>
    <w:uiPriority w:val="59"/>
    <w:rsid w:val="009F778D"/>
    <w:rPr>
      <w:rFonts w:asciiTheme="minorHAnsi" w:eastAsiaTheme="minorHAnsi"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mbrageclair1">
    <w:name w:val="Ombrage clair1"/>
    <w:basedOn w:val="TableauNormal"/>
    <w:uiPriority w:val="60"/>
    <w:rsid w:val="00FC33BE"/>
    <w:rPr>
      <w:rFonts w:asciiTheme="minorHAnsi" w:eastAsiaTheme="minorHAnsi" w:hAnsiTheme="minorHAnsi" w:cstheme="minorBidi"/>
      <w:color w:val="000000" w:themeColor="text1" w:themeShade="BF"/>
      <w:sz w:val="22"/>
      <w:szCs w:val="22"/>
      <w:lang w:val="fr-F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bstract">
    <w:name w:val="Abstract"/>
    <w:basedOn w:val="Normal"/>
    <w:autoRedefine/>
    <w:uiPriority w:val="99"/>
    <w:rsid w:val="009C2D53"/>
    <w:pPr>
      <w:spacing w:after="0" w:line="480" w:lineRule="auto"/>
    </w:pPr>
    <w:rPr>
      <w:rFonts w:ascii="Times New Roman" w:eastAsia="MS Mincho" w:hAnsi="Times New Roman"/>
      <w:szCs w:val="24"/>
      <w:lang w:eastAsia="ja-JP"/>
    </w:rPr>
  </w:style>
  <w:style w:type="character" w:customStyle="1" w:styleId="Titre1Car">
    <w:name w:val="Titre 1 Car"/>
    <w:basedOn w:val="Policepardfaut"/>
    <w:link w:val="Titre1"/>
    <w:uiPriority w:val="9"/>
    <w:rsid w:val="003056E0"/>
    <w:rPr>
      <w:rFonts w:ascii="Times New Roman" w:hAnsi="Times New Roman"/>
      <w:b/>
      <w:bCs/>
      <w:kern w:val="36"/>
      <w:sz w:val="48"/>
      <w:szCs w:val="48"/>
      <w:lang w:val="fr-FR" w:eastAsia="fr-FR"/>
    </w:rPr>
  </w:style>
  <w:style w:type="paragraph" w:styleId="NormalWeb">
    <w:name w:val="Normal (Web)"/>
    <w:basedOn w:val="Normal"/>
    <w:uiPriority w:val="99"/>
    <w:semiHidden/>
    <w:unhideWhenUsed/>
    <w:rsid w:val="003056E0"/>
    <w:pPr>
      <w:spacing w:before="100" w:beforeAutospacing="1" w:after="100" w:afterAutospacing="1"/>
      <w:jc w:val="left"/>
    </w:pPr>
    <w:rPr>
      <w:rFonts w:ascii="Times New Roman" w:eastAsiaTheme="minorEastAsia" w:hAnsi="Times New Roman"/>
      <w:szCs w:val="24"/>
      <w:lang w:val="fr-FR" w:eastAsia="fr-FR"/>
    </w:rPr>
  </w:style>
  <w:style w:type="character" w:customStyle="1" w:styleId="NotedebasdepageCar">
    <w:name w:val="Note de bas de page Car"/>
    <w:basedOn w:val="Policepardfaut"/>
    <w:link w:val="Notedebasdepage"/>
    <w:uiPriority w:val="99"/>
    <w:semiHidden/>
    <w:rsid w:val="003056E0"/>
    <w:rPr>
      <w:rFonts w:ascii="Times" w:hAnsi="Times"/>
      <w:sz w:val="24"/>
    </w:rPr>
  </w:style>
  <w:style w:type="paragraph" w:styleId="Commentaire">
    <w:name w:val="annotation text"/>
    <w:basedOn w:val="Normal"/>
    <w:link w:val="CommentaireCar"/>
    <w:uiPriority w:val="99"/>
    <w:semiHidden/>
    <w:unhideWhenUsed/>
    <w:rsid w:val="003056E0"/>
    <w:pPr>
      <w:spacing w:after="0"/>
      <w:jc w:val="left"/>
    </w:pPr>
    <w:rPr>
      <w:rFonts w:ascii="Times New Roman" w:eastAsia="MS Mincho" w:hAnsi="Times New Roman"/>
      <w:sz w:val="20"/>
      <w:lang w:val="x-none" w:eastAsia="ja-JP"/>
    </w:rPr>
  </w:style>
  <w:style w:type="character" w:customStyle="1" w:styleId="CommentaireCar">
    <w:name w:val="Commentaire Car"/>
    <w:basedOn w:val="Policepardfaut"/>
    <w:link w:val="Commentaire"/>
    <w:uiPriority w:val="99"/>
    <w:semiHidden/>
    <w:rsid w:val="003056E0"/>
    <w:rPr>
      <w:rFonts w:ascii="Times New Roman" w:eastAsia="MS Mincho" w:hAnsi="Times New Roman"/>
      <w:lang w:val="x-none" w:eastAsia="ja-JP"/>
    </w:rPr>
  </w:style>
  <w:style w:type="paragraph" w:styleId="En-tte">
    <w:name w:val="header"/>
    <w:basedOn w:val="Normal"/>
    <w:link w:val="En-tteCar"/>
    <w:uiPriority w:val="99"/>
    <w:semiHidden/>
    <w:unhideWhenUsed/>
    <w:rsid w:val="003056E0"/>
    <w:pPr>
      <w:tabs>
        <w:tab w:val="center" w:pos="4536"/>
        <w:tab w:val="right" w:pos="9072"/>
      </w:tabs>
      <w:spacing w:after="0"/>
      <w:jc w:val="left"/>
    </w:pPr>
    <w:rPr>
      <w:rFonts w:ascii="Times New Roman" w:eastAsia="MS Mincho" w:hAnsi="Times New Roman"/>
      <w:szCs w:val="24"/>
      <w:lang w:val="x-none" w:eastAsia="ja-JP"/>
    </w:rPr>
  </w:style>
  <w:style w:type="character" w:customStyle="1" w:styleId="En-tteCar">
    <w:name w:val="En-tête Car"/>
    <w:basedOn w:val="Policepardfaut"/>
    <w:link w:val="En-tte"/>
    <w:uiPriority w:val="99"/>
    <w:semiHidden/>
    <w:rsid w:val="003056E0"/>
    <w:rPr>
      <w:rFonts w:ascii="Times New Roman" w:eastAsia="MS Mincho" w:hAnsi="Times New Roman"/>
      <w:sz w:val="24"/>
      <w:szCs w:val="24"/>
      <w:lang w:val="x-none" w:eastAsia="ja-JP"/>
    </w:rPr>
  </w:style>
  <w:style w:type="character" w:customStyle="1" w:styleId="PieddepageCar">
    <w:name w:val="Pied de page Car"/>
    <w:basedOn w:val="Policepardfaut"/>
    <w:link w:val="Pieddepage"/>
    <w:uiPriority w:val="99"/>
    <w:rsid w:val="003056E0"/>
    <w:rPr>
      <w:rFonts w:ascii="Times" w:hAnsi="Times"/>
      <w:sz w:val="24"/>
    </w:rPr>
  </w:style>
  <w:style w:type="paragraph" w:styleId="Notedefin">
    <w:name w:val="endnote text"/>
    <w:basedOn w:val="Normal"/>
    <w:link w:val="NotedefinCar"/>
    <w:uiPriority w:val="99"/>
    <w:semiHidden/>
    <w:unhideWhenUsed/>
    <w:rsid w:val="003056E0"/>
    <w:pPr>
      <w:spacing w:after="0"/>
      <w:jc w:val="left"/>
    </w:pPr>
    <w:rPr>
      <w:rFonts w:ascii="Times New Roman" w:eastAsia="MS Mincho" w:hAnsi="Times New Roman"/>
      <w:sz w:val="20"/>
      <w:lang w:val="de-DE" w:eastAsia="ja-JP"/>
    </w:rPr>
  </w:style>
  <w:style w:type="character" w:customStyle="1" w:styleId="NotedefinCar">
    <w:name w:val="Note de fin Car"/>
    <w:basedOn w:val="Policepardfaut"/>
    <w:link w:val="Notedefin"/>
    <w:uiPriority w:val="99"/>
    <w:semiHidden/>
    <w:rsid w:val="003056E0"/>
    <w:rPr>
      <w:rFonts w:ascii="Times New Roman" w:eastAsia="MS Mincho" w:hAnsi="Times New Roman"/>
      <w:lang w:val="de-DE" w:eastAsia="ja-JP"/>
    </w:rPr>
  </w:style>
  <w:style w:type="paragraph" w:styleId="Objetducommentaire">
    <w:name w:val="annotation subject"/>
    <w:basedOn w:val="Commentaire"/>
    <w:next w:val="Commentaire"/>
    <w:link w:val="ObjetducommentaireCar"/>
    <w:uiPriority w:val="99"/>
    <w:semiHidden/>
    <w:unhideWhenUsed/>
    <w:rsid w:val="003056E0"/>
    <w:rPr>
      <w:b/>
      <w:bCs/>
    </w:rPr>
  </w:style>
  <w:style w:type="character" w:customStyle="1" w:styleId="ObjetducommentaireCar">
    <w:name w:val="Objet du commentaire Car"/>
    <w:basedOn w:val="CommentaireCar"/>
    <w:link w:val="Objetducommentaire"/>
    <w:uiPriority w:val="99"/>
    <w:semiHidden/>
    <w:rsid w:val="003056E0"/>
    <w:rPr>
      <w:rFonts w:ascii="Times New Roman" w:eastAsia="MS Mincho" w:hAnsi="Times New Roman"/>
      <w:b/>
      <w:bCs/>
      <w:lang w:val="x-none" w:eastAsia="ja-JP"/>
    </w:rPr>
  </w:style>
  <w:style w:type="character" w:customStyle="1" w:styleId="TextedebullesCar">
    <w:name w:val="Texte de bulles Car"/>
    <w:basedOn w:val="Policepardfaut"/>
    <w:link w:val="Textedebulles"/>
    <w:uiPriority w:val="99"/>
    <w:semiHidden/>
    <w:rsid w:val="003056E0"/>
    <w:rPr>
      <w:rFonts w:ascii="Tahoma" w:hAnsi="Tahoma" w:cs="Tahoma"/>
      <w:sz w:val="16"/>
      <w:szCs w:val="16"/>
    </w:rPr>
  </w:style>
  <w:style w:type="paragraph" w:styleId="Rvision">
    <w:name w:val="Revision"/>
    <w:uiPriority w:val="99"/>
    <w:semiHidden/>
    <w:rsid w:val="003056E0"/>
    <w:rPr>
      <w:rFonts w:ascii="Times New Roman" w:eastAsia="MS Mincho" w:hAnsi="Times New Roman"/>
      <w:sz w:val="24"/>
      <w:szCs w:val="24"/>
      <w:lang w:val="de-DE" w:eastAsia="ja-JP"/>
    </w:rPr>
  </w:style>
  <w:style w:type="paragraph" w:styleId="Paragraphedeliste">
    <w:name w:val="List Paragraph"/>
    <w:basedOn w:val="Normal"/>
    <w:uiPriority w:val="34"/>
    <w:qFormat/>
    <w:rsid w:val="003056E0"/>
    <w:pPr>
      <w:spacing w:after="0"/>
      <w:ind w:left="720"/>
      <w:contextualSpacing/>
      <w:jc w:val="left"/>
    </w:pPr>
    <w:rPr>
      <w:rFonts w:ascii="Times New Roman" w:eastAsia="MS Mincho" w:hAnsi="Times New Roman"/>
      <w:szCs w:val="24"/>
      <w:lang w:val="de-DE" w:eastAsia="ja-JP"/>
    </w:rPr>
  </w:style>
  <w:style w:type="paragraph" w:customStyle="1" w:styleId="History">
    <w:name w:val="History"/>
    <w:basedOn w:val="Normal"/>
    <w:uiPriority w:val="99"/>
    <w:semiHidden/>
    <w:rsid w:val="003056E0"/>
    <w:pPr>
      <w:spacing w:before="230" w:after="460" w:line="180" w:lineRule="exact"/>
      <w:jc w:val="right"/>
    </w:pPr>
    <w:rPr>
      <w:rFonts w:ascii="Arial" w:eastAsia="MS Mincho" w:hAnsi="Arial"/>
      <w:sz w:val="14"/>
      <w:szCs w:val="16"/>
      <w:lang w:val="de-DE" w:eastAsia="ja-JP"/>
    </w:rPr>
  </w:style>
  <w:style w:type="paragraph" w:customStyle="1" w:styleId="References">
    <w:name w:val="References"/>
    <w:basedOn w:val="Normal"/>
    <w:uiPriority w:val="99"/>
    <w:semiHidden/>
    <w:rsid w:val="003056E0"/>
    <w:pPr>
      <w:spacing w:after="0" w:line="200" w:lineRule="exact"/>
      <w:ind w:left="425" w:hanging="425"/>
    </w:pPr>
    <w:rPr>
      <w:rFonts w:ascii="Times New Roman" w:eastAsia="MS Mincho" w:hAnsi="Times New Roman"/>
      <w:sz w:val="15"/>
      <w:szCs w:val="14"/>
      <w:lang w:val="en-GB" w:eastAsia="ja-JP"/>
    </w:rPr>
  </w:style>
  <w:style w:type="paragraph" w:customStyle="1" w:styleId="HExperimentalSection">
    <w:name w:val="HExperimental_Section"/>
    <w:basedOn w:val="Normal"/>
    <w:uiPriority w:val="99"/>
    <w:semiHidden/>
    <w:rsid w:val="003056E0"/>
    <w:pPr>
      <w:spacing w:before="460" w:after="230" w:line="230" w:lineRule="atLeast"/>
      <w:jc w:val="left"/>
    </w:pPr>
    <w:rPr>
      <w:rFonts w:ascii="Times New Roman" w:eastAsia="MS Mincho" w:hAnsi="Times New Roman"/>
      <w:i/>
      <w:lang w:val="de-DE" w:eastAsia="ja-JP"/>
    </w:rPr>
  </w:style>
  <w:style w:type="paragraph" w:customStyle="1" w:styleId="ExperimentalSection">
    <w:name w:val="ExperimentalSection"/>
    <w:basedOn w:val="Normal"/>
    <w:uiPriority w:val="99"/>
    <w:semiHidden/>
    <w:rsid w:val="003056E0"/>
    <w:pPr>
      <w:spacing w:after="240" w:line="200" w:lineRule="exact"/>
      <w:ind w:firstLine="170"/>
    </w:pPr>
    <w:rPr>
      <w:rFonts w:ascii="Times New Roman" w:eastAsia="MS Mincho" w:hAnsi="Times New Roman"/>
      <w:sz w:val="16"/>
      <w:szCs w:val="14"/>
      <w:lang w:val="en-GB" w:eastAsia="ja-JP"/>
    </w:rPr>
  </w:style>
  <w:style w:type="character" w:customStyle="1" w:styleId="FNBChar">
    <w:name w:val="FNB Char"/>
    <w:link w:val="FNB"/>
    <w:semiHidden/>
    <w:locked/>
    <w:rsid w:val="003056E0"/>
    <w:rPr>
      <w:rFonts w:ascii="Times" w:hAnsi="Times" w:cs="Times"/>
      <w:sz w:val="14"/>
      <w:szCs w:val="3276"/>
      <w:lang w:val="en-GB" w:eastAsia="de-DE"/>
    </w:rPr>
  </w:style>
  <w:style w:type="paragraph" w:customStyle="1" w:styleId="FNB">
    <w:name w:val="FNB"/>
    <w:basedOn w:val="Normal"/>
    <w:link w:val="FNBChar"/>
    <w:semiHidden/>
    <w:rsid w:val="003056E0"/>
    <w:pPr>
      <w:widowControl w:val="0"/>
      <w:spacing w:after="40" w:line="160" w:lineRule="exact"/>
      <w:ind w:left="567" w:right="4434" w:hanging="567"/>
    </w:pPr>
    <w:rPr>
      <w:rFonts w:cs="Times"/>
      <w:sz w:val="14"/>
      <w:szCs w:val="3276"/>
      <w:lang w:val="en-GB" w:eastAsia="de-DE"/>
    </w:rPr>
  </w:style>
  <w:style w:type="paragraph" w:customStyle="1" w:styleId="Ack">
    <w:name w:val="Ack"/>
    <w:basedOn w:val="Normal"/>
    <w:uiPriority w:val="99"/>
    <w:semiHidden/>
    <w:rsid w:val="003056E0"/>
    <w:pPr>
      <w:spacing w:after="0"/>
      <w:jc w:val="left"/>
    </w:pPr>
    <w:rPr>
      <w:rFonts w:ascii="Times New Roman" w:eastAsia="MS Mincho" w:hAnsi="Times New Roman"/>
      <w:szCs w:val="24"/>
      <w:lang w:val="de-DE" w:eastAsia="ja-JP"/>
    </w:rPr>
  </w:style>
  <w:style w:type="paragraph" w:customStyle="1" w:styleId="TableCaption">
    <w:name w:val="TableCaption"/>
    <w:basedOn w:val="Normal"/>
    <w:uiPriority w:val="99"/>
    <w:semiHidden/>
    <w:rsid w:val="003056E0"/>
    <w:pPr>
      <w:spacing w:after="120" w:line="190" w:lineRule="exact"/>
    </w:pPr>
    <w:rPr>
      <w:rFonts w:ascii="Arial" w:eastAsia="MS Mincho" w:hAnsi="Arial"/>
      <w:sz w:val="16"/>
      <w:szCs w:val="14"/>
      <w:lang w:val="en-GB" w:eastAsia="ja-JP"/>
    </w:rPr>
  </w:style>
  <w:style w:type="paragraph" w:customStyle="1" w:styleId="TableHead">
    <w:name w:val="TableHead"/>
    <w:basedOn w:val="TableCaption"/>
    <w:uiPriority w:val="99"/>
    <w:semiHidden/>
    <w:rsid w:val="003056E0"/>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uiPriority w:val="99"/>
    <w:semiHidden/>
    <w:rsid w:val="003056E0"/>
  </w:style>
  <w:style w:type="paragraph" w:customStyle="1" w:styleId="TableFoot">
    <w:name w:val="TableFoot"/>
    <w:basedOn w:val="TableBody"/>
    <w:uiPriority w:val="99"/>
    <w:semiHidden/>
    <w:rsid w:val="003056E0"/>
    <w:pPr>
      <w:spacing w:before="60" w:after="60"/>
    </w:pPr>
  </w:style>
  <w:style w:type="paragraph" w:customStyle="1" w:styleId="SchemeCaption">
    <w:name w:val="SchemeCaption"/>
    <w:basedOn w:val="Normal"/>
    <w:uiPriority w:val="99"/>
    <w:semiHidden/>
    <w:rsid w:val="003056E0"/>
    <w:pPr>
      <w:spacing w:before="230" w:after="460" w:line="190" w:lineRule="exact"/>
    </w:pPr>
    <w:rPr>
      <w:rFonts w:ascii="Arial" w:eastAsia="MS Mincho" w:hAnsi="Arial"/>
      <w:sz w:val="16"/>
      <w:szCs w:val="14"/>
      <w:lang w:val="en-GB" w:eastAsia="ja-JP"/>
    </w:rPr>
  </w:style>
  <w:style w:type="character" w:customStyle="1" w:styleId="STOEChar1">
    <w:name w:val="STOE Char1"/>
    <w:link w:val="STOE"/>
    <w:semiHidden/>
    <w:locked/>
    <w:rsid w:val="003056E0"/>
    <w:rPr>
      <w:rFonts w:ascii="Times" w:hAnsi="Times" w:cs="Times"/>
      <w:sz w:val="18"/>
      <w:szCs w:val="3276"/>
      <w:lang w:val="en-GB" w:eastAsia="de-DE"/>
    </w:rPr>
  </w:style>
  <w:style w:type="paragraph" w:customStyle="1" w:styleId="STOE">
    <w:name w:val="STOE"/>
    <w:basedOn w:val="Normal"/>
    <w:link w:val="STOEChar1"/>
    <w:semiHidden/>
    <w:rsid w:val="003056E0"/>
    <w:pPr>
      <w:widowControl w:val="0"/>
      <w:spacing w:after="0" w:line="236" w:lineRule="exact"/>
      <w:ind w:right="4434"/>
    </w:pPr>
    <w:rPr>
      <w:rFonts w:cs="Times"/>
      <w:sz w:val="18"/>
      <w:szCs w:val="3276"/>
      <w:lang w:val="en-GB" w:eastAsia="de-DE"/>
    </w:rPr>
  </w:style>
  <w:style w:type="paragraph" w:customStyle="1" w:styleId="Title1">
    <w:name w:val="Title1"/>
    <w:basedOn w:val="Normal"/>
    <w:uiPriority w:val="99"/>
    <w:semiHidden/>
    <w:rsid w:val="003056E0"/>
    <w:pPr>
      <w:spacing w:after="0"/>
      <w:jc w:val="left"/>
    </w:pPr>
    <w:rPr>
      <w:rFonts w:ascii="Times New Roman" w:eastAsia="MS Mincho" w:hAnsi="Times New Roman"/>
      <w:b/>
      <w:szCs w:val="24"/>
      <w:lang w:eastAsia="ja-JP"/>
    </w:rPr>
  </w:style>
  <w:style w:type="paragraph" w:customStyle="1" w:styleId="AuthorsFull">
    <w:name w:val="Authors Full"/>
    <w:basedOn w:val="Normal"/>
    <w:uiPriority w:val="99"/>
    <w:semiHidden/>
    <w:rsid w:val="003056E0"/>
    <w:pPr>
      <w:spacing w:after="0"/>
      <w:jc w:val="left"/>
    </w:pPr>
    <w:rPr>
      <w:rFonts w:ascii="Times New Roman" w:eastAsia="MS Mincho" w:hAnsi="Times New Roman"/>
      <w:i/>
      <w:szCs w:val="24"/>
      <w:lang w:eastAsia="ja-JP"/>
    </w:rPr>
  </w:style>
  <w:style w:type="paragraph" w:customStyle="1" w:styleId="dedication">
    <w:name w:val="dedication"/>
    <w:basedOn w:val="Normal"/>
    <w:uiPriority w:val="99"/>
    <w:semiHidden/>
    <w:rsid w:val="003056E0"/>
    <w:pPr>
      <w:spacing w:after="0"/>
      <w:jc w:val="left"/>
    </w:pPr>
    <w:rPr>
      <w:rFonts w:ascii="Times New Roman" w:eastAsia="MS Mincho" w:hAnsi="Times New Roman"/>
      <w:i/>
      <w:szCs w:val="24"/>
      <w:lang w:eastAsia="ja-JP"/>
    </w:rPr>
  </w:style>
  <w:style w:type="paragraph" w:customStyle="1" w:styleId="Addresses">
    <w:name w:val="Addresses"/>
    <w:basedOn w:val="Normal"/>
    <w:uiPriority w:val="99"/>
    <w:semiHidden/>
    <w:rsid w:val="003056E0"/>
    <w:pPr>
      <w:spacing w:after="0"/>
      <w:jc w:val="left"/>
    </w:pPr>
    <w:rPr>
      <w:rFonts w:ascii="Times New Roman" w:eastAsia="MS Mincho" w:hAnsi="Times New Roman"/>
      <w:szCs w:val="24"/>
      <w:lang w:eastAsia="ja-JP"/>
    </w:rPr>
  </w:style>
  <w:style w:type="paragraph" w:customStyle="1" w:styleId="Acknowledgements">
    <w:name w:val="Acknowledgements"/>
    <w:basedOn w:val="Normal"/>
    <w:uiPriority w:val="99"/>
    <w:semiHidden/>
    <w:rsid w:val="003056E0"/>
    <w:pPr>
      <w:spacing w:after="0"/>
      <w:jc w:val="left"/>
    </w:pPr>
    <w:rPr>
      <w:rFonts w:ascii="Times New Roman" w:eastAsia="MS Mincho" w:hAnsi="Times New Roman"/>
      <w:szCs w:val="24"/>
      <w:lang w:eastAsia="ja-JP"/>
    </w:rPr>
  </w:style>
  <w:style w:type="paragraph" w:customStyle="1" w:styleId="Head1">
    <w:name w:val="Head 1"/>
    <w:basedOn w:val="Normal"/>
    <w:autoRedefine/>
    <w:uiPriority w:val="99"/>
    <w:semiHidden/>
    <w:rsid w:val="003056E0"/>
    <w:pPr>
      <w:spacing w:after="0" w:line="480" w:lineRule="auto"/>
    </w:pPr>
    <w:rPr>
      <w:rFonts w:ascii="Times New Roman" w:eastAsia="MS Mincho" w:hAnsi="Times New Roman"/>
      <w:b/>
      <w:szCs w:val="24"/>
      <w:lang w:eastAsia="ja-JP"/>
    </w:rPr>
  </w:style>
  <w:style w:type="paragraph" w:customStyle="1" w:styleId="Head2">
    <w:name w:val="Head 2"/>
    <w:basedOn w:val="Normal"/>
    <w:autoRedefine/>
    <w:uiPriority w:val="99"/>
    <w:semiHidden/>
    <w:rsid w:val="003056E0"/>
    <w:pPr>
      <w:spacing w:after="0" w:line="360" w:lineRule="auto"/>
      <w:jc w:val="left"/>
    </w:pPr>
    <w:rPr>
      <w:rFonts w:ascii="Times New Roman" w:eastAsia="MS Mincho" w:hAnsi="Times New Roman"/>
      <w:i/>
      <w:szCs w:val="24"/>
      <w:lang w:eastAsia="ja-JP"/>
    </w:rPr>
  </w:style>
  <w:style w:type="paragraph" w:customStyle="1" w:styleId="dates">
    <w:name w:val="dates"/>
    <w:basedOn w:val="Normal"/>
    <w:uiPriority w:val="99"/>
    <w:semiHidden/>
    <w:rsid w:val="003056E0"/>
    <w:pPr>
      <w:spacing w:after="0"/>
      <w:jc w:val="right"/>
    </w:pPr>
    <w:rPr>
      <w:rFonts w:ascii="Times New Roman" w:eastAsia="MS Mincho" w:hAnsi="Times New Roman"/>
      <w:szCs w:val="24"/>
      <w:lang w:eastAsia="ja-JP"/>
    </w:rPr>
  </w:style>
  <w:style w:type="paragraph" w:customStyle="1" w:styleId="Literature">
    <w:name w:val="Literature"/>
    <w:basedOn w:val="Normal"/>
    <w:uiPriority w:val="99"/>
    <w:semiHidden/>
    <w:rsid w:val="003056E0"/>
    <w:pPr>
      <w:spacing w:after="0" w:line="480" w:lineRule="auto"/>
      <w:jc w:val="left"/>
    </w:pPr>
    <w:rPr>
      <w:rFonts w:ascii="Times New Roman" w:eastAsia="MS Mincho" w:hAnsi="Times New Roman"/>
      <w:szCs w:val="24"/>
      <w:lang w:val="de-DE" w:eastAsia="ja-JP"/>
    </w:rPr>
  </w:style>
  <w:style w:type="paragraph" w:customStyle="1" w:styleId="Legend">
    <w:name w:val="Legend"/>
    <w:basedOn w:val="Normal"/>
    <w:uiPriority w:val="99"/>
    <w:semiHidden/>
    <w:rsid w:val="003056E0"/>
    <w:pPr>
      <w:spacing w:after="0"/>
      <w:jc w:val="left"/>
    </w:pPr>
    <w:rPr>
      <w:rFonts w:ascii="Times New Roman" w:eastAsia="MS Mincho" w:hAnsi="Times New Roman"/>
      <w:szCs w:val="24"/>
      <w:lang w:eastAsia="ja-JP"/>
    </w:rPr>
  </w:style>
  <w:style w:type="character" w:customStyle="1" w:styleId="MainTextChar">
    <w:name w:val="Main Text Char"/>
    <w:link w:val="MainText"/>
    <w:semiHidden/>
    <w:locked/>
    <w:rsid w:val="003056E0"/>
    <w:rPr>
      <w:sz w:val="24"/>
      <w:szCs w:val="24"/>
      <w:lang w:eastAsia="ja-JP"/>
    </w:rPr>
  </w:style>
  <w:style w:type="paragraph" w:customStyle="1" w:styleId="MainText">
    <w:name w:val="Main Text"/>
    <w:basedOn w:val="Normal"/>
    <w:link w:val="MainTextChar"/>
    <w:semiHidden/>
    <w:rsid w:val="003056E0"/>
    <w:pPr>
      <w:spacing w:after="0" w:line="480" w:lineRule="auto"/>
      <w:jc w:val="left"/>
    </w:pPr>
    <w:rPr>
      <w:rFonts w:ascii="New York" w:hAnsi="New York"/>
      <w:szCs w:val="24"/>
      <w:lang w:eastAsia="ja-JP"/>
    </w:rPr>
  </w:style>
  <w:style w:type="paragraph" w:customStyle="1" w:styleId="Tableofcontents">
    <w:name w:val="Table of contents"/>
    <w:basedOn w:val="Normal"/>
    <w:autoRedefine/>
    <w:uiPriority w:val="99"/>
    <w:semiHidden/>
    <w:rsid w:val="003056E0"/>
    <w:pPr>
      <w:spacing w:after="0"/>
      <w:jc w:val="left"/>
    </w:pPr>
    <w:rPr>
      <w:rFonts w:ascii="Times New Roman" w:eastAsia="MS Mincho" w:hAnsi="Times New Roman"/>
      <w:szCs w:val="24"/>
      <w:lang w:eastAsia="ja-JP"/>
    </w:rPr>
  </w:style>
  <w:style w:type="character" w:customStyle="1" w:styleId="ExperimentalTextChar">
    <w:name w:val="Experimental Text Char"/>
    <w:link w:val="ExperimentalText"/>
    <w:semiHidden/>
    <w:locked/>
    <w:rsid w:val="003056E0"/>
    <w:rPr>
      <w:sz w:val="24"/>
      <w:szCs w:val="24"/>
      <w:lang w:eastAsia="ja-JP"/>
    </w:rPr>
  </w:style>
  <w:style w:type="paragraph" w:customStyle="1" w:styleId="ExperimentalText">
    <w:name w:val="Experimental Text"/>
    <w:basedOn w:val="Normal"/>
    <w:link w:val="ExperimentalTextChar"/>
    <w:semiHidden/>
    <w:rsid w:val="003056E0"/>
    <w:pPr>
      <w:spacing w:after="0" w:line="480" w:lineRule="auto"/>
      <w:jc w:val="left"/>
    </w:pPr>
    <w:rPr>
      <w:rFonts w:ascii="New York" w:hAnsi="New York"/>
      <w:szCs w:val="24"/>
      <w:lang w:eastAsia="ja-JP"/>
    </w:rPr>
  </w:style>
  <w:style w:type="paragraph" w:customStyle="1" w:styleId="Title2">
    <w:name w:val="Title2"/>
    <w:basedOn w:val="Normal"/>
    <w:uiPriority w:val="99"/>
    <w:semiHidden/>
    <w:rsid w:val="003056E0"/>
    <w:pPr>
      <w:spacing w:after="0"/>
      <w:jc w:val="left"/>
    </w:pPr>
    <w:rPr>
      <w:rFonts w:ascii="Times New Roman" w:eastAsia="MS Mincho" w:hAnsi="Times New Roman"/>
      <w:b/>
      <w:szCs w:val="24"/>
      <w:lang w:eastAsia="ja-JP"/>
    </w:rPr>
  </w:style>
  <w:style w:type="paragraph" w:customStyle="1" w:styleId="Dedication0">
    <w:name w:val="Dedication"/>
    <w:basedOn w:val="Normal"/>
    <w:autoRedefine/>
    <w:uiPriority w:val="99"/>
    <w:semiHidden/>
    <w:rsid w:val="003056E0"/>
    <w:pPr>
      <w:spacing w:after="0"/>
      <w:jc w:val="left"/>
    </w:pPr>
    <w:rPr>
      <w:rFonts w:ascii="Times New Roman" w:eastAsia="MS Mincho" w:hAnsi="Times New Roman"/>
      <w:szCs w:val="24"/>
      <w:lang w:eastAsia="ja-JP"/>
    </w:rPr>
  </w:style>
  <w:style w:type="character" w:customStyle="1" w:styleId="MaintextChar0">
    <w:name w:val="Main text Char"/>
    <w:link w:val="Maintext0"/>
    <w:semiHidden/>
    <w:locked/>
    <w:rsid w:val="003056E0"/>
    <w:rPr>
      <w:sz w:val="24"/>
      <w:szCs w:val="24"/>
      <w:lang w:eastAsia="ja-JP"/>
    </w:rPr>
  </w:style>
  <w:style w:type="paragraph" w:customStyle="1" w:styleId="Maintext0">
    <w:name w:val="Main text"/>
    <w:basedOn w:val="Normal"/>
    <w:link w:val="MaintextChar0"/>
    <w:autoRedefine/>
    <w:semiHidden/>
    <w:rsid w:val="003056E0"/>
    <w:pPr>
      <w:spacing w:after="0" w:line="480" w:lineRule="auto"/>
    </w:pPr>
    <w:rPr>
      <w:rFonts w:ascii="New York" w:hAnsi="New York"/>
      <w:szCs w:val="24"/>
      <w:lang w:eastAsia="ja-JP"/>
    </w:rPr>
  </w:style>
  <w:style w:type="paragraph" w:customStyle="1" w:styleId="Biography">
    <w:name w:val="Biography"/>
    <w:basedOn w:val="Normal"/>
    <w:autoRedefine/>
    <w:uiPriority w:val="99"/>
    <w:semiHidden/>
    <w:rsid w:val="003056E0"/>
    <w:pPr>
      <w:spacing w:after="0"/>
      <w:jc w:val="left"/>
    </w:pPr>
    <w:rPr>
      <w:rFonts w:ascii="Times New Roman" w:eastAsia="MS Mincho" w:hAnsi="Times New Roman"/>
      <w:i/>
      <w:szCs w:val="24"/>
      <w:lang w:eastAsia="ja-JP"/>
    </w:rPr>
  </w:style>
  <w:style w:type="character" w:customStyle="1" w:styleId="TCTableBodyChar">
    <w:name w:val="TC_Table_Body Char"/>
    <w:link w:val="TCTableBody"/>
    <w:locked/>
    <w:rsid w:val="003056E0"/>
    <w:rPr>
      <w:rFonts w:ascii="Times" w:hAnsi="Times"/>
      <w:sz w:val="24"/>
    </w:rPr>
  </w:style>
  <w:style w:type="character" w:customStyle="1" w:styleId="TDAcknowledgmentsChar">
    <w:name w:val="TD_Acknowledgments Char"/>
    <w:link w:val="TDAcknowledgments"/>
    <w:locked/>
    <w:rsid w:val="003056E0"/>
    <w:rPr>
      <w:rFonts w:ascii="Times" w:hAnsi="Times"/>
      <w:sz w:val="24"/>
    </w:rPr>
  </w:style>
  <w:style w:type="character" w:customStyle="1" w:styleId="TAMainTextCar">
    <w:name w:val="TA_Main_Text Car"/>
    <w:link w:val="TAMainText"/>
    <w:locked/>
    <w:rsid w:val="003056E0"/>
    <w:rPr>
      <w:rFonts w:ascii="Times" w:hAnsi="Times"/>
      <w:sz w:val="24"/>
    </w:rPr>
  </w:style>
  <w:style w:type="character" w:customStyle="1" w:styleId="EndNoteBibliographyTitleChar">
    <w:name w:val="EndNote Bibliography Title Char"/>
    <w:basedOn w:val="TAMainTextCar"/>
    <w:link w:val="EndNoteBibliographyTitle"/>
    <w:semiHidden/>
    <w:locked/>
    <w:rsid w:val="003056E0"/>
    <w:rPr>
      <w:rFonts w:ascii="Times" w:hAnsi="Times"/>
      <w:noProof/>
      <w:sz w:val="24"/>
      <w:lang w:val="de-DE" w:eastAsia="ja-JP"/>
    </w:rPr>
  </w:style>
  <w:style w:type="paragraph" w:customStyle="1" w:styleId="EndNoteBibliographyTitle">
    <w:name w:val="EndNote Bibliography Title"/>
    <w:basedOn w:val="Normal"/>
    <w:link w:val="EndNoteBibliographyTitleChar"/>
    <w:semiHidden/>
    <w:rsid w:val="003056E0"/>
    <w:pPr>
      <w:spacing w:after="0"/>
      <w:jc w:val="center"/>
    </w:pPr>
    <w:rPr>
      <w:noProof/>
      <w:lang w:val="de-DE" w:eastAsia="ja-JP"/>
    </w:rPr>
  </w:style>
  <w:style w:type="character" w:customStyle="1" w:styleId="EndNoteBibliographyChar">
    <w:name w:val="EndNote Bibliography Char"/>
    <w:basedOn w:val="TAMainTextCar"/>
    <w:link w:val="EndNoteBibliography"/>
    <w:semiHidden/>
    <w:locked/>
    <w:rsid w:val="003056E0"/>
    <w:rPr>
      <w:rFonts w:ascii="Times" w:hAnsi="Times"/>
      <w:noProof/>
      <w:sz w:val="24"/>
      <w:lang w:val="de-DE" w:eastAsia="ja-JP"/>
    </w:rPr>
  </w:style>
  <w:style w:type="paragraph" w:customStyle="1" w:styleId="EndNoteBibliography">
    <w:name w:val="EndNote Bibliography"/>
    <w:basedOn w:val="Normal"/>
    <w:link w:val="EndNoteBibliographyChar"/>
    <w:semiHidden/>
    <w:rsid w:val="003056E0"/>
    <w:pPr>
      <w:spacing w:after="0"/>
      <w:jc w:val="left"/>
    </w:pPr>
    <w:rPr>
      <w:noProof/>
      <w:lang w:val="de-DE" w:eastAsia="ja-JP"/>
    </w:rPr>
  </w:style>
  <w:style w:type="character" w:styleId="Marquedecommentaire">
    <w:name w:val="annotation reference"/>
    <w:uiPriority w:val="99"/>
    <w:semiHidden/>
    <w:unhideWhenUsed/>
    <w:rsid w:val="003056E0"/>
    <w:rPr>
      <w:sz w:val="16"/>
      <w:szCs w:val="16"/>
    </w:rPr>
  </w:style>
  <w:style w:type="character" w:styleId="Appeldenotedefin">
    <w:name w:val="endnote reference"/>
    <w:basedOn w:val="Policepardfaut"/>
    <w:uiPriority w:val="99"/>
    <w:semiHidden/>
    <w:unhideWhenUsed/>
    <w:rsid w:val="003056E0"/>
    <w:rPr>
      <w:vertAlign w:val="superscript"/>
    </w:rPr>
  </w:style>
  <w:style w:type="character" w:styleId="Textedelespacerserv">
    <w:name w:val="Placeholder Text"/>
    <w:basedOn w:val="Policepardfaut"/>
    <w:uiPriority w:val="99"/>
    <w:semiHidden/>
    <w:rsid w:val="003056E0"/>
    <w:rPr>
      <w:color w:val="808080"/>
    </w:rPr>
  </w:style>
  <w:style w:type="character" w:customStyle="1" w:styleId="UnresolvedMention1">
    <w:name w:val="Unresolved Mention1"/>
    <w:basedOn w:val="Policepardfaut"/>
    <w:uiPriority w:val="99"/>
    <w:semiHidden/>
    <w:rsid w:val="003056E0"/>
    <w:rPr>
      <w:color w:val="808080"/>
      <w:shd w:val="clear" w:color="auto" w:fill="E6E6E6"/>
    </w:rPr>
  </w:style>
  <w:style w:type="character" w:customStyle="1" w:styleId="hlfld-contribauthor">
    <w:name w:val="hlfld-contribauthor"/>
    <w:basedOn w:val="Policepardfaut"/>
    <w:rsid w:val="003056E0"/>
  </w:style>
  <w:style w:type="character" w:customStyle="1" w:styleId="nlmx">
    <w:name w:val="nlm_x"/>
    <w:basedOn w:val="Policepardfaut"/>
    <w:rsid w:val="003056E0"/>
  </w:style>
  <w:style w:type="character" w:customStyle="1" w:styleId="citationsource-journal">
    <w:name w:val="citation_source-journal"/>
    <w:basedOn w:val="Policepardfaut"/>
    <w:rsid w:val="003056E0"/>
  </w:style>
  <w:style w:type="character" w:customStyle="1" w:styleId="nlmyear">
    <w:name w:val="nlm_year"/>
    <w:basedOn w:val="Policepardfaut"/>
    <w:rsid w:val="003056E0"/>
  </w:style>
  <w:style w:type="character" w:customStyle="1" w:styleId="nlmvolume">
    <w:name w:val="nlm_volume"/>
    <w:basedOn w:val="Policepardfaut"/>
    <w:rsid w:val="003056E0"/>
  </w:style>
  <w:style w:type="character" w:customStyle="1" w:styleId="nlmfpage">
    <w:name w:val="nlm_fpage"/>
    <w:basedOn w:val="Policepardfaut"/>
    <w:rsid w:val="003056E0"/>
  </w:style>
  <w:style w:type="character" w:customStyle="1" w:styleId="nlmlpage">
    <w:name w:val="nlm_lpage"/>
    <w:basedOn w:val="Policepardfaut"/>
    <w:rsid w:val="003056E0"/>
  </w:style>
  <w:style w:type="character" w:customStyle="1" w:styleId="UnresolvedMention2">
    <w:name w:val="Unresolved Mention2"/>
    <w:basedOn w:val="Policepardfaut"/>
    <w:uiPriority w:val="99"/>
    <w:semiHidden/>
    <w:rsid w:val="003056E0"/>
    <w:rPr>
      <w:color w:val="808080"/>
      <w:shd w:val="clear" w:color="auto" w:fill="E6E6E6"/>
    </w:rPr>
  </w:style>
  <w:style w:type="character" w:customStyle="1" w:styleId="UnresolvedMention3">
    <w:name w:val="Unresolved Mention3"/>
    <w:basedOn w:val="Policepardfaut"/>
    <w:uiPriority w:val="99"/>
    <w:semiHidden/>
    <w:rsid w:val="003056E0"/>
    <w:rPr>
      <w:color w:val="808080"/>
      <w:shd w:val="clear" w:color="auto" w:fill="E6E6E6"/>
    </w:rPr>
  </w:style>
  <w:style w:type="character" w:customStyle="1" w:styleId="italic">
    <w:name w:val="italic"/>
    <w:basedOn w:val="Policepardfaut"/>
    <w:rsid w:val="003056E0"/>
  </w:style>
  <w:style w:type="table" w:styleId="Tableauclassique1">
    <w:name w:val="Table Classic 1"/>
    <w:basedOn w:val="TableauNormal"/>
    <w:semiHidden/>
    <w:unhideWhenUsed/>
    <w:rsid w:val="003056E0"/>
    <w:rPr>
      <w:rFonts w:ascii="Times New Roman" w:eastAsia="SimSun" w:hAnsi="Times New Roman"/>
      <w:lang w:val="en-GB" w:eastAsia="zh-CN"/>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5711">
      <w:bodyDiv w:val="1"/>
      <w:marLeft w:val="0"/>
      <w:marRight w:val="0"/>
      <w:marTop w:val="0"/>
      <w:marBottom w:val="0"/>
      <w:divBdr>
        <w:top w:val="none" w:sz="0" w:space="0" w:color="auto"/>
        <w:left w:val="none" w:sz="0" w:space="0" w:color="auto"/>
        <w:bottom w:val="none" w:sz="0" w:space="0" w:color="auto"/>
        <w:right w:val="none" w:sz="0" w:space="0" w:color="auto"/>
      </w:divBdr>
    </w:div>
    <w:div w:id="60718275">
      <w:bodyDiv w:val="1"/>
      <w:marLeft w:val="0"/>
      <w:marRight w:val="0"/>
      <w:marTop w:val="0"/>
      <w:marBottom w:val="0"/>
      <w:divBdr>
        <w:top w:val="none" w:sz="0" w:space="0" w:color="auto"/>
        <w:left w:val="none" w:sz="0" w:space="0" w:color="auto"/>
        <w:bottom w:val="none" w:sz="0" w:space="0" w:color="auto"/>
        <w:right w:val="none" w:sz="0" w:space="0" w:color="auto"/>
      </w:divBdr>
    </w:div>
    <w:div w:id="208496709">
      <w:bodyDiv w:val="1"/>
      <w:marLeft w:val="0"/>
      <w:marRight w:val="0"/>
      <w:marTop w:val="0"/>
      <w:marBottom w:val="0"/>
      <w:divBdr>
        <w:top w:val="none" w:sz="0" w:space="0" w:color="auto"/>
        <w:left w:val="none" w:sz="0" w:space="0" w:color="auto"/>
        <w:bottom w:val="none" w:sz="0" w:space="0" w:color="auto"/>
        <w:right w:val="none" w:sz="0" w:space="0" w:color="auto"/>
      </w:divBdr>
    </w:div>
    <w:div w:id="310598940">
      <w:bodyDiv w:val="1"/>
      <w:marLeft w:val="0"/>
      <w:marRight w:val="0"/>
      <w:marTop w:val="0"/>
      <w:marBottom w:val="0"/>
      <w:divBdr>
        <w:top w:val="none" w:sz="0" w:space="0" w:color="auto"/>
        <w:left w:val="none" w:sz="0" w:space="0" w:color="auto"/>
        <w:bottom w:val="none" w:sz="0" w:space="0" w:color="auto"/>
        <w:right w:val="none" w:sz="0" w:space="0" w:color="auto"/>
      </w:divBdr>
    </w:div>
    <w:div w:id="318847802">
      <w:bodyDiv w:val="1"/>
      <w:marLeft w:val="0"/>
      <w:marRight w:val="0"/>
      <w:marTop w:val="0"/>
      <w:marBottom w:val="0"/>
      <w:divBdr>
        <w:top w:val="none" w:sz="0" w:space="0" w:color="auto"/>
        <w:left w:val="none" w:sz="0" w:space="0" w:color="auto"/>
        <w:bottom w:val="none" w:sz="0" w:space="0" w:color="auto"/>
        <w:right w:val="none" w:sz="0" w:space="0" w:color="auto"/>
      </w:divBdr>
    </w:div>
    <w:div w:id="413363457">
      <w:bodyDiv w:val="1"/>
      <w:marLeft w:val="0"/>
      <w:marRight w:val="0"/>
      <w:marTop w:val="0"/>
      <w:marBottom w:val="0"/>
      <w:divBdr>
        <w:top w:val="none" w:sz="0" w:space="0" w:color="auto"/>
        <w:left w:val="none" w:sz="0" w:space="0" w:color="auto"/>
        <w:bottom w:val="none" w:sz="0" w:space="0" w:color="auto"/>
        <w:right w:val="none" w:sz="0" w:space="0" w:color="auto"/>
      </w:divBdr>
    </w:div>
    <w:div w:id="432477131">
      <w:bodyDiv w:val="1"/>
      <w:marLeft w:val="0"/>
      <w:marRight w:val="0"/>
      <w:marTop w:val="0"/>
      <w:marBottom w:val="0"/>
      <w:divBdr>
        <w:top w:val="none" w:sz="0" w:space="0" w:color="auto"/>
        <w:left w:val="none" w:sz="0" w:space="0" w:color="auto"/>
        <w:bottom w:val="none" w:sz="0" w:space="0" w:color="auto"/>
        <w:right w:val="none" w:sz="0" w:space="0" w:color="auto"/>
      </w:divBdr>
    </w:div>
    <w:div w:id="661275801">
      <w:bodyDiv w:val="1"/>
      <w:marLeft w:val="0"/>
      <w:marRight w:val="0"/>
      <w:marTop w:val="0"/>
      <w:marBottom w:val="0"/>
      <w:divBdr>
        <w:top w:val="none" w:sz="0" w:space="0" w:color="auto"/>
        <w:left w:val="none" w:sz="0" w:space="0" w:color="auto"/>
        <w:bottom w:val="none" w:sz="0" w:space="0" w:color="auto"/>
        <w:right w:val="none" w:sz="0" w:space="0" w:color="auto"/>
      </w:divBdr>
    </w:div>
    <w:div w:id="833492059">
      <w:bodyDiv w:val="1"/>
      <w:marLeft w:val="0"/>
      <w:marRight w:val="0"/>
      <w:marTop w:val="0"/>
      <w:marBottom w:val="0"/>
      <w:divBdr>
        <w:top w:val="none" w:sz="0" w:space="0" w:color="auto"/>
        <w:left w:val="none" w:sz="0" w:space="0" w:color="auto"/>
        <w:bottom w:val="none" w:sz="0" w:space="0" w:color="auto"/>
        <w:right w:val="none" w:sz="0" w:space="0" w:color="auto"/>
      </w:divBdr>
    </w:div>
    <w:div w:id="947394265">
      <w:bodyDiv w:val="1"/>
      <w:marLeft w:val="0"/>
      <w:marRight w:val="0"/>
      <w:marTop w:val="0"/>
      <w:marBottom w:val="0"/>
      <w:divBdr>
        <w:top w:val="none" w:sz="0" w:space="0" w:color="auto"/>
        <w:left w:val="none" w:sz="0" w:space="0" w:color="auto"/>
        <w:bottom w:val="none" w:sz="0" w:space="0" w:color="auto"/>
        <w:right w:val="none" w:sz="0" w:space="0" w:color="auto"/>
      </w:divBdr>
    </w:div>
    <w:div w:id="1032462298">
      <w:bodyDiv w:val="1"/>
      <w:marLeft w:val="0"/>
      <w:marRight w:val="0"/>
      <w:marTop w:val="0"/>
      <w:marBottom w:val="0"/>
      <w:divBdr>
        <w:top w:val="none" w:sz="0" w:space="0" w:color="auto"/>
        <w:left w:val="none" w:sz="0" w:space="0" w:color="auto"/>
        <w:bottom w:val="none" w:sz="0" w:space="0" w:color="auto"/>
        <w:right w:val="none" w:sz="0" w:space="0" w:color="auto"/>
      </w:divBdr>
    </w:div>
    <w:div w:id="1217013072">
      <w:bodyDiv w:val="1"/>
      <w:marLeft w:val="0"/>
      <w:marRight w:val="0"/>
      <w:marTop w:val="0"/>
      <w:marBottom w:val="0"/>
      <w:divBdr>
        <w:top w:val="none" w:sz="0" w:space="0" w:color="auto"/>
        <w:left w:val="none" w:sz="0" w:space="0" w:color="auto"/>
        <w:bottom w:val="none" w:sz="0" w:space="0" w:color="auto"/>
        <w:right w:val="none" w:sz="0" w:space="0" w:color="auto"/>
      </w:divBdr>
    </w:div>
    <w:div w:id="1346444247">
      <w:bodyDiv w:val="1"/>
      <w:marLeft w:val="0"/>
      <w:marRight w:val="0"/>
      <w:marTop w:val="0"/>
      <w:marBottom w:val="0"/>
      <w:divBdr>
        <w:top w:val="none" w:sz="0" w:space="0" w:color="auto"/>
        <w:left w:val="none" w:sz="0" w:space="0" w:color="auto"/>
        <w:bottom w:val="none" w:sz="0" w:space="0" w:color="auto"/>
        <w:right w:val="none" w:sz="0" w:space="0" w:color="auto"/>
      </w:divBdr>
    </w:div>
    <w:div w:id="1367947888">
      <w:bodyDiv w:val="1"/>
      <w:marLeft w:val="0"/>
      <w:marRight w:val="0"/>
      <w:marTop w:val="0"/>
      <w:marBottom w:val="0"/>
      <w:divBdr>
        <w:top w:val="none" w:sz="0" w:space="0" w:color="auto"/>
        <w:left w:val="none" w:sz="0" w:space="0" w:color="auto"/>
        <w:bottom w:val="none" w:sz="0" w:space="0" w:color="auto"/>
        <w:right w:val="none" w:sz="0" w:space="0" w:color="auto"/>
      </w:divBdr>
    </w:div>
    <w:div w:id="1574050532">
      <w:bodyDiv w:val="1"/>
      <w:marLeft w:val="0"/>
      <w:marRight w:val="0"/>
      <w:marTop w:val="0"/>
      <w:marBottom w:val="0"/>
      <w:divBdr>
        <w:top w:val="none" w:sz="0" w:space="0" w:color="auto"/>
        <w:left w:val="none" w:sz="0" w:space="0" w:color="auto"/>
        <w:bottom w:val="none" w:sz="0" w:space="0" w:color="auto"/>
        <w:right w:val="none" w:sz="0" w:space="0" w:color="auto"/>
      </w:divBdr>
    </w:div>
    <w:div w:id="1612011038">
      <w:bodyDiv w:val="1"/>
      <w:marLeft w:val="0"/>
      <w:marRight w:val="0"/>
      <w:marTop w:val="0"/>
      <w:marBottom w:val="0"/>
      <w:divBdr>
        <w:top w:val="none" w:sz="0" w:space="0" w:color="auto"/>
        <w:left w:val="none" w:sz="0" w:space="0" w:color="auto"/>
        <w:bottom w:val="none" w:sz="0" w:space="0" w:color="auto"/>
        <w:right w:val="none" w:sz="0" w:space="0" w:color="auto"/>
      </w:divBdr>
    </w:div>
    <w:div w:id="1640066405">
      <w:bodyDiv w:val="1"/>
      <w:marLeft w:val="0"/>
      <w:marRight w:val="0"/>
      <w:marTop w:val="0"/>
      <w:marBottom w:val="0"/>
      <w:divBdr>
        <w:top w:val="none" w:sz="0" w:space="0" w:color="auto"/>
        <w:left w:val="none" w:sz="0" w:space="0" w:color="auto"/>
        <w:bottom w:val="none" w:sz="0" w:space="0" w:color="auto"/>
        <w:right w:val="none" w:sz="0" w:space="0" w:color="auto"/>
      </w:divBdr>
    </w:div>
    <w:div w:id="1704086711">
      <w:bodyDiv w:val="1"/>
      <w:marLeft w:val="0"/>
      <w:marRight w:val="0"/>
      <w:marTop w:val="0"/>
      <w:marBottom w:val="0"/>
      <w:divBdr>
        <w:top w:val="none" w:sz="0" w:space="0" w:color="auto"/>
        <w:left w:val="none" w:sz="0" w:space="0" w:color="auto"/>
        <w:bottom w:val="none" w:sz="0" w:space="0" w:color="auto"/>
        <w:right w:val="none" w:sz="0" w:space="0" w:color="auto"/>
      </w:divBdr>
    </w:div>
    <w:div w:id="1826435466">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53564945">
      <w:bodyDiv w:val="1"/>
      <w:marLeft w:val="0"/>
      <w:marRight w:val="0"/>
      <w:marTop w:val="0"/>
      <w:marBottom w:val="0"/>
      <w:divBdr>
        <w:top w:val="none" w:sz="0" w:space="0" w:color="auto"/>
        <w:left w:val="none" w:sz="0" w:space="0" w:color="auto"/>
        <w:bottom w:val="none" w:sz="0" w:space="0" w:color="auto"/>
        <w:right w:val="none" w:sz="0" w:space="0" w:color="auto"/>
      </w:divBdr>
      <w:divsChild>
        <w:div w:id="1691832802">
          <w:marLeft w:val="0"/>
          <w:marRight w:val="0"/>
          <w:marTop w:val="0"/>
          <w:marBottom w:val="0"/>
          <w:divBdr>
            <w:top w:val="none" w:sz="0" w:space="0" w:color="auto"/>
            <w:left w:val="none" w:sz="0" w:space="0" w:color="auto"/>
            <w:bottom w:val="none" w:sz="0" w:space="0" w:color="auto"/>
            <w:right w:val="none" w:sz="0" w:space="0" w:color="auto"/>
          </w:divBdr>
          <w:divsChild>
            <w:div w:id="1884520052">
              <w:marLeft w:val="0"/>
              <w:marRight w:val="0"/>
              <w:marTop w:val="0"/>
              <w:marBottom w:val="0"/>
              <w:divBdr>
                <w:top w:val="none" w:sz="0" w:space="0" w:color="auto"/>
                <w:left w:val="none" w:sz="0" w:space="0" w:color="auto"/>
                <w:bottom w:val="none" w:sz="0" w:space="0" w:color="auto"/>
                <w:right w:val="none" w:sz="0" w:space="0" w:color="auto"/>
              </w:divBdr>
              <w:divsChild>
                <w:div w:id="1568564881">
                  <w:marLeft w:val="-240"/>
                  <w:marRight w:val="-240"/>
                  <w:marTop w:val="0"/>
                  <w:marBottom w:val="0"/>
                  <w:divBdr>
                    <w:top w:val="none" w:sz="0" w:space="0" w:color="auto"/>
                    <w:left w:val="none" w:sz="0" w:space="0" w:color="auto"/>
                    <w:bottom w:val="none" w:sz="0" w:space="0" w:color="auto"/>
                    <w:right w:val="none" w:sz="0" w:space="0" w:color="auto"/>
                  </w:divBdr>
                  <w:divsChild>
                    <w:div w:id="139188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1967931263">
      <w:bodyDiv w:val="1"/>
      <w:marLeft w:val="0"/>
      <w:marRight w:val="0"/>
      <w:marTop w:val="0"/>
      <w:marBottom w:val="0"/>
      <w:divBdr>
        <w:top w:val="none" w:sz="0" w:space="0" w:color="auto"/>
        <w:left w:val="none" w:sz="0" w:space="0" w:color="auto"/>
        <w:bottom w:val="none" w:sz="0" w:space="0" w:color="auto"/>
        <w:right w:val="none" w:sz="0" w:space="0" w:color="auto"/>
      </w:divBdr>
    </w:div>
    <w:div w:id="2024090702">
      <w:bodyDiv w:val="1"/>
      <w:marLeft w:val="0"/>
      <w:marRight w:val="0"/>
      <w:marTop w:val="0"/>
      <w:marBottom w:val="0"/>
      <w:divBdr>
        <w:top w:val="none" w:sz="0" w:space="0" w:color="auto"/>
        <w:left w:val="none" w:sz="0" w:space="0" w:color="auto"/>
        <w:bottom w:val="none" w:sz="0" w:space="0" w:color="auto"/>
        <w:right w:val="none" w:sz="0" w:space="0" w:color="auto"/>
      </w:divBdr>
    </w:div>
    <w:div w:id="2118864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C:\Users\Damien\Documents\Article-Dual-ions\VF\MS+SI_Dual-ion.docx" TargetMode="Externa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file:///C:\Users\Damien\Documents\Article-Dual-ions\VF\MS+SI_Dual-ion.docx"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mien\Documents\Th&#232;se-Nadia%20Soulmi\Article-SnCu\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acstemplate_msw2010</Template>
  <TotalTime>1040</TotalTime>
  <Pages>31</Pages>
  <Words>36426</Words>
  <Characters>200346</Characters>
  <Application>Microsoft Office Word</Application>
  <DocSecurity>0</DocSecurity>
  <Lines>1669</Lines>
  <Paragraphs>472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236300</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Damien Dambournet</dc:creator>
  <cp:keywords/>
  <cp:lastModifiedBy>Damien Dambournet</cp:lastModifiedBy>
  <cp:revision>38</cp:revision>
  <cp:lastPrinted>2019-06-25T14:59:00Z</cp:lastPrinted>
  <dcterms:created xsi:type="dcterms:W3CDTF">2019-06-25T07:53:00Z</dcterms:created>
  <dcterms:modified xsi:type="dcterms:W3CDTF">2019-10-03T07:11:00Z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zotero-version="5.0.55"&gt;&lt;session id="woE8BCE2"/&gt;&lt;style id="http://www.zotero.org/styles/energy-storage-materials" hasBibliography="1" bibliographyStyleHasBeenSet="1"/&gt;&lt;prefs&gt;&lt;pref name="fieldType" value="Field"/&gt;&lt;/prefs&gt;&lt;/data&gt;</vt:lpwstr>
  </property>
</Properties>
</file>