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CB1B" w14:textId="417EB410" w:rsidR="00247C32" w:rsidRDefault="00A92284" w:rsidP="00247C32">
      <w:pPr>
        <w:spacing w:after="0" w:line="480" w:lineRule="auto"/>
        <w:rPr>
          <w:rFonts w:asciiTheme="majorBidi" w:hAnsiTheme="majorBidi" w:cstheme="majorBidi"/>
          <w:b/>
        </w:rPr>
      </w:pPr>
      <w:r w:rsidRPr="000E1C62">
        <w:rPr>
          <w:rFonts w:asciiTheme="majorBidi" w:hAnsiTheme="majorBidi" w:cstheme="majorBidi"/>
          <w:b/>
        </w:rPr>
        <w:t xml:space="preserve">Acute hyper-energetic, </w:t>
      </w:r>
      <w:r w:rsidR="00D244DB" w:rsidRPr="000E1C62">
        <w:rPr>
          <w:rFonts w:asciiTheme="majorBidi" w:hAnsiTheme="majorBidi" w:cstheme="majorBidi"/>
          <w:b/>
        </w:rPr>
        <w:t>high-fat feeding increases circulating FGF21, LECT2 and fetuin-A in healthy men</w:t>
      </w:r>
    </w:p>
    <w:p w14:paraId="7F1BD7ED" w14:textId="77777777" w:rsidR="009E125F" w:rsidRDefault="009E125F" w:rsidP="00247C32">
      <w:pPr>
        <w:spacing w:after="0" w:line="480" w:lineRule="auto"/>
        <w:rPr>
          <w:rFonts w:asciiTheme="majorBidi" w:hAnsiTheme="majorBidi" w:cstheme="majorBidi"/>
          <w:b/>
        </w:rPr>
      </w:pPr>
    </w:p>
    <w:p w14:paraId="18EDC70B" w14:textId="387E02A6" w:rsidR="00247C32" w:rsidRPr="009F70AF" w:rsidRDefault="00EE6568" w:rsidP="00247C32">
      <w:pPr>
        <w:spacing w:after="0" w:line="480" w:lineRule="auto"/>
        <w:jc w:val="both"/>
        <w:rPr>
          <w:rFonts w:asciiTheme="majorBidi" w:hAnsiTheme="majorBidi" w:cstheme="majorBidi"/>
        </w:rPr>
      </w:pPr>
      <w:r>
        <w:rPr>
          <w:rFonts w:asciiTheme="majorBidi" w:hAnsiTheme="majorBidi" w:cstheme="majorBidi"/>
        </w:rPr>
        <w:t xml:space="preserve">Scott A. </w:t>
      </w:r>
      <w:r w:rsidR="00247C32">
        <w:rPr>
          <w:rFonts w:asciiTheme="majorBidi" w:hAnsiTheme="majorBidi" w:cstheme="majorBidi"/>
        </w:rPr>
        <w:t>Willis</w:t>
      </w:r>
      <w:r w:rsidR="00247C32" w:rsidRPr="00B80EF2">
        <w:rPr>
          <w:rFonts w:asciiTheme="majorBidi" w:hAnsiTheme="majorBidi" w:cstheme="majorBidi"/>
          <w:vertAlign w:val="superscript"/>
        </w:rPr>
        <w:t>1,2</w:t>
      </w:r>
      <w:r w:rsidR="00247C32">
        <w:rPr>
          <w:rFonts w:asciiTheme="majorBidi" w:hAnsiTheme="majorBidi" w:cstheme="majorBidi"/>
        </w:rPr>
        <w:t xml:space="preserve">, </w:t>
      </w:r>
      <w:r>
        <w:rPr>
          <w:rFonts w:asciiTheme="majorBidi" w:hAnsiTheme="majorBidi" w:cstheme="majorBidi"/>
        </w:rPr>
        <w:t xml:space="preserve">Jack A. </w:t>
      </w:r>
      <w:r w:rsidR="00247C32">
        <w:rPr>
          <w:rFonts w:asciiTheme="majorBidi" w:hAnsiTheme="majorBidi" w:cstheme="majorBidi"/>
        </w:rPr>
        <w:t>Sargeant</w:t>
      </w:r>
      <w:r w:rsidR="005D2EF6">
        <w:rPr>
          <w:rFonts w:asciiTheme="majorBidi" w:hAnsiTheme="majorBidi" w:cstheme="majorBidi"/>
          <w:vertAlign w:val="superscript"/>
        </w:rPr>
        <w:t>2,3</w:t>
      </w:r>
      <w:r w:rsidR="00247C32">
        <w:rPr>
          <w:rFonts w:asciiTheme="majorBidi" w:hAnsiTheme="majorBidi" w:cstheme="majorBidi"/>
        </w:rPr>
        <w:t xml:space="preserve">, </w:t>
      </w:r>
      <w:r w:rsidR="0066251A">
        <w:rPr>
          <w:rFonts w:asciiTheme="majorBidi" w:hAnsiTheme="majorBidi" w:cstheme="majorBidi"/>
        </w:rPr>
        <w:t>Thomas Yates</w:t>
      </w:r>
      <w:r w:rsidR="00504A67">
        <w:rPr>
          <w:rFonts w:asciiTheme="majorBidi" w:hAnsiTheme="majorBidi" w:cstheme="majorBidi"/>
          <w:vertAlign w:val="superscript"/>
        </w:rPr>
        <w:t>2,3</w:t>
      </w:r>
      <w:r w:rsidR="00504A67">
        <w:rPr>
          <w:rFonts w:asciiTheme="majorBidi" w:hAnsiTheme="majorBidi" w:cstheme="majorBidi"/>
        </w:rPr>
        <w:t xml:space="preserve">, </w:t>
      </w:r>
      <w:r>
        <w:rPr>
          <w:rFonts w:asciiTheme="majorBidi" w:hAnsiTheme="majorBidi" w:cstheme="majorBidi"/>
        </w:rPr>
        <w:t>T</w:t>
      </w:r>
      <w:r w:rsidR="00776A4D">
        <w:rPr>
          <w:rFonts w:asciiTheme="majorBidi" w:hAnsiTheme="majorBidi" w:cstheme="majorBidi"/>
        </w:rPr>
        <w:t>oshinari</w:t>
      </w:r>
      <w:r>
        <w:rPr>
          <w:rFonts w:asciiTheme="majorBidi" w:hAnsiTheme="majorBidi" w:cstheme="majorBidi"/>
        </w:rPr>
        <w:t xml:space="preserve"> </w:t>
      </w:r>
      <w:r w:rsidR="00247C32">
        <w:rPr>
          <w:rFonts w:asciiTheme="majorBidi" w:hAnsiTheme="majorBidi" w:cstheme="majorBidi"/>
        </w:rPr>
        <w:t>Takamura</w:t>
      </w:r>
      <w:r w:rsidR="005D2EF6">
        <w:rPr>
          <w:rFonts w:asciiTheme="majorBidi" w:hAnsiTheme="majorBidi" w:cstheme="majorBidi"/>
          <w:vertAlign w:val="superscript"/>
        </w:rPr>
        <w:t>4</w:t>
      </w:r>
      <w:r w:rsidR="00247C32">
        <w:rPr>
          <w:rFonts w:asciiTheme="majorBidi" w:hAnsiTheme="majorBidi" w:cstheme="majorBidi"/>
        </w:rPr>
        <w:t xml:space="preserve">, </w:t>
      </w:r>
      <w:r w:rsidR="00776A4D">
        <w:rPr>
          <w:rFonts w:asciiTheme="majorBidi" w:hAnsiTheme="majorBidi" w:cstheme="majorBidi"/>
        </w:rPr>
        <w:t xml:space="preserve">Hiroaki </w:t>
      </w:r>
      <w:r w:rsidR="00247C32">
        <w:rPr>
          <w:rFonts w:asciiTheme="majorBidi" w:hAnsiTheme="majorBidi" w:cstheme="majorBidi"/>
        </w:rPr>
        <w:t>Takayama</w:t>
      </w:r>
      <w:r w:rsidR="005D2EF6">
        <w:rPr>
          <w:rFonts w:asciiTheme="majorBidi" w:hAnsiTheme="majorBidi" w:cstheme="majorBidi"/>
          <w:vertAlign w:val="superscript"/>
        </w:rPr>
        <w:t>4</w:t>
      </w:r>
      <w:r w:rsidR="00247C32">
        <w:rPr>
          <w:rFonts w:asciiTheme="majorBidi" w:hAnsiTheme="majorBidi" w:cstheme="majorBidi"/>
        </w:rPr>
        <w:t>,</w:t>
      </w:r>
      <w:r w:rsidR="00350082">
        <w:rPr>
          <w:rFonts w:asciiTheme="majorBidi" w:hAnsiTheme="majorBidi" w:cstheme="majorBidi"/>
        </w:rPr>
        <w:t xml:space="preserve"> </w:t>
      </w:r>
      <w:r w:rsidR="00776A4D">
        <w:rPr>
          <w:rFonts w:asciiTheme="majorBidi" w:hAnsiTheme="majorBidi" w:cstheme="majorBidi"/>
        </w:rPr>
        <w:t xml:space="preserve">Vinay </w:t>
      </w:r>
      <w:r w:rsidR="00350082">
        <w:rPr>
          <w:rFonts w:asciiTheme="majorBidi" w:hAnsiTheme="majorBidi" w:cstheme="majorBidi"/>
        </w:rPr>
        <w:t>Gupta</w:t>
      </w:r>
      <w:r w:rsidR="00F41E6F">
        <w:rPr>
          <w:rFonts w:asciiTheme="majorBidi" w:hAnsiTheme="majorBidi" w:cstheme="majorBidi"/>
          <w:color w:val="000000" w:themeColor="text1"/>
          <w:vertAlign w:val="superscript"/>
        </w:rPr>
        <w:t>1</w:t>
      </w:r>
      <w:r w:rsidR="00350082">
        <w:rPr>
          <w:rFonts w:asciiTheme="majorBidi" w:hAnsiTheme="majorBidi" w:cstheme="majorBidi"/>
        </w:rPr>
        <w:t xml:space="preserve">, </w:t>
      </w:r>
      <w:r w:rsidR="00776A4D">
        <w:rPr>
          <w:rFonts w:asciiTheme="majorBidi" w:hAnsiTheme="majorBidi" w:cstheme="majorBidi"/>
        </w:rPr>
        <w:t xml:space="preserve">Emily </w:t>
      </w:r>
      <w:r w:rsidR="00350082">
        <w:rPr>
          <w:rFonts w:asciiTheme="majorBidi" w:hAnsiTheme="majorBidi" w:cstheme="majorBidi"/>
        </w:rPr>
        <w:t>Brittain</w:t>
      </w:r>
      <w:r w:rsidR="00F41E6F">
        <w:rPr>
          <w:rFonts w:asciiTheme="majorBidi" w:hAnsiTheme="majorBidi" w:cstheme="majorBidi"/>
          <w:color w:val="000000" w:themeColor="text1"/>
          <w:vertAlign w:val="superscript"/>
        </w:rPr>
        <w:t>1</w:t>
      </w:r>
      <w:r w:rsidR="00350082">
        <w:rPr>
          <w:rFonts w:asciiTheme="majorBidi" w:hAnsiTheme="majorBidi" w:cstheme="majorBidi"/>
        </w:rPr>
        <w:t>,</w:t>
      </w:r>
      <w:r w:rsidR="00652E1F">
        <w:rPr>
          <w:rFonts w:asciiTheme="majorBidi" w:hAnsiTheme="majorBidi" w:cstheme="majorBidi"/>
        </w:rPr>
        <w:t xml:space="preserve"> Joe Crawford</w:t>
      </w:r>
      <w:r w:rsidR="00652E1F">
        <w:rPr>
          <w:rFonts w:asciiTheme="majorBidi" w:hAnsiTheme="majorBidi" w:cstheme="majorBidi"/>
          <w:color w:val="000000" w:themeColor="text1"/>
          <w:vertAlign w:val="superscript"/>
        </w:rPr>
        <w:t>1</w:t>
      </w:r>
      <w:r w:rsidR="00652E1F">
        <w:rPr>
          <w:rFonts w:asciiTheme="majorBidi" w:hAnsiTheme="majorBidi" w:cstheme="majorBidi"/>
          <w:color w:val="000000" w:themeColor="text1"/>
        </w:rPr>
        <w:t>,</w:t>
      </w:r>
      <w:r w:rsidR="00247C32">
        <w:rPr>
          <w:rFonts w:asciiTheme="majorBidi" w:hAnsiTheme="majorBidi" w:cstheme="majorBidi"/>
        </w:rPr>
        <w:t xml:space="preserve"> </w:t>
      </w:r>
      <w:proofErr w:type="spellStart"/>
      <w:r w:rsidR="00776A4D">
        <w:rPr>
          <w:rFonts w:asciiTheme="majorBidi" w:hAnsiTheme="majorBidi" w:cstheme="majorBidi"/>
        </w:rPr>
        <w:t>Si</w:t>
      </w:r>
      <w:r w:rsidR="00776A4D">
        <w:rPr>
          <w:rFonts w:ascii="Times New Roman" w:hAnsi="Times New Roman" w:cs="Times New Roman"/>
        </w:rPr>
        <w:t>ô</w:t>
      </w:r>
      <w:r w:rsidR="00776A4D">
        <w:rPr>
          <w:rFonts w:asciiTheme="majorBidi" w:hAnsiTheme="majorBidi" w:cstheme="majorBidi"/>
        </w:rPr>
        <w:t>n</w:t>
      </w:r>
      <w:proofErr w:type="spellEnd"/>
      <w:r w:rsidR="00776A4D">
        <w:rPr>
          <w:rFonts w:asciiTheme="majorBidi" w:hAnsiTheme="majorBidi" w:cstheme="majorBidi"/>
        </w:rPr>
        <w:t xml:space="preserve"> A. </w:t>
      </w:r>
      <w:r w:rsidR="00247C32">
        <w:rPr>
          <w:rFonts w:asciiTheme="majorBidi" w:hAnsiTheme="majorBidi" w:cstheme="majorBidi"/>
        </w:rPr>
        <w:t>Parry</w:t>
      </w:r>
      <w:r w:rsidR="005D2EF6">
        <w:rPr>
          <w:rFonts w:asciiTheme="majorBidi" w:hAnsiTheme="majorBidi" w:cstheme="majorBidi"/>
          <w:vertAlign w:val="superscript"/>
        </w:rPr>
        <w:t>5</w:t>
      </w:r>
      <w:r w:rsidR="00247C32">
        <w:rPr>
          <w:rFonts w:asciiTheme="majorBidi" w:hAnsiTheme="majorBidi" w:cstheme="majorBidi"/>
        </w:rPr>
        <w:t>,</w:t>
      </w:r>
      <w:r w:rsidR="001C5EC4" w:rsidRPr="001C5EC4">
        <w:rPr>
          <w:rFonts w:asciiTheme="majorBidi" w:hAnsiTheme="majorBidi" w:cstheme="majorBidi"/>
        </w:rPr>
        <w:t xml:space="preserve"> </w:t>
      </w:r>
      <w:r w:rsidR="00776A4D">
        <w:rPr>
          <w:rFonts w:asciiTheme="majorBidi" w:hAnsiTheme="majorBidi" w:cstheme="majorBidi"/>
        </w:rPr>
        <w:t xml:space="preserve">Alice E. </w:t>
      </w:r>
      <w:r w:rsidR="00F41E6F">
        <w:rPr>
          <w:rFonts w:asciiTheme="majorBidi" w:hAnsiTheme="majorBidi" w:cstheme="majorBidi"/>
        </w:rPr>
        <w:t>Thackray</w:t>
      </w:r>
      <w:r w:rsidR="00FF7C37" w:rsidRPr="00B80EF2">
        <w:rPr>
          <w:rFonts w:asciiTheme="majorBidi" w:hAnsiTheme="majorBidi" w:cstheme="majorBidi"/>
          <w:vertAlign w:val="superscript"/>
        </w:rPr>
        <w:t>1,2</w:t>
      </w:r>
      <w:r w:rsidR="00FF7C37">
        <w:rPr>
          <w:rFonts w:asciiTheme="majorBidi" w:hAnsiTheme="majorBidi" w:cstheme="majorBidi"/>
        </w:rPr>
        <w:t xml:space="preserve">, </w:t>
      </w:r>
      <w:r w:rsidR="007D73E8">
        <w:rPr>
          <w:rFonts w:asciiTheme="majorBidi" w:hAnsiTheme="majorBidi" w:cstheme="majorBidi"/>
        </w:rPr>
        <w:t>Veronica Varela-Mato</w:t>
      </w:r>
      <w:r w:rsidR="007D73E8" w:rsidRPr="00B80EF2">
        <w:rPr>
          <w:rFonts w:asciiTheme="majorBidi" w:hAnsiTheme="majorBidi" w:cstheme="majorBidi"/>
          <w:vertAlign w:val="superscript"/>
        </w:rPr>
        <w:t>1</w:t>
      </w:r>
      <w:r w:rsidR="007D73E8">
        <w:rPr>
          <w:rFonts w:asciiTheme="majorBidi" w:hAnsiTheme="majorBidi" w:cstheme="majorBidi"/>
        </w:rPr>
        <w:t>,</w:t>
      </w:r>
      <w:r w:rsidR="00247C32">
        <w:rPr>
          <w:rFonts w:asciiTheme="majorBidi" w:hAnsiTheme="majorBidi" w:cstheme="majorBidi"/>
        </w:rPr>
        <w:t xml:space="preserve"> </w:t>
      </w:r>
      <w:r w:rsidR="00776A4D">
        <w:rPr>
          <w:rFonts w:asciiTheme="majorBidi" w:hAnsiTheme="majorBidi" w:cstheme="majorBidi"/>
        </w:rPr>
        <w:t xml:space="preserve">David J. </w:t>
      </w:r>
      <w:r w:rsidR="00247C32">
        <w:rPr>
          <w:rFonts w:asciiTheme="majorBidi" w:hAnsiTheme="majorBidi" w:cstheme="majorBidi"/>
        </w:rPr>
        <w:t>Stensel</w:t>
      </w:r>
      <w:r w:rsidR="00247C32" w:rsidRPr="00B80EF2">
        <w:rPr>
          <w:rFonts w:asciiTheme="majorBidi" w:hAnsiTheme="majorBidi" w:cstheme="majorBidi"/>
          <w:vertAlign w:val="superscript"/>
        </w:rPr>
        <w:t>1,2</w:t>
      </w:r>
      <w:r w:rsidR="00247C32">
        <w:rPr>
          <w:rFonts w:asciiTheme="majorBidi" w:hAnsiTheme="majorBidi" w:cstheme="majorBidi"/>
        </w:rPr>
        <w:t xml:space="preserve">, </w:t>
      </w:r>
      <w:r w:rsidR="00B751DE">
        <w:rPr>
          <w:rFonts w:asciiTheme="majorBidi" w:hAnsiTheme="majorBidi" w:cstheme="majorBidi"/>
        </w:rPr>
        <w:t>Rachel M. Woods</w:t>
      </w:r>
      <w:r w:rsidR="00B751DE" w:rsidRPr="00B80EF2">
        <w:rPr>
          <w:rFonts w:asciiTheme="majorBidi" w:hAnsiTheme="majorBidi" w:cstheme="majorBidi"/>
          <w:vertAlign w:val="superscript"/>
        </w:rPr>
        <w:t>1,2</w:t>
      </w:r>
      <w:r w:rsidR="00B751DE">
        <w:rPr>
          <w:rFonts w:asciiTheme="majorBidi" w:hAnsiTheme="majorBidi" w:cstheme="majorBidi"/>
        </w:rPr>
        <w:t xml:space="preserve">, </w:t>
      </w:r>
      <w:r w:rsidR="00CE6405">
        <w:rPr>
          <w:rFonts w:asciiTheme="majorBidi" w:hAnsiTheme="majorBidi" w:cstheme="majorBidi"/>
        </w:rPr>
        <w:t>Carl J. Hulston</w:t>
      </w:r>
      <w:r w:rsidR="00CE6405" w:rsidRPr="00B80EF2">
        <w:rPr>
          <w:rFonts w:asciiTheme="majorBidi" w:hAnsiTheme="majorBidi" w:cstheme="majorBidi"/>
          <w:vertAlign w:val="superscript"/>
        </w:rPr>
        <w:t>1,2</w:t>
      </w:r>
      <w:r w:rsidR="00CE6405" w:rsidRPr="00CE6405">
        <w:rPr>
          <w:rFonts w:asciiTheme="majorBidi" w:hAnsiTheme="majorBidi" w:cstheme="majorBidi"/>
        </w:rPr>
        <w:t xml:space="preserve">, </w:t>
      </w:r>
      <w:r w:rsidR="00776A4D">
        <w:rPr>
          <w:rFonts w:asciiTheme="majorBidi" w:hAnsiTheme="majorBidi" w:cstheme="majorBidi"/>
        </w:rPr>
        <w:t xml:space="preserve">Guruprasad P. </w:t>
      </w:r>
      <w:r w:rsidR="001C5EC4">
        <w:rPr>
          <w:rFonts w:asciiTheme="majorBidi" w:hAnsiTheme="majorBidi" w:cstheme="majorBidi"/>
        </w:rPr>
        <w:t>Aithal</w:t>
      </w:r>
      <w:r w:rsidR="005D2EF6">
        <w:rPr>
          <w:rFonts w:asciiTheme="majorBidi" w:hAnsiTheme="majorBidi" w:cstheme="majorBidi"/>
          <w:vertAlign w:val="superscript"/>
        </w:rPr>
        <w:t>6,7</w:t>
      </w:r>
      <w:r w:rsidR="00247C32">
        <w:rPr>
          <w:rFonts w:asciiTheme="majorBidi" w:hAnsiTheme="majorBidi" w:cstheme="majorBidi"/>
        </w:rPr>
        <w:t xml:space="preserve">, </w:t>
      </w:r>
      <w:r w:rsidR="00776A4D">
        <w:rPr>
          <w:rFonts w:asciiTheme="majorBidi" w:hAnsiTheme="majorBidi" w:cstheme="majorBidi"/>
        </w:rPr>
        <w:t xml:space="preserve">James A. </w:t>
      </w:r>
      <w:r w:rsidR="00247C32">
        <w:rPr>
          <w:rFonts w:asciiTheme="majorBidi" w:hAnsiTheme="majorBidi" w:cstheme="majorBidi"/>
        </w:rPr>
        <w:t>King</w:t>
      </w:r>
      <w:r w:rsidR="00247C32" w:rsidRPr="00B80EF2">
        <w:rPr>
          <w:rFonts w:asciiTheme="majorBidi" w:hAnsiTheme="majorBidi" w:cstheme="majorBidi"/>
          <w:vertAlign w:val="superscript"/>
        </w:rPr>
        <w:t>1,2</w:t>
      </w:r>
    </w:p>
    <w:p w14:paraId="74F9AA9D" w14:textId="77777777" w:rsidR="00247C32" w:rsidRDefault="00247C32" w:rsidP="00247C32">
      <w:pPr>
        <w:spacing w:after="0" w:line="480" w:lineRule="auto"/>
        <w:jc w:val="both"/>
        <w:rPr>
          <w:rFonts w:asciiTheme="majorBidi" w:hAnsiTheme="majorBidi" w:cstheme="majorBidi"/>
        </w:rPr>
      </w:pPr>
    </w:p>
    <w:p w14:paraId="29133D07" w14:textId="4F92998A" w:rsidR="00247C32" w:rsidRDefault="00247C32" w:rsidP="00247C32">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1</w:t>
      </w:r>
      <w:r w:rsidR="00637501">
        <w:rPr>
          <w:rFonts w:asciiTheme="majorBidi" w:hAnsiTheme="majorBidi" w:cstheme="majorBidi"/>
          <w:color w:val="000000" w:themeColor="text1"/>
        </w:rPr>
        <w:t>School of Sport, Exercise and Health Sciences</w:t>
      </w:r>
      <w:r>
        <w:rPr>
          <w:rFonts w:asciiTheme="majorBidi" w:hAnsiTheme="majorBidi" w:cstheme="majorBidi"/>
          <w:color w:val="000000" w:themeColor="text1"/>
        </w:rPr>
        <w:t>, Loughborough University, UK</w:t>
      </w:r>
    </w:p>
    <w:p w14:paraId="2BDC354D" w14:textId="20084168" w:rsidR="009C0521" w:rsidRDefault="009C0521" w:rsidP="009C0521">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2</w:t>
      </w:r>
      <w:r w:rsidRPr="00442DE6">
        <w:rPr>
          <w:rFonts w:asciiTheme="majorBidi" w:hAnsiTheme="majorBidi" w:cstheme="majorBidi"/>
          <w:color w:val="000000" w:themeColor="text1"/>
        </w:rPr>
        <w:t xml:space="preserve">NIHR Leicester </w:t>
      </w:r>
      <w:r>
        <w:rPr>
          <w:rFonts w:asciiTheme="majorBidi" w:hAnsiTheme="majorBidi" w:cstheme="majorBidi"/>
          <w:color w:val="000000" w:themeColor="text1"/>
        </w:rPr>
        <w:t xml:space="preserve">Biomedical Research Centre, </w:t>
      </w:r>
      <w:r w:rsidR="001741DD">
        <w:rPr>
          <w:rFonts w:asciiTheme="majorBidi" w:hAnsiTheme="majorBidi" w:cstheme="majorBidi"/>
          <w:color w:val="000000" w:themeColor="text1"/>
        </w:rPr>
        <w:t>University Hospitals of Leicester NHS Trust</w:t>
      </w:r>
      <w:r w:rsidR="00340965">
        <w:rPr>
          <w:rFonts w:asciiTheme="majorBidi" w:hAnsiTheme="majorBidi" w:cstheme="majorBidi"/>
          <w:color w:val="000000" w:themeColor="text1"/>
        </w:rPr>
        <w:t xml:space="preserve"> and the University of Leicester, </w:t>
      </w:r>
      <w:r>
        <w:rPr>
          <w:rFonts w:asciiTheme="majorBidi" w:hAnsiTheme="majorBidi" w:cstheme="majorBidi"/>
          <w:color w:val="000000" w:themeColor="text1"/>
        </w:rPr>
        <w:t>UK</w:t>
      </w:r>
    </w:p>
    <w:p w14:paraId="5BE42CD2" w14:textId="272B238C" w:rsidR="005D2EF6" w:rsidRDefault="005D2EF6" w:rsidP="009C0521">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3</w:t>
      </w:r>
      <w:r>
        <w:rPr>
          <w:rFonts w:asciiTheme="majorBidi" w:hAnsiTheme="majorBidi" w:cstheme="majorBidi"/>
          <w:color w:val="000000" w:themeColor="text1"/>
        </w:rPr>
        <w:t>Diabetes Research Centre, University of Leicester, UK</w:t>
      </w:r>
    </w:p>
    <w:p w14:paraId="71B8AA96" w14:textId="07F22AE9" w:rsidR="00247C32" w:rsidRDefault="005D2EF6" w:rsidP="00247C32">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4</w:t>
      </w:r>
      <w:r w:rsidR="00247C32">
        <w:rPr>
          <w:rFonts w:asciiTheme="majorBidi" w:hAnsiTheme="majorBidi" w:cstheme="majorBidi"/>
          <w:color w:val="000000" w:themeColor="text1"/>
        </w:rPr>
        <w:t>Department of Disease Control &amp; Homeostasis, Kanazawa University Graduate School of Medical Sciences, Japan</w:t>
      </w:r>
    </w:p>
    <w:p w14:paraId="547540BD" w14:textId="11AFF72A" w:rsidR="00247C32" w:rsidRPr="00B80EF2" w:rsidRDefault="005D2EF6" w:rsidP="00247C32">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5</w:t>
      </w:r>
      <w:r w:rsidR="00247C32">
        <w:rPr>
          <w:rFonts w:asciiTheme="majorBidi" w:hAnsiTheme="majorBidi" w:cstheme="majorBidi"/>
          <w:color w:val="000000" w:themeColor="text1"/>
        </w:rPr>
        <w:t>Radcliffe Department of Medicine, University of Oxford, UK</w:t>
      </w:r>
    </w:p>
    <w:p w14:paraId="610D03FC" w14:textId="2BE1FF61" w:rsidR="00324657" w:rsidRDefault="005D2EF6" w:rsidP="00324657">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6</w:t>
      </w:r>
      <w:r w:rsidR="00324657">
        <w:rPr>
          <w:rFonts w:asciiTheme="majorBidi" w:hAnsiTheme="majorBidi" w:cstheme="majorBidi"/>
          <w:color w:val="000000" w:themeColor="text1"/>
        </w:rPr>
        <w:t>Nottingham Digestive Diseases Centre, School of Medicine, University of Nottingham, UK</w:t>
      </w:r>
    </w:p>
    <w:p w14:paraId="4B5EC89E" w14:textId="613ED519" w:rsidR="00324657" w:rsidRDefault="005D2EF6" w:rsidP="00324657">
      <w:pPr>
        <w:autoSpaceDE w:val="0"/>
        <w:autoSpaceDN w:val="0"/>
        <w:adjustRightInd w:val="0"/>
        <w:spacing w:after="0" w:line="480" w:lineRule="auto"/>
        <w:rPr>
          <w:rFonts w:asciiTheme="majorBidi" w:hAnsiTheme="majorBidi" w:cstheme="majorBidi"/>
          <w:color w:val="000000" w:themeColor="text1"/>
        </w:rPr>
      </w:pPr>
      <w:r>
        <w:rPr>
          <w:rFonts w:asciiTheme="majorBidi" w:hAnsiTheme="majorBidi" w:cstheme="majorBidi"/>
          <w:color w:val="000000" w:themeColor="text1"/>
          <w:vertAlign w:val="superscript"/>
        </w:rPr>
        <w:t>7</w:t>
      </w:r>
      <w:r w:rsidR="00324657">
        <w:rPr>
          <w:rFonts w:asciiTheme="majorBidi" w:hAnsiTheme="majorBidi" w:cstheme="majorBidi"/>
          <w:color w:val="000000" w:themeColor="text1"/>
        </w:rPr>
        <w:t>NIHR Nottingham Biomedical Research Centre, Nottingham University Hospitals NHS Trust and the University of Nottingham, UK</w:t>
      </w:r>
    </w:p>
    <w:p w14:paraId="395BD499" w14:textId="7441FD8C" w:rsidR="00247C32" w:rsidRDefault="00247C32" w:rsidP="00247C32">
      <w:pPr>
        <w:spacing w:after="0" w:line="480" w:lineRule="auto"/>
        <w:rPr>
          <w:rFonts w:asciiTheme="majorBidi" w:hAnsiTheme="majorBidi" w:cstheme="majorBidi"/>
        </w:rPr>
      </w:pPr>
    </w:p>
    <w:p w14:paraId="6CA9EE3E" w14:textId="5FC0080A" w:rsidR="00337D11" w:rsidRPr="0001728F" w:rsidRDefault="00030FFD" w:rsidP="00162054">
      <w:pPr>
        <w:tabs>
          <w:tab w:val="left" w:pos="0"/>
        </w:tabs>
        <w:spacing w:after="0" w:line="480" w:lineRule="auto"/>
        <w:jc w:val="both"/>
        <w:rPr>
          <w:rFonts w:asciiTheme="majorBidi" w:hAnsiTheme="majorBidi" w:cstheme="majorBidi"/>
          <w:bCs/>
        </w:rPr>
      </w:pPr>
      <w:r w:rsidRPr="0001728F">
        <w:rPr>
          <w:rFonts w:asciiTheme="majorBidi" w:hAnsiTheme="majorBidi" w:cstheme="majorBidi"/>
          <w:b/>
          <w:bCs/>
        </w:rPr>
        <w:t xml:space="preserve">Manuscript word count: </w:t>
      </w:r>
      <w:r w:rsidR="0001728F" w:rsidRPr="0001728F">
        <w:rPr>
          <w:rFonts w:asciiTheme="majorBidi" w:hAnsiTheme="majorBidi" w:cstheme="majorBidi"/>
          <w:bCs/>
        </w:rPr>
        <w:t>4</w:t>
      </w:r>
      <w:r w:rsidR="001D5676">
        <w:rPr>
          <w:rFonts w:asciiTheme="majorBidi" w:hAnsiTheme="majorBidi" w:cstheme="majorBidi"/>
          <w:bCs/>
        </w:rPr>
        <w:t>521</w:t>
      </w:r>
    </w:p>
    <w:p w14:paraId="4A69955E" w14:textId="4F940E5D" w:rsidR="00162054" w:rsidRDefault="00162054" w:rsidP="00162054">
      <w:pPr>
        <w:tabs>
          <w:tab w:val="left" w:pos="0"/>
        </w:tabs>
        <w:spacing w:after="0" w:line="480" w:lineRule="auto"/>
        <w:jc w:val="both"/>
        <w:rPr>
          <w:rFonts w:asciiTheme="majorBidi" w:hAnsiTheme="majorBidi" w:cstheme="majorBidi"/>
          <w:b/>
          <w:bCs/>
        </w:rPr>
      </w:pPr>
    </w:p>
    <w:p w14:paraId="7DF7F01B" w14:textId="1DF2584C" w:rsidR="00162054" w:rsidRDefault="00162054" w:rsidP="00162054">
      <w:pPr>
        <w:tabs>
          <w:tab w:val="left" w:pos="0"/>
        </w:tabs>
        <w:spacing w:after="0" w:line="480" w:lineRule="auto"/>
        <w:jc w:val="both"/>
        <w:rPr>
          <w:rFonts w:asciiTheme="majorBidi" w:hAnsiTheme="majorBidi" w:cstheme="majorBidi"/>
        </w:rPr>
      </w:pPr>
      <w:r w:rsidRPr="00EC6EEE">
        <w:rPr>
          <w:rFonts w:asciiTheme="majorBidi" w:hAnsiTheme="majorBidi" w:cstheme="majorBidi"/>
          <w:b/>
          <w:bCs/>
        </w:rPr>
        <w:t xml:space="preserve">Conflict of Interest: </w:t>
      </w:r>
      <w:r w:rsidR="008F34F8" w:rsidRPr="00EC6EEE">
        <w:rPr>
          <w:rFonts w:asciiTheme="majorBidi" w:hAnsiTheme="majorBidi" w:cstheme="majorBidi"/>
        </w:rPr>
        <w:t>S</w:t>
      </w:r>
      <w:r w:rsidR="008F34F8">
        <w:rPr>
          <w:rFonts w:asciiTheme="majorBidi" w:hAnsiTheme="majorBidi" w:cstheme="majorBidi"/>
        </w:rPr>
        <w:t>AW, JAS, TY, TT, HT, VG, EB, JC, SAP, AET</w:t>
      </w:r>
      <w:r w:rsidR="00D67463">
        <w:rPr>
          <w:rFonts w:asciiTheme="majorBidi" w:hAnsiTheme="majorBidi" w:cstheme="majorBidi"/>
        </w:rPr>
        <w:t>, VVM,</w:t>
      </w:r>
      <w:r>
        <w:rPr>
          <w:rFonts w:asciiTheme="majorBidi" w:hAnsiTheme="majorBidi" w:cstheme="majorBidi"/>
        </w:rPr>
        <w:t xml:space="preserve"> </w:t>
      </w:r>
      <w:r w:rsidR="00D67463">
        <w:rPr>
          <w:rFonts w:asciiTheme="majorBidi" w:hAnsiTheme="majorBidi" w:cstheme="majorBidi"/>
        </w:rPr>
        <w:t>DJS, RMW, CJH, GPA</w:t>
      </w:r>
      <w:r w:rsidR="0001728F">
        <w:rPr>
          <w:rFonts w:asciiTheme="majorBidi" w:hAnsiTheme="majorBidi" w:cstheme="majorBidi"/>
        </w:rPr>
        <w:t>,</w:t>
      </w:r>
      <w:r w:rsidR="00D67463">
        <w:rPr>
          <w:rFonts w:asciiTheme="majorBidi" w:hAnsiTheme="majorBidi" w:cstheme="majorBidi"/>
        </w:rPr>
        <w:t xml:space="preserve"> and JAK, no conflicts of interest.</w:t>
      </w:r>
    </w:p>
    <w:p w14:paraId="28FDB11B" w14:textId="2780180D" w:rsidR="00162054" w:rsidRDefault="00162054" w:rsidP="00162054">
      <w:pPr>
        <w:tabs>
          <w:tab w:val="left" w:pos="0"/>
        </w:tabs>
        <w:spacing w:after="0" w:line="480" w:lineRule="auto"/>
        <w:jc w:val="both"/>
        <w:rPr>
          <w:rFonts w:asciiTheme="majorBidi" w:hAnsiTheme="majorBidi" w:cstheme="majorBidi"/>
        </w:rPr>
      </w:pPr>
    </w:p>
    <w:p w14:paraId="782769E2" w14:textId="4A3866B9" w:rsidR="00162054" w:rsidRPr="00162054" w:rsidRDefault="00162054" w:rsidP="00162054">
      <w:pPr>
        <w:tabs>
          <w:tab w:val="left" w:pos="0"/>
        </w:tabs>
        <w:spacing w:after="0" w:line="480" w:lineRule="auto"/>
        <w:jc w:val="both"/>
        <w:rPr>
          <w:rFonts w:asciiTheme="majorBidi" w:hAnsiTheme="majorBidi" w:cstheme="majorBidi"/>
        </w:rPr>
      </w:pPr>
      <w:r>
        <w:rPr>
          <w:rFonts w:asciiTheme="majorBidi" w:hAnsiTheme="majorBidi" w:cstheme="majorBidi"/>
          <w:b/>
          <w:bCs/>
        </w:rPr>
        <w:lastRenderedPageBreak/>
        <w:t xml:space="preserve">Funding Disclosure: </w:t>
      </w:r>
      <w:r w:rsidRPr="00442DE6">
        <w:rPr>
          <w:rFonts w:asciiTheme="majorBidi" w:hAnsiTheme="majorBidi" w:cstheme="majorBidi"/>
          <w:color w:val="000000"/>
          <w:lang w:eastAsia="en-GB"/>
        </w:rPr>
        <w:t xml:space="preserve">The research was </w:t>
      </w:r>
      <w:r>
        <w:rPr>
          <w:rFonts w:asciiTheme="majorBidi" w:hAnsiTheme="majorBidi" w:cstheme="majorBidi"/>
          <w:color w:val="000000"/>
          <w:lang w:eastAsia="en-GB"/>
        </w:rPr>
        <w:t>funded</w:t>
      </w:r>
      <w:r w:rsidRPr="00442DE6">
        <w:rPr>
          <w:rFonts w:asciiTheme="majorBidi" w:hAnsiTheme="majorBidi" w:cstheme="majorBidi"/>
          <w:color w:val="000000"/>
          <w:lang w:eastAsia="en-GB"/>
        </w:rPr>
        <w:t xml:space="preserve"> by the National Institute for</w:t>
      </w:r>
      <w:r>
        <w:rPr>
          <w:rFonts w:asciiTheme="majorBidi" w:hAnsiTheme="majorBidi" w:cstheme="majorBidi"/>
          <w:lang w:eastAsia="en-GB"/>
        </w:rPr>
        <w:t xml:space="preserve"> </w:t>
      </w:r>
      <w:r w:rsidRPr="00442DE6">
        <w:rPr>
          <w:rFonts w:asciiTheme="majorBidi" w:hAnsiTheme="majorBidi" w:cstheme="majorBidi"/>
          <w:color w:val="000000"/>
          <w:lang w:eastAsia="en-GB"/>
        </w:rPr>
        <w:t xml:space="preserve">Health Research (NIHR) Leicester </w:t>
      </w:r>
      <w:r>
        <w:rPr>
          <w:rFonts w:asciiTheme="majorBidi" w:hAnsiTheme="majorBidi" w:cstheme="majorBidi"/>
          <w:color w:val="000000"/>
          <w:lang w:eastAsia="en-GB"/>
        </w:rPr>
        <w:t xml:space="preserve">and Nottingham </w:t>
      </w:r>
      <w:r w:rsidRPr="00442DE6">
        <w:rPr>
          <w:rFonts w:asciiTheme="majorBidi" w:hAnsiTheme="majorBidi" w:cstheme="majorBidi"/>
          <w:color w:val="000000"/>
          <w:lang w:eastAsia="en-GB"/>
        </w:rPr>
        <w:t>Bio</w:t>
      </w:r>
      <w:r>
        <w:rPr>
          <w:rFonts w:asciiTheme="majorBidi" w:hAnsiTheme="majorBidi" w:cstheme="majorBidi"/>
          <w:color w:val="000000"/>
          <w:lang w:eastAsia="en-GB"/>
        </w:rPr>
        <w:t>medical Research Centres.</w:t>
      </w:r>
      <w:r w:rsidRPr="00442DE6">
        <w:rPr>
          <w:rFonts w:asciiTheme="majorBidi" w:hAnsiTheme="majorBidi" w:cstheme="majorBidi"/>
          <w:color w:val="000000"/>
          <w:lang w:eastAsia="en-GB"/>
        </w:rPr>
        <w:t xml:space="preserve"> The views</w:t>
      </w:r>
      <w:r>
        <w:rPr>
          <w:rFonts w:asciiTheme="majorBidi" w:hAnsiTheme="majorBidi" w:cstheme="majorBidi"/>
          <w:lang w:eastAsia="en-GB"/>
        </w:rPr>
        <w:t xml:space="preserve"> </w:t>
      </w:r>
      <w:r w:rsidRPr="00442DE6">
        <w:rPr>
          <w:rFonts w:asciiTheme="majorBidi" w:hAnsiTheme="majorBidi" w:cstheme="majorBidi"/>
          <w:color w:val="000000"/>
          <w:lang w:eastAsia="en-GB"/>
        </w:rPr>
        <w:t>expressed are those of the authors and not necessarily those of the NHS, the NIHR or</w:t>
      </w:r>
      <w:r>
        <w:rPr>
          <w:rFonts w:asciiTheme="majorBidi" w:hAnsiTheme="majorBidi" w:cstheme="majorBidi"/>
          <w:lang w:eastAsia="en-GB"/>
        </w:rPr>
        <w:t xml:space="preserve"> </w:t>
      </w:r>
      <w:r w:rsidRPr="00442DE6">
        <w:rPr>
          <w:rFonts w:asciiTheme="majorBidi" w:hAnsiTheme="majorBidi" w:cstheme="majorBidi"/>
          <w:color w:val="000000"/>
          <w:lang w:eastAsia="en-GB"/>
        </w:rPr>
        <w:t>the Department of Health</w:t>
      </w:r>
      <w:r>
        <w:rPr>
          <w:rFonts w:asciiTheme="majorBidi" w:hAnsiTheme="majorBidi" w:cstheme="majorBidi"/>
          <w:color w:val="000000"/>
          <w:lang w:eastAsia="en-GB"/>
        </w:rPr>
        <w:t xml:space="preserve"> and Social Care</w:t>
      </w:r>
      <w:r w:rsidRPr="00442DE6">
        <w:rPr>
          <w:rFonts w:asciiTheme="majorBidi" w:hAnsiTheme="majorBidi" w:cstheme="majorBidi"/>
          <w:color w:val="000000"/>
          <w:lang w:eastAsia="en-GB"/>
        </w:rPr>
        <w:t>.</w:t>
      </w:r>
    </w:p>
    <w:p w14:paraId="1784F89D" w14:textId="28B0974A" w:rsidR="00C9401C" w:rsidRDefault="00C9401C" w:rsidP="008C55E8">
      <w:pPr>
        <w:tabs>
          <w:tab w:val="left" w:pos="0"/>
        </w:tabs>
        <w:spacing w:after="0" w:line="480" w:lineRule="auto"/>
        <w:jc w:val="both"/>
        <w:rPr>
          <w:rFonts w:asciiTheme="majorBidi" w:hAnsiTheme="majorBidi" w:cstheme="majorBidi"/>
          <w:bCs/>
        </w:rPr>
      </w:pPr>
    </w:p>
    <w:p w14:paraId="770D3E62" w14:textId="77777777" w:rsidR="00DB12D1" w:rsidRDefault="00DB12D1" w:rsidP="00DB12D1">
      <w:pPr>
        <w:spacing w:after="0" w:line="480" w:lineRule="auto"/>
        <w:rPr>
          <w:rFonts w:asciiTheme="majorBidi" w:hAnsiTheme="majorBidi" w:cstheme="majorBidi"/>
          <w:b/>
          <w:bCs/>
        </w:rPr>
      </w:pPr>
      <w:r>
        <w:rPr>
          <w:rFonts w:asciiTheme="majorBidi" w:hAnsiTheme="majorBidi" w:cstheme="majorBidi"/>
          <w:b/>
          <w:bCs/>
        </w:rPr>
        <w:t>Address for correspondence</w:t>
      </w:r>
    </w:p>
    <w:p w14:paraId="521F2685"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Dr James King</w:t>
      </w:r>
    </w:p>
    <w:p w14:paraId="10158BF8"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Senior Lecturer in Exercise Physiology</w:t>
      </w:r>
    </w:p>
    <w:p w14:paraId="25A75FCB"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School of Sport, Exercise and Health Sciences</w:t>
      </w:r>
    </w:p>
    <w:p w14:paraId="2112B927"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Loughborough University</w:t>
      </w:r>
    </w:p>
    <w:p w14:paraId="6655CECE"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Leicestershire</w:t>
      </w:r>
    </w:p>
    <w:p w14:paraId="04EB932D"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United Kingdom</w:t>
      </w:r>
    </w:p>
    <w:p w14:paraId="5C79CCC2" w14:textId="77777777" w:rsidR="00DB12D1" w:rsidRDefault="00DB12D1" w:rsidP="00DB12D1">
      <w:pPr>
        <w:spacing w:after="0" w:line="480" w:lineRule="auto"/>
        <w:rPr>
          <w:rFonts w:asciiTheme="majorBidi" w:hAnsiTheme="majorBidi" w:cstheme="majorBidi"/>
        </w:rPr>
      </w:pPr>
      <w:r>
        <w:rPr>
          <w:rFonts w:asciiTheme="majorBidi" w:hAnsiTheme="majorBidi" w:cstheme="majorBidi"/>
        </w:rPr>
        <w:t>LE11 3TU</w:t>
      </w:r>
    </w:p>
    <w:p w14:paraId="47B11D25" w14:textId="77777777" w:rsidR="00DB12D1" w:rsidRDefault="00DB12D1" w:rsidP="00DB12D1">
      <w:pPr>
        <w:spacing w:after="0" w:line="480" w:lineRule="auto"/>
        <w:rPr>
          <w:rFonts w:asciiTheme="majorBidi" w:hAnsiTheme="majorBidi" w:cstheme="majorBidi"/>
          <w:lang w:val="fr-FR"/>
        </w:rPr>
      </w:pPr>
      <w:proofErr w:type="gramStart"/>
      <w:r>
        <w:rPr>
          <w:rFonts w:asciiTheme="majorBidi" w:hAnsiTheme="majorBidi" w:cstheme="majorBidi"/>
          <w:lang w:val="fr-FR"/>
        </w:rPr>
        <w:t>Phone:</w:t>
      </w:r>
      <w:proofErr w:type="gramEnd"/>
      <w:r>
        <w:rPr>
          <w:rFonts w:asciiTheme="majorBidi" w:hAnsiTheme="majorBidi" w:cstheme="majorBidi"/>
          <w:lang w:val="fr-FR"/>
        </w:rPr>
        <w:t xml:space="preserve"> +44(0)1509 228457</w:t>
      </w:r>
    </w:p>
    <w:p w14:paraId="19A8AD4E" w14:textId="701EA69D" w:rsidR="00DB12D1" w:rsidRDefault="00DB12D1" w:rsidP="008C55E8">
      <w:pPr>
        <w:tabs>
          <w:tab w:val="left" w:pos="0"/>
        </w:tabs>
        <w:spacing w:after="0" w:line="480" w:lineRule="auto"/>
        <w:jc w:val="both"/>
        <w:rPr>
          <w:rStyle w:val="Hyperlink"/>
          <w:rFonts w:asciiTheme="majorBidi" w:hAnsiTheme="majorBidi" w:cstheme="majorBidi"/>
        </w:rPr>
      </w:pPr>
      <w:r>
        <w:rPr>
          <w:rFonts w:asciiTheme="majorBidi" w:hAnsiTheme="majorBidi" w:cstheme="majorBidi"/>
        </w:rPr>
        <w:t xml:space="preserve">Email: </w:t>
      </w:r>
      <w:hyperlink r:id="rId8" w:history="1">
        <w:r>
          <w:rPr>
            <w:rStyle w:val="Hyperlink"/>
            <w:rFonts w:asciiTheme="majorBidi" w:hAnsiTheme="majorBidi" w:cstheme="majorBidi"/>
          </w:rPr>
          <w:t>j.a.king@lboro.ac.uk</w:t>
        </w:r>
      </w:hyperlink>
    </w:p>
    <w:p w14:paraId="00404472" w14:textId="1A5904AC" w:rsidR="008C55E8" w:rsidRDefault="008C55E8" w:rsidP="005D7F05">
      <w:pPr>
        <w:tabs>
          <w:tab w:val="left" w:pos="0"/>
        </w:tabs>
        <w:spacing w:after="0" w:line="480" w:lineRule="auto"/>
        <w:jc w:val="both"/>
        <w:rPr>
          <w:rStyle w:val="Hyperlink"/>
          <w:rFonts w:asciiTheme="majorBidi" w:hAnsiTheme="majorBidi" w:cstheme="majorBidi"/>
        </w:rPr>
      </w:pPr>
    </w:p>
    <w:p w14:paraId="6414F97F" w14:textId="147403A8" w:rsidR="00763D09" w:rsidRPr="005D7F05" w:rsidRDefault="00763D09" w:rsidP="005D7F05">
      <w:pPr>
        <w:tabs>
          <w:tab w:val="left" w:pos="0"/>
        </w:tabs>
        <w:spacing w:after="0" w:line="480" w:lineRule="auto"/>
        <w:jc w:val="both"/>
        <w:rPr>
          <w:rStyle w:val="Hyperlink"/>
          <w:rFonts w:asciiTheme="majorBidi" w:hAnsiTheme="majorBidi" w:cstheme="majorBidi"/>
          <w:color w:val="000000" w:themeColor="text1"/>
          <w:u w:val="none"/>
        </w:rPr>
      </w:pPr>
      <w:r>
        <w:rPr>
          <w:rStyle w:val="Hyperlink"/>
          <w:rFonts w:asciiTheme="majorBidi" w:hAnsiTheme="majorBidi" w:cstheme="majorBidi"/>
          <w:b/>
          <w:bCs/>
          <w:color w:val="000000" w:themeColor="text1"/>
          <w:u w:val="none"/>
        </w:rPr>
        <w:t>Number of figures:</w:t>
      </w:r>
      <w:r w:rsidR="005D7F05">
        <w:rPr>
          <w:rStyle w:val="Hyperlink"/>
          <w:rFonts w:asciiTheme="majorBidi" w:hAnsiTheme="majorBidi" w:cstheme="majorBidi"/>
          <w:b/>
          <w:bCs/>
          <w:color w:val="000000" w:themeColor="text1"/>
          <w:u w:val="none"/>
        </w:rPr>
        <w:t xml:space="preserve"> </w:t>
      </w:r>
      <w:r w:rsidR="005D7F05">
        <w:rPr>
          <w:rStyle w:val="Hyperlink"/>
          <w:rFonts w:asciiTheme="majorBidi" w:hAnsiTheme="majorBidi" w:cstheme="majorBidi"/>
          <w:color w:val="000000" w:themeColor="text1"/>
          <w:u w:val="none"/>
        </w:rPr>
        <w:t>3</w:t>
      </w:r>
    </w:p>
    <w:p w14:paraId="1EC7336A" w14:textId="5B0C1AE2" w:rsidR="00763D09" w:rsidRDefault="00763D09" w:rsidP="005D7F05">
      <w:pPr>
        <w:tabs>
          <w:tab w:val="left" w:pos="0"/>
        </w:tabs>
        <w:spacing w:after="0" w:line="480" w:lineRule="auto"/>
        <w:jc w:val="both"/>
        <w:rPr>
          <w:rStyle w:val="Hyperlink"/>
          <w:rFonts w:asciiTheme="majorBidi" w:hAnsiTheme="majorBidi" w:cstheme="majorBidi"/>
          <w:b/>
          <w:bCs/>
          <w:color w:val="000000" w:themeColor="text1"/>
          <w:u w:val="none"/>
        </w:rPr>
      </w:pPr>
    </w:p>
    <w:p w14:paraId="7A7044D6" w14:textId="3C11D3A5" w:rsidR="00763D09" w:rsidRDefault="00763D09" w:rsidP="00197B4B">
      <w:pPr>
        <w:tabs>
          <w:tab w:val="left" w:pos="0"/>
        </w:tabs>
        <w:spacing w:after="0" w:line="480" w:lineRule="auto"/>
        <w:jc w:val="both"/>
        <w:rPr>
          <w:rStyle w:val="Hyperlink"/>
          <w:rFonts w:asciiTheme="majorBidi" w:hAnsiTheme="majorBidi" w:cstheme="majorBidi"/>
          <w:color w:val="000000" w:themeColor="text1"/>
          <w:u w:val="none"/>
        </w:rPr>
      </w:pPr>
      <w:r>
        <w:rPr>
          <w:rStyle w:val="Hyperlink"/>
          <w:rFonts w:asciiTheme="majorBidi" w:hAnsiTheme="majorBidi" w:cstheme="majorBidi"/>
          <w:b/>
          <w:bCs/>
          <w:color w:val="000000" w:themeColor="text1"/>
          <w:u w:val="none"/>
        </w:rPr>
        <w:t xml:space="preserve">Number of </w:t>
      </w:r>
      <w:r w:rsidR="005D7F05">
        <w:rPr>
          <w:rStyle w:val="Hyperlink"/>
          <w:rFonts w:asciiTheme="majorBidi" w:hAnsiTheme="majorBidi" w:cstheme="majorBidi"/>
          <w:b/>
          <w:bCs/>
          <w:color w:val="000000" w:themeColor="text1"/>
          <w:u w:val="none"/>
        </w:rPr>
        <w:t xml:space="preserve">tables: </w:t>
      </w:r>
      <w:r w:rsidR="005D7F05">
        <w:rPr>
          <w:rStyle w:val="Hyperlink"/>
          <w:rFonts w:asciiTheme="majorBidi" w:hAnsiTheme="majorBidi" w:cstheme="majorBidi"/>
          <w:color w:val="000000" w:themeColor="text1"/>
          <w:u w:val="none"/>
        </w:rPr>
        <w:t>3</w:t>
      </w:r>
    </w:p>
    <w:p w14:paraId="12F13730" w14:textId="4ADEE289" w:rsidR="00197B4B" w:rsidRDefault="00197B4B" w:rsidP="00197B4B">
      <w:pPr>
        <w:tabs>
          <w:tab w:val="left" w:pos="0"/>
        </w:tabs>
        <w:spacing w:after="0" w:line="480" w:lineRule="auto"/>
        <w:jc w:val="both"/>
        <w:rPr>
          <w:rStyle w:val="Hyperlink"/>
          <w:rFonts w:asciiTheme="majorBidi" w:hAnsiTheme="majorBidi" w:cstheme="majorBidi"/>
          <w:color w:val="000000" w:themeColor="text1"/>
          <w:u w:val="none"/>
        </w:rPr>
      </w:pPr>
    </w:p>
    <w:p w14:paraId="63A58127" w14:textId="675F7CA1" w:rsidR="00197B4B" w:rsidRPr="002202A0" w:rsidRDefault="00197B4B" w:rsidP="00197B4B">
      <w:pPr>
        <w:tabs>
          <w:tab w:val="left" w:pos="0"/>
        </w:tabs>
        <w:spacing w:after="0" w:line="480" w:lineRule="auto"/>
        <w:jc w:val="both"/>
        <w:rPr>
          <w:rStyle w:val="Hyperlink"/>
          <w:rFonts w:asciiTheme="majorBidi" w:hAnsiTheme="majorBidi" w:cstheme="majorBidi"/>
          <w:color w:val="000000" w:themeColor="text1"/>
          <w:u w:val="none"/>
        </w:rPr>
      </w:pPr>
      <w:r w:rsidRPr="005B0CDD">
        <w:rPr>
          <w:rStyle w:val="Hyperlink"/>
          <w:rFonts w:asciiTheme="majorBidi" w:hAnsiTheme="majorBidi" w:cstheme="majorBidi"/>
          <w:b/>
          <w:bCs/>
          <w:color w:val="000000" w:themeColor="text1"/>
          <w:u w:val="none"/>
        </w:rPr>
        <w:t>Supplementary data submitted:</w:t>
      </w:r>
      <w:r w:rsidR="002202A0">
        <w:rPr>
          <w:rStyle w:val="Hyperlink"/>
          <w:rFonts w:asciiTheme="majorBidi" w:hAnsiTheme="majorBidi" w:cstheme="majorBidi"/>
          <w:b/>
          <w:bCs/>
          <w:color w:val="000000" w:themeColor="text1"/>
          <w:u w:val="none"/>
        </w:rPr>
        <w:t xml:space="preserve"> </w:t>
      </w:r>
      <w:r w:rsidR="002202A0">
        <w:rPr>
          <w:rStyle w:val="Hyperlink"/>
          <w:rFonts w:asciiTheme="majorBidi" w:hAnsiTheme="majorBidi" w:cstheme="majorBidi"/>
          <w:color w:val="000000" w:themeColor="text1"/>
          <w:u w:val="none"/>
        </w:rPr>
        <w:t>Su</w:t>
      </w:r>
      <w:r w:rsidR="00EC6EEE">
        <w:rPr>
          <w:rStyle w:val="Hyperlink"/>
          <w:rFonts w:asciiTheme="majorBidi" w:hAnsiTheme="majorBidi" w:cstheme="majorBidi"/>
          <w:color w:val="000000" w:themeColor="text1"/>
          <w:u w:val="none"/>
        </w:rPr>
        <w:t>pplementa</w:t>
      </w:r>
      <w:r w:rsidR="00A7461E">
        <w:rPr>
          <w:rStyle w:val="Hyperlink"/>
          <w:rFonts w:asciiTheme="majorBidi" w:hAnsiTheme="majorBidi" w:cstheme="majorBidi"/>
          <w:color w:val="000000" w:themeColor="text1"/>
          <w:u w:val="none"/>
        </w:rPr>
        <w:t>l</w:t>
      </w:r>
      <w:r w:rsidR="00EC6EEE">
        <w:rPr>
          <w:rStyle w:val="Hyperlink"/>
          <w:rFonts w:asciiTheme="majorBidi" w:hAnsiTheme="majorBidi" w:cstheme="majorBidi"/>
          <w:color w:val="000000" w:themeColor="text1"/>
          <w:u w:val="none"/>
        </w:rPr>
        <w:t xml:space="preserve"> Tables </w:t>
      </w:r>
      <w:r w:rsidR="00EC6EEE" w:rsidRPr="000E1C62">
        <w:rPr>
          <w:rStyle w:val="Hyperlink"/>
          <w:rFonts w:asciiTheme="majorBidi" w:hAnsiTheme="majorBidi" w:cstheme="majorBidi"/>
          <w:color w:val="000000" w:themeColor="text1"/>
          <w:u w:val="none"/>
        </w:rPr>
        <w:t>1</w:t>
      </w:r>
      <w:r w:rsidR="006746AD" w:rsidRPr="000E1C62">
        <w:rPr>
          <w:rStyle w:val="Hyperlink"/>
          <w:rFonts w:asciiTheme="majorBidi" w:hAnsiTheme="majorBidi" w:cstheme="majorBidi"/>
          <w:color w:val="000000" w:themeColor="text1"/>
          <w:u w:val="none"/>
        </w:rPr>
        <w:t>,</w:t>
      </w:r>
      <w:r w:rsidR="00EC6EEE" w:rsidRPr="000E1C62">
        <w:rPr>
          <w:rStyle w:val="Hyperlink"/>
          <w:rFonts w:asciiTheme="majorBidi" w:hAnsiTheme="majorBidi" w:cstheme="majorBidi"/>
          <w:color w:val="000000" w:themeColor="text1"/>
          <w:u w:val="none"/>
        </w:rPr>
        <w:t xml:space="preserve"> 2</w:t>
      </w:r>
      <w:r w:rsidR="00110E77" w:rsidRPr="000E1C62">
        <w:rPr>
          <w:rStyle w:val="Hyperlink"/>
          <w:rFonts w:asciiTheme="majorBidi" w:hAnsiTheme="majorBidi" w:cstheme="majorBidi"/>
          <w:color w:val="000000" w:themeColor="text1"/>
          <w:u w:val="none"/>
        </w:rPr>
        <w:t>,</w:t>
      </w:r>
      <w:r w:rsidR="006746AD" w:rsidRPr="000E1C62">
        <w:rPr>
          <w:rStyle w:val="Hyperlink"/>
          <w:rFonts w:asciiTheme="majorBidi" w:hAnsiTheme="majorBidi" w:cstheme="majorBidi"/>
          <w:color w:val="000000" w:themeColor="text1"/>
          <w:u w:val="none"/>
        </w:rPr>
        <w:t xml:space="preserve"> 3</w:t>
      </w:r>
      <w:r w:rsidR="00357A62" w:rsidRPr="000E1C62">
        <w:rPr>
          <w:rStyle w:val="Hyperlink"/>
          <w:rFonts w:asciiTheme="majorBidi" w:hAnsiTheme="majorBidi" w:cstheme="majorBidi"/>
          <w:color w:val="000000" w:themeColor="text1"/>
          <w:u w:val="none"/>
        </w:rPr>
        <w:t xml:space="preserve"> and</w:t>
      </w:r>
      <w:r w:rsidR="00357A62">
        <w:rPr>
          <w:rStyle w:val="Hyperlink"/>
          <w:rFonts w:asciiTheme="majorBidi" w:hAnsiTheme="majorBidi" w:cstheme="majorBidi"/>
          <w:color w:val="000000" w:themeColor="text1"/>
          <w:u w:val="none"/>
        </w:rPr>
        <w:t xml:space="preserve"> Supplementa</w:t>
      </w:r>
      <w:r w:rsidR="00A7461E">
        <w:rPr>
          <w:rStyle w:val="Hyperlink"/>
          <w:rFonts w:asciiTheme="majorBidi" w:hAnsiTheme="majorBidi" w:cstheme="majorBidi"/>
          <w:color w:val="000000" w:themeColor="text1"/>
          <w:u w:val="none"/>
        </w:rPr>
        <w:t>l</w:t>
      </w:r>
      <w:r w:rsidR="00357A62">
        <w:rPr>
          <w:rStyle w:val="Hyperlink"/>
          <w:rFonts w:asciiTheme="majorBidi" w:hAnsiTheme="majorBidi" w:cstheme="majorBidi"/>
          <w:color w:val="000000" w:themeColor="text1"/>
          <w:u w:val="none"/>
        </w:rPr>
        <w:t xml:space="preserve"> Figure </w:t>
      </w:r>
      <w:r w:rsidR="003A0D2A">
        <w:rPr>
          <w:rStyle w:val="Hyperlink"/>
          <w:rFonts w:asciiTheme="majorBidi" w:hAnsiTheme="majorBidi" w:cstheme="majorBidi"/>
          <w:color w:val="000000" w:themeColor="text1"/>
          <w:u w:val="none"/>
        </w:rPr>
        <w:t xml:space="preserve">1 are available from the “Supplementary data” link in the online posting of the article and from the same link in the online table of contents at </w:t>
      </w:r>
      <w:hyperlink r:id="rId9" w:history="1">
        <w:r w:rsidR="003A0D2A" w:rsidRPr="000E18DA">
          <w:rPr>
            <w:rStyle w:val="Hyperlink"/>
            <w:rFonts w:asciiTheme="majorBidi" w:hAnsiTheme="majorBidi" w:cstheme="majorBidi"/>
          </w:rPr>
          <w:t>https://academic.oup.com/jn</w:t>
        </w:r>
      </w:hyperlink>
      <w:r w:rsidR="003A0D2A">
        <w:rPr>
          <w:rStyle w:val="Hyperlink"/>
          <w:rFonts w:asciiTheme="majorBidi" w:hAnsiTheme="majorBidi" w:cstheme="majorBidi"/>
          <w:color w:val="000000" w:themeColor="text1"/>
          <w:u w:val="none"/>
        </w:rPr>
        <w:t xml:space="preserve">. </w:t>
      </w:r>
    </w:p>
    <w:p w14:paraId="5A2170D3" w14:textId="1A2D6251" w:rsidR="008C55E8" w:rsidRPr="00F965A0" w:rsidRDefault="008C55E8" w:rsidP="00197B4B">
      <w:pPr>
        <w:tabs>
          <w:tab w:val="left" w:pos="0"/>
        </w:tabs>
        <w:spacing w:after="0" w:line="480" w:lineRule="auto"/>
        <w:jc w:val="both"/>
        <w:rPr>
          <w:rFonts w:asciiTheme="majorBidi" w:hAnsiTheme="majorBidi" w:cstheme="majorBidi"/>
          <w:bCs/>
        </w:rPr>
      </w:pPr>
    </w:p>
    <w:p w14:paraId="30E9FCF0" w14:textId="77777777" w:rsidR="008B4D27" w:rsidRDefault="00197B4B" w:rsidP="00F04196">
      <w:pPr>
        <w:tabs>
          <w:tab w:val="left" w:pos="0"/>
        </w:tabs>
        <w:spacing w:after="0" w:line="480" w:lineRule="auto"/>
        <w:jc w:val="both"/>
        <w:rPr>
          <w:rFonts w:asciiTheme="majorBidi" w:hAnsiTheme="majorBidi" w:cstheme="majorBidi"/>
          <w:bCs/>
        </w:rPr>
      </w:pPr>
      <w:r>
        <w:rPr>
          <w:rFonts w:asciiTheme="majorBidi" w:hAnsiTheme="majorBidi" w:cstheme="majorBidi"/>
          <w:b/>
          <w:bCs/>
        </w:rPr>
        <w:t>Running</w:t>
      </w:r>
      <w:r w:rsidR="008F144F">
        <w:rPr>
          <w:rFonts w:asciiTheme="majorBidi" w:hAnsiTheme="majorBidi" w:cstheme="majorBidi"/>
          <w:b/>
          <w:bCs/>
        </w:rPr>
        <w:t xml:space="preserve"> title</w:t>
      </w:r>
      <w:r w:rsidR="007E6B8A">
        <w:rPr>
          <w:rFonts w:asciiTheme="majorBidi" w:hAnsiTheme="majorBidi" w:cstheme="majorBidi"/>
          <w:b/>
          <w:bCs/>
        </w:rPr>
        <w:t xml:space="preserve">: </w:t>
      </w:r>
      <w:r w:rsidR="007E6B8A" w:rsidRPr="00176381">
        <w:rPr>
          <w:rFonts w:asciiTheme="majorBidi" w:hAnsiTheme="majorBidi" w:cstheme="majorBidi"/>
          <w:bCs/>
        </w:rPr>
        <w:t>Hyper-energetic, high-fat feeding and hepatokines</w:t>
      </w:r>
    </w:p>
    <w:p w14:paraId="397C22C6" w14:textId="77777777" w:rsidR="008B4D27" w:rsidRDefault="008B4D27" w:rsidP="00F04196">
      <w:pPr>
        <w:tabs>
          <w:tab w:val="left" w:pos="0"/>
        </w:tabs>
        <w:spacing w:after="0" w:line="480" w:lineRule="auto"/>
        <w:jc w:val="both"/>
        <w:rPr>
          <w:rFonts w:asciiTheme="majorBidi" w:hAnsiTheme="majorBidi" w:cstheme="majorBidi"/>
          <w:bCs/>
        </w:rPr>
      </w:pPr>
    </w:p>
    <w:p w14:paraId="2632EB36" w14:textId="5A215D20" w:rsidR="00F04196" w:rsidRPr="00801A87" w:rsidRDefault="005D0AE0" w:rsidP="00E6562A">
      <w:pPr>
        <w:tabs>
          <w:tab w:val="left" w:pos="0"/>
        </w:tabs>
        <w:spacing w:line="480" w:lineRule="auto"/>
        <w:jc w:val="both"/>
        <w:rPr>
          <w:rFonts w:asciiTheme="majorBidi" w:hAnsiTheme="majorBidi" w:cstheme="majorBidi"/>
          <w:bCs/>
        </w:rPr>
        <w:sectPr w:rsidR="00F04196" w:rsidRPr="00801A87" w:rsidSect="007B6986">
          <w:headerReference w:type="even" r:id="rId10"/>
          <w:headerReference w:type="default" r:id="rId11"/>
          <w:footerReference w:type="default" r:id="rId12"/>
          <w:pgSz w:w="11906" w:h="16838"/>
          <w:pgMar w:top="1440" w:right="1440" w:bottom="1440" w:left="1440" w:header="708" w:footer="708" w:gutter="0"/>
          <w:cols w:space="708"/>
          <w:docGrid w:linePitch="360"/>
        </w:sectPr>
      </w:pPr>
      <w:r w:rsidRPr="005D0AE0">
        <w:rPr>
          <w:rFonts w:asciiTheme="majorBidi" w:hAnsiTheme="majorBidi" w:cstheme="majorBidi"/>
          <w:b/>
        </w:rPr>
        <w:t>Abbreviations used</w:t>
      </w:r>
      <w:r w:rsidR="00801A87">
        <w:rPr>
          <w:rFonts w:asciiTheme="majorBidi" w:hAnsiTheme="majorBidi" w:cstheme="majorBidi"/>
          <w:b/>
        </w:rPr>
        <w:t xml:space="preserve">: </w:t>
      </w:r>
      <w:r w:rsidR="007E1BF8">
        <w:rPr>
          <w:rFonts w:asciiTheme="majorBidi" w:hAnsiTheme="majorBidi" w:cstheme="majorBidi"/>
        </w:rPr>
        <w:t xml:space="preserve">Adipo-IR, adipose tissue insulin </w:t>
      </w:r>
      <w:r w:rsidR="008A7C3A">
        <w:rPr>
          <w:rFonts w:asciiTheme="majorBidi" w:hAnsiTheme="majorBidi" w:cstheme="majorBidi"/>
        </w:rPr>
        <w:t xml:space="preserve">resistance index; </w:t>
      </w:r>
      <w:r w:rsidR="00315AA9">
        <w:rPr>
          <w:rFonts w:asciiTheme="majorBidi" w:hAnsiTheme="majorBidi" w:cstheme="majorBidi"/>
        </w:rPr>
        <w:t xml:space="preserve">ALT, alanine </w:t>
      </w:r>
      <w:r w:rsidR="00915A71">
        <w:rPr>
          <w:rFonts w:asciiTheme="majorBidi" w:hAnsiTheme="majorBidi" w:cstheme="majorBidi"/>
        </w:rPr>
        <w:t>aminotransferase</w:t>
      </w:r>
      <w:r w:rsidR="00315AA9">
        <w:rPr>
          <w:rFonts w:asciiTheme="majorBidi" w:hAnsiTheme="majorBidi" w:cstheme="majorBidi"/>
        </w:rPr>
        <w:t xml:space="preserve">; AST, aspartate </w:t>
      </w:r>
      <w:r w:rsidR="007E1BF8">
        <w:rPr>
          <w:rFonts w:asciiTheme="majorBidi" w:hAnsiTheme="majorBidi" w:cstheme="majorBidi"/>
        </w:rPr>
        <w:t>aminotransferase</w:t>
      </w:r>
      <w:r w:rsidR="00315AA9">
        <w:rPr>
          <w:rFonts w:asciiTheme="majorBidi" w:hAnsiTheme="majorBidi" w:cstheme="majorBidi"/>
        </w:rPr>
        <w:t xml:space="preserve">; </w:t>
      </w:r>
      <w:r w:rsidR="00A66665">
        <w:rPr>
          <w:rFonts w:asciiTheme="majorBidi" w:hAnsiTheme="majorBidi" w:cstheme="majorBidi"/>
          <w:bCs/>
        </w:rPr>
        <w:t>AMPK, AMP-activated protein kinase;</w:t>
      </w:r>
      <w:r w:rsidR="00121E71">
        <w:rPr>
          <w:rFonts w:asciiTheme="majorBidi" w:hAnsiTheme="majorBidi" w:cstheme="majorBidi"/>
          <w:bCs/>
        </w:rPr>
        <w:t xml:space="preserve"> </w:t>
      </w:r>
      <w:r w:rsidR="00801A87">
        <w:rPr>
          <w:rFonts w:asciiTheme="majorBidi" w:hAnsiTheme="majorBidi" w:cstheme="majorBidi"/>
          <w:bCs/>
        </w:rPr>
        <w:t>FGF21, fibroblast growth factor 21</w:t>
      </w:r>
      <w:r w:rsidR="00FC320B">
        <w:rPr>
          <w:rFonts w:asciiTheme="majorBidi" w:hAnsiTheme="majorBidi" w:cstheme="majorBidi"/>
          <w:iCs/>
        </w:rPr>
        <w:t>;</w:t>
      </w:r>
      <w:r w:rsidR="007E1BF8">
        <w:rPr>
          <w:rFonts w:asciiTheme="majorBidi" w:hAnsiTheme="majorBidi" w:cstheme="majorBidi"/>
          <w:iCs/>
        </w:rPr>
        <w:t xml:space="preserve"> GGT, gamma-</w:t>
      </w:r>
      <w:proofErr w:type="spellStart"/>
      <w:r w:rsidR="007E1BF8">
        <w:rPr>
          <w:rFonts w:asciiTheme="majorBidi" w:hAnsiTheme="majorBidi" w:cstheme="majorBidi"/>
          <w:iCs/>
        </w:rPr>
        <w:t>glutamyltransferase</w:t>
      </w:r>
      <w:proofErr w:type="spellEnd"/>
      <w:r w:rsidR="007E1BF8">
        <w:rPr>
          <w:rFonts w:asciiTheme="majorBidi" w:hAnsiTheme="majorBidi" w:cstheme="majorBidi"/>
          <w:iCs/>
        </w:rPr>
        <w:t>;</w:t>
      </w:r>
      <w:r w:rsidR="00FC320B">
        <w:rPr>
          <w:rFonts w:asciiTheme="majorBidi" w:hAnsiTheme="majorBidi" w:cstheme="majorBidi"/>
          <w:iCs/>
        </w:rPr>
        <w:t xml:space="preserve"> </w:t>
      </w:r>
      <w:r w:rsidR="004C7D1F">
        <w:rPr>
          <w:rFonts w:asciiTheme="majorBidi" w:hAnsiTheme="majorBidi" w:cstheme="majorBidi"/>
          <w:bCs/>
        </w:rPr>
        <w:t>HE-HFD, hyper-energetic, high-fat diet;</w:t>
      </w:r>
      <w:r w:rsidR="008A7C3A">
        <w:rPr>
          <w:rFonts w:asciiTheme="majorBidi" w:hAnsiTheme="majorBidi" w:cstheme="majorBidi"/>
          <w:bCs/>
        </w:rPr>
        <w:t xml:space="preserve"> HOMA-IR, homeostatic model assessment of insulin resistance</w:t>
      </w:r>
      <w:r w:rsidR="00A3703B">
        <w:rPr>
          <w:rFonts w:asciiTheme="majorBidi" w:hAnsiTheme="majorBidi" w:cstheme="majorBidi"/>
          <w:bCs/>
        </w:rPr>
        <w:t>; ISI, insulin sensitivity index;</w:t>
      </w:r>
      <w:r w:rsidR="00801A87">
        <w:rPr>
          <w:rFonts w:asciiTheme="majorBidi" w:hAnsiTheme="majorBidi" w:cstheme="majorBidi"/>
          <w:bCs/>
        </w:rPr>
        <w:t xml:space="preserve"> </w:t>
      </w:r>
      <w:r w:rsidR="00B52ADD">
        <w:rPr>
          <w:rFonts w:asciiTheme="majorBidi" w:hAnsiTheme="majorBidi" w:cstheme="majorBidi"/>
          <w:bCs/>
        </w:rPr>
        <w:t>LECT2, leukocyte cell-derived chemotaxin 2</w:t>
      </w:r>
      <w:r w:rsidR="00BB3EA0">
        <w:rPr>
          <w:rFonts w:asciiTheme="majorBidi" w:hAnsiTheme="majorBidi" w:cstheme="majorBidi"/>
          <w:bCs/>
        </w:rPr>
        <w:t>;</w:t>
      </w:r>
      <w:r w:rsidR="00FF69BD">
        <w:rPr>
          <w:rFonts w:asciiTheme="majorBidi" w:hAnsiTheme="majorBidi" w:cstheme="majorBidi"/>
          <w:bCs/>
        </w:rPr>
        <w:t xml:space="preserve"> </w:t>
      </w:r>
      <w:r w:rsidR="00D3007E">
        <w:rPr>
          <w:rFonts w:asciiTheme="majorBidi" w:hAnsiTheme="majorBidi" w:cstheme="majorBidi"/>
          <w:bCs/>
        </w:rPr>
        <w:t xml:space="preserve">NEFA, non-esterified fatty acid; </w:t>
      </w:r>
      <w:r w:rsidR="00FF69BD">
        <w:rPr>
          <w:rFonts w:asciiTheme="majorBidi" w:hAnsiTheme="majorBidi" w:cstheme="majorBidi"/>
          <w:bCs/>
        </w:rPr>
        <w:t>OGTT, oral glucose tolerance test; RMR, resting metabolic rate;</w:t>
      </w:r>
      <w:r w:rsidR="00B52ADD">
        <w:rPr>
          <w:rFonts w:asciiTheme="majorBidi" w:hAnsiTheme="majorBidi" w:cstheme="majorBidi"/>
          <w:bCs/>
        </w:rPr>
        <w:t xml:space="preserve"> SeP, </w:t>
      </w:r>
      <w:proofErr w:type="spellStart"/>
      <w:r w:rsidR="00B52ADD">
        <w:rPr>
          <w:rFonts w:asciiTheme="majorBidi" w:hAnsiTheme="majorBidi" w:cstheme="majorBidi"/>
          <w:bCs/>
        </w:rPr>
        <w:t>selenoprotein</w:t>
      </w:r>
      <w:proofErr w:type="spellEnd"/>
      <w:r w:rsidR="009459E8">
        <w:rPr>
          <w:rFonts w:asciiTheme="majorBidi" w:hAnsiTheme="majorBidi" w:cstheme="majorBidi"/>
          <w:bCs/>
        </w:rPr>
        <w:t xml:space="preserve"> </w:t>
      </w:r>
      <w:r w:rsidR="00B52ADD">
        <w:rPr>
          <w:rFonts w:asciiTheme="majorBidi" w:hAnsiTheme="majorBidi" w:cstheme="majorBidi"/>
          <w:bCs/>
        </w:rPr>
        <w:t>P</w:t>
      </w:r>
      <w:r w:rsidR="00D3007E">
        <w:rPr>
          <w:rFonts w:asciiTheme="majorBidi" w:hAnsiTheme="majorBidi" w:cstheme="majorBidi"/>
          <w:bCs/>
        </w:rPr>
        <w:t>; TAG, triacylglycerol</w:t>
      </w:r>
    </w:p>
    <w:p w14:paraId="5EFDBBF9" w14:textId="4AAA673B" w:rsidR="00AD1B89" w:rsidRPr="007B6986" w:rsidRDefault="00AD1B89" w:rsidP="00AD1B89">
      <w:pPr>
        <w:tabs>
          <w:tab w:val="left" w:pos="0"/>
        </w:tabs>
        <w:spacing w:after="0" w:line="480" w:lineRule="auto"/>
        <w:jc w:val="both"/>
        <w:rPr>
          <w:rFonts w:asciiTheme="majorBidi" w:hAnsiTheme="majorBidi" w:cstheme="majorBidi"/>
          <w:bCs/>
        </w:rPr>
      </w:pPr>
      <w:r>
        <w:rPr>
          <w:rFonts w:asciiTheme="majorBidi" w:hAnsiTheme="majorBidi" w:cstheme="majorBidi"/>
          <w:b/>
          <w:bCs/>
        </w:rPr>
        <w:lastRenderedPageBreak/>
        <w:t>Abstract</w:t>
      </w:r>
    </w:p>
    <w:p w14:paraId="47212BCE" w14:textId="4A0C70CF" w:rsidR="00AD1B89" w:rsidRDefault="00626DB3" w:rsidP="00AD1B89">
      <w:pPr>
        <w:spacing w:line="480" w:lineRule="auto"/>
        <w:jc w:val="both"/>
        <w:rPr>
          <w:rFonts w:asciiTheme="majorBidi" w:hAnsiTheme="majorBidi" w:cstheme="majorBidi"/>
          <w:bCs/>
        </w:rPr>
      </w:pPr>
      <w:r>
        <w:rPr>
          <w:rFonts w:asciiTheme="majorBidi" w:hAnsiTheme="majorBidi" w:cstheme="majorBidi"/>
          <w:bCs/>
          <w:i/>
        </w:rPr>
        <w:t>Backgroun</w:t>
      </w:r>
      <w:r w:rsidR="00F31DB7">
        <w:rPr>
          <w:rFonts w:asciiTheme="majorBidi" w:hAnsiTheme="majorBidi" w:cstheme="majorBidi"/>
          <w:bCs/>
          <w:i/>
        </w:rPr>
        <w:t>d</w:t>
      </w:r>
      <w:r w:rsidR="00AD1B89">
        <w:rPr>
          <w:rFonts w:asciiTheme="majorBidi" w:hAnsiTheme="majorBidi" w:cstheme="majorBidi"/>
          <w:bCs/>
          <w:i/>
        </w:rPr>
        <w:t xml:space="preserve">: </w:t>
      </w:r>
      <w:r w:rsidR="00AD1B89">
        <w:rPr>
          <w:rFonts w:asciiTheme="majorBidi" w:hAnsiTheme="majorBidi" w:cstheme="majorBidi"/>
          <w:bCs/>
        </w:rPr>
        <w:t xml:space="preserve">Hepatokines such as fibroblast growth factor 21 (FGF21), leukocyte cell-derived chemotaxin 2 (LECT2), fetuin-A, fetuin-B and </w:t>
      </w:r>
      <w:proofErr w:type="spellStart"/>
      <w:r w:rsidR="00AD1B89">
        <w:rPr>
          <w:rFonts w:asciiTheme="majorBidi" w:hAnsiTheme="majorBidi" w:cstheme="majorBidi"/>
          <w:bCs/>
        </w:rPr>
        <w:t>selenoprotein</w:t>
      </w:r>
      <w:proofErr w:type="spellEnd"/>
      <w:r w:rsidR="009459E8">
        <w:rPr>
          <w:rFonts w:asciiTheme="majorBidi" w:hAnsiTheme="majorBidi" w:cstheme="majorBidi"/>
          <w:bCs/>
        </w:rPr>
        <w:t xml:space="preserve"> </w:t>
      </w:r>
      <w:r w:rsidR="00AD1B89">
        <w:rPr>
          <w:rFonts w:asciiTheme="majorBidi" w:hAnsiTheme="majorBidi" w:cstheme="majorBidi"/>
          <w:bCs/>
        </w:rPr>
        <w:t xml:space="preserve">P (SeP) are liver-derived proteins which are modulated by chronic energy status and metabolic disease. Emerging data from rodent and cell models indicate that hepatokines may be sensitive to acute nutritional manipulation; however, data in humans </w:t>
      </w:r>
      <w:r w:rsidR="00EA7100">
        <w:rPr>
          <w:rFonts w:asciiTheme="majorBidi" w:hAnsiTheme="majorBidi" w:cstheme="majorBidi"/>
          <w:bCs/>
        </w:rPr>
        <w:t>are</w:t>
      </w:r>
      <w:r w:rsidR="00AD1B89">
        <w:rPr>
          <w:rFonts w:asciiTheme="majorBidi" w:hAnsiTheme="majorBidi" w:cstheme="majorBidi"/>
          <w:bCs/>
        </w:rPr>
        <w:t xml:space="preserve"> lacking.</w:t>
      </w:r>
    </w:p>
    <w:p w14:paraId="5E9A4A56" w14:textId="48CA1437" w:rsidR="00AD1B89" w:rsidRDefault="00AD1B89" w:rsidP="00AD1B89">
      <w:pPr>
        <w:spacing w:line="480" w:lineRule="auto"/>
        <w:jc w:val="both"/>
        <w:rPr>
          <w:rFonts w:asciiTheme="majorBidi" w:hAnsiTheme="majorBidi" w:cstheme="majorBidi"/>
          <w:bCs/>
        </w:rPr>
      </w:pPr>
      <w:r>
        <w:rPr>
          <w:rFonts w:asciiTheme="majorBidi" w:hAnsiTheme="majorBidi" w:cstheme="majorBidi"/>
          <w:bCs/>
          <w:i/>
        </w:rPr>
        <w:t>Objective:</w:t>
      </w:r>
      <w:r>
        <w:rPr>
          <w:rFonts w:asciiTheme="majorBidi" w:hAnsiTheme="majorBidi" w:cstheme="majorBidi"/>
          <w:bCs/>
        </w:rPr>
        <w:t xml:space="preserve"> </w:t>
      </w:r>
      <w:r w:rsidR="00463612">
        <w:rPr>
          <w:rFonts w:asciiTheme="majorBidi" w:hAnsiTheme="majorBidi" w:cstheme="majorBidi"/>
          <w:bCs/>
        </w:rPr>
        <w:t>T</w:t>
      </w:r>
      <w:r w:rsidR="009B5DBF">
        <w:rPr>
          <w:rFonts w:asciiTheme="majorBidi" w:hAnsiTheme="majorBidi" w:cstheme="majorBidi"/>
          <w:bCs/>
        </w:rPr>
        <w:t xml:space="preserve">o </w:t>
      </w:r>
      <w:r>
        <w:rPr>
          <w:rFonts w:asciiTheme="majorBidi" w:hAnsiTheme="majorBidi" w:cstheme="majorBidi"/>
          <w:bCs/>
        </w:rPr>
        <w:t>investigate the influence of hyper-energetic, high-fat feeding on circulating hepatokine concentrations</w:t>
      </w:r>
      <w:r w:rsidR="00071325">
        <w:rPr>
          <w:rFonts w:asciiTheme="majorBidi" w:hAnsiTheme="majorBidi" w:cstheme="majorBidi"/>
          <w:bCs/>
        </w:rPr>
        <w:t>,</w:t>
      </w:r>
      <w:r>
        <w:rPr>
          <w:rFonts w:asciiTheme="majorBidi" w:hAnsiTheme="majorBidi" w:cstheme="majorBidi"/>
          <w:bCs/>
        </w:rPr>
        <w:t xml:space="preserve"> </w:t>
      </w:r>
      <w:r w:rsidR="00071325">
        <w:rPr>
          <w:rFonts w:asciiTheme="majorBidi" w:hAnsiTheme="majorBidi" w:cstheme="majorBidi"/>
          <w:bCs/>
        </w:rPr>
        <w:t>including</w:t>
      </w:r>
      <w:r>
        <w:rPr>
          <w:rFonts w:asciiTheme="majorBidi" w:hAnsiTheme="majorBidi" w:cstheme="majorBidi"/>
          <w:bCs/>
        </w:rPr>
        <w:t xml:space="preserve"> the time-course of responses. </w:t>
      </w:r>
    </w:p>
    <w:p w14:paraId="6022B08A" w14:textId="3ECDED28" w:rsidR="00AD1B89" w:rsidRPr="000E1C62" w:rsidRDefault="00924382" w:rsidP="00AD1B89">
      <w:pPr>
        <w:spacing w:line="480" w:lineRule="auto"/>
        <w:jc w:val="both"/>
        <w:rPr>
          <w:rFonts w:asciiTheme="majorBidi" w:hAnsiTheme="majorBidi" w:cstheme="majorBidi"/>
          <w:bCs/>
        </w:rPr>
      </w:pPr>
      <w:r w:rsidRPr="000E1C62">
        <w:rPr>
          <w:rFonts w:asciiTheme="majorBidi" w:hAnsiTheme="majorBidi" w:cstheme="majorBidi"/>
          <w:bCs/>
          <w:i/>
        </w:rPr>
        <w:t>Methods</w:t>
      </w:r>
      <w:r w:rsidR="00AD1B89" w:rsidRPr="000E1C62">
        <w:rPr>
          <w:rFonts w:asciiTheme="majorBidi" w:hAnsiTheme="majorBidi" w:cstheme="majorBidi"/>
          <w:bCs/>
          <w:i/>
        </w:rPr>
        <w:t xml:space="preserve">: </w:t>
      </w:r>
      <w:r w:rsidR="00AD1B89" w:rsidRPr="000E1C62">
        <w:rPr>
          <w:rFonts w:asciiTheme="majorBidi" w:hAnsiTheme="majorBidi" w:cstheme="majorBidi"/>
          <w:bCs/>
        </w:rPr>
        <w:t>In a randomised, crossover design, 12 healthy men</w:t>
      </w:r>
      <w:r w:rsidR="00A82202" w:rsidRPr="000E1C62">
        <w:rPr>
          <w:rFonts w:asciiTheme="majorBidi" w:hAnsiTheme="majorBidi" w:cstheme="majorBidi"/>
          <w:bCs/>
        </w:rPr>
        <w:t xml:space="preserve"> (</w:t>
      </w:r>
      <w:r w:rsidR="007119F7" w:rsidRPr="000E1C62">
        <w:rPr>
          <w:rFonts w:asciiTheme="majorBidi" w:hAnsiTheme="majorBidi" w:cstheme="majorBidi"/>
          <w:bCs/>
        </w:rPr>
        <w:t>mean ± SD</w:t>
      </w:r>
      <w:r w:rsidR="005E0FE7" w:rsidRPr="000E1C62">
        <w:rPr>
          <w:rFonts w:asciiTheme="majorBidi" w:hAnsiTheme="majorBidi" w:cstheme="majorBidi"/>
          <w:bCs/>
        </w:rPr>
        <w:t>: age</w:t>
      </w:r>
      <w:r w:rsidR="008E160E" w:rsidRPr="000E1C62">
        <w:rPr>
          <w:rFonts w:asciiTheme="majorBidi" w:hAnsiTheme="majorBidi" w:cstheme="majorBidi"/>
          <w:bCs/>
        </w:rPr>
        <w:t>, 24 ±</w:t>
      </w:r>
      <w:r w:rsidR="00625A77" w:rsidRPr="000E1C62">
        <w:rPr>
          <w:rFonts w:asciiTheme="majorBidi" w:hAnsiTheme="majorBidi" w:cstheme="majorBidi"/>
          <w:bCs/>
        </w:rPr>
        <w:t xml:space="preserve"> 4 years; BMI, 24.1 ± 1.5 </w:t>
      </w:r>
      <w:r w:rsidR="00625A77" w:rsidRPr="000E1C62">
        <w:rPr>
          <w:rFonts w:asciiTheme="majorBidi" w:hAnsiTheme="majorBidi" w:cstheme="majorBidi"/>
        </w:rPr>
        <w:t>kg∙m</w:t>
      </w:r>
      <w:r w:rsidR="00625A77" w:rsidRPr="000E1C62">
        <w:rPr>
          <w:rFonts w:asciiTheme="majorBidi" w:hAnsiTheme="majorBidi" w:cstheme="majorBidi"/>
          <w:vertAlign w:val="superscript"/>
        </w:rPr>
        <w:t>-2</w:t>
      </w:r>
      <w:r w:rsidR="00625A77" w:rsidRPr="000E1C62">
        <w:rPr>
          <w:rFonts w:asciiTheme="majorBidi" w:hAnsiTheme="majorBidi" w:cstheme="majorBidi"/>
        </w:rPr>
        <w:t>)</w:t>
      </w:r>
      <w:r w:rsidR="00625A77" w:rsidRPr="000E1C62">
        <w:rPr>
          <w:rFonts w:asciiTheme="majorBidi" w:hAnsiTheme="majorBidi" w:cstheme="majorBidi"/>
          <w:bCs/>
        </w:rPr>
        <w:t xml:space="preserve"> </w:t>
      </w:r>
      <w:r w:rsidR="00AD1B89" w:rsidRPr="000E1C62">
        <w:rPr>
          <w:rFonts w:asciiTheme="majorBidi" w:hAnsiTheme="majorBidi" w:cstheme="majorBidi"/>
          <w:bCs/>
        </w:rPr>
        <w:t>consumed a seven-day hyper-energetic, high-fat diet (HE-HFD; +50% energy, 65%</w:t>
      </w:r>
      <w:r w:rsidR="00B02DE9" w:rsidRPr="000E1C62">
        <w:rPr>
          <w:rFonts w:asciiTheme="majorBidi" w:hAnsiTheme="majorBidi" w:cstheme="majorBidi"/>
          <w:bCs/>
        </w:rPr>
        <w:t xml:space="preserve"> total energy as</w:t>
      </w:r>
      <w:r w:rsidR="00AD1B89" w:rsidRPr="000E1C62">
        <w:rPr>
          <w:rFonts w:asciiTheme="majorBidi" w:hAnsiTheme="majorBidi" w:cstheme="majorBidi"/>
          <w:bCs/>
        </w:rPr>
        <w:t xml:space="preserve"> fat</w:t>
      </w:r>
      <w:r w:rsidR="00D1771A" w:rsidRPr="000E1C62">
        <w:rPr>
          <w:rFonts w:asciiTheme="majorBidi" w:hAnsiTheme="majorBidi" w:cstheme="majorBidi"/>
          <w:bCs/>
        </w:rPr>
        <w:t xml:space="preserve"> </w:t>
      </w:r>
      <w:r w:rsidR="00071325" w:rsidRPr="000E1C62">
        <w:rPr>
          <w:rFonts w:asciiTheme="majorBidi" w:hAnsiTheme="majorBidi" w:cstheme="majorBidi"/>
          <w:bCs/>
        </w:rPr>
        <w:t>[</w:t>
      </w:r>
      <w:r w:rsidR="003A5B91" w:rsidRPr="000E1C62">
        <w:rPr>
          <w:rFonts w:asciiTheme="majorBidi" w:hAnsiTheme="majorBidi" w:cstheme="majorBidi"/>
          <w:bCs/>
        </w:rPr>
        <w:t>32% saturated, 26% monounsaturated, 8% polyunsaturated</w:t>
      </w:r>
      <w:r w:rsidR="00071325" w:rsidRPr="000E1C62">
        <w:rPr>
          <w:rFonts w:asciiTheme="majorBidi" w:hAnsiTheme="majorBidi" w:cstheme="majorBidi"/>
          <w:bCs/>
        </w:rPr>
        <w:t>]</w:t>
      </w:r>
      <w:r w:rsidR="00AD1B89" w:rsidRPr="000E1C62">
        <w:rPr>
          <w:rFonts w:asciiTheme="majorBidi" w:hAnsiTheme="majorBidi" w:cstheme="majorBidi"/>
          <w:bCs/>
        </w:rPr>
        <w:t>) and control diet</w:t>
      </w:r>
      <w:r w:rsidR="00BF36AB" w:rsidRPr="000E1C62">
        <w:rPr>
          <w:rFonts w:asciiTheme="majorBidi" w:hAnsiTheme="majorBidi" w:cstheme="majorBidi"/>
          <w:bCs/>
        </w:rPr>
        <w:t xml:space="preserve"> (</w:t>
      </w:r>
      <w:r w:rsidR="00C108C9" w:rsidRPr="000E1C62">
        <w:rPr>
          <w:rFonts w:asciiTheme="majorBidi" w:hAnsiTheme="majorBidi" w:cstheme="majorBidi"/>
          <w:bCs/>
        </w:rPr>
        <w:t>36% total energy as fat)</w:t>
      </w:r>
      <w:r w:rsidR="00AD1B89" w:rsidRPr="000E1C62">
        <w:rPr>
          <w:rFonts w:asciiTheme="majorBidi" w:hAnsiTheme="majorBidi" w:cstheme="majorBidi"/>
          <w:bCs/>
        </w:rPr>
        <w:t xml:space="preserve">, separated by </w:t>
      </w:r>
      <w:r w:rsidR="00C11727" w:rsidRPr="000E1C62">
        <w:rPr>
          <w:rFonts w:asciiTheme="majorBidi" w:hAnsiTheme="majorBidi" w:cstheme="majorBidi"/>
          <w:bCs/>
        </w:rPr>
        <w:t>three weeks</w:t>
      </w:r>
      <w:r w:rsidR="00AD1B89" w:rsidRPr="000E1C62">
        <w:rPr>
          <w:rFonts w:asciiTheme="majorBidi" w:hAnsiTheme="majorBidi" w:cstheme="majorBidi"/>
          <w:bCs/>
        </w:rPr>
        <w:t>. Whole-body insulin sensitivity was assessed before and after each diet using oral glucose tolerance tests. Fasting plasma concentrations of FGF21</w:t>
      </w:r>
      <w:r w:rsidR="005F171F" w:rsidRPr="000E1C62">
        <w:rPr>
          <w:rFonts w:asciiTheme="majorBidi" w:hAnsiTheme="majorBidi" w:cstheme="majorBidi"/>
          <w:bCs/>
        </w:rPr>
        <w:t xml:space="preserve"> (primary outcome)</w:t>
      </w:r>
      <w:r w:rsidR="00AD1B89" w:rsidRPr="000E1C62">
        <w:rPr>
          <w:rFonts w:asciiTheme="majorBidi" w:hAnsiTheme="majorBidi" w:cstheme="majorBidi"/>
          <w:bCs/>
        </w:rPr>
        <w:t>, LECT2, fetuin-A, fetuin-B, SeP</w:t>
      </w:r>
      <w:r w:rsidR="005F171F" w:rsidRPr="000E1C62">
        <w:rPr>
          <w:rFonts w:asciiTheme="majorBidi" w:hAnsiTheme="majorBidi" w:cstheme="majorBidi"/>
          <w:bCs/>
        </w:rPr>
        <w:t xml:space="preserve">, </w:t>
      </w:r>
      <w:r w:rsidR="00AD1B89" w:rsidRPr="000E1C62">
        <w:rPr>
          <w:rFonts w:asciiTheme="majorBidi" w:hAnsiTheme="majorBidi" w:cstheme="majorBidi"/>
          <w:bCs/>
        </w:rPr>
        <w:t>and related metabolites</w:t>
      </w:r>
      <w:r w:rsidR="00577D5B" w:rsidRPr="000E1C62">
        <w:rPr>
          <w:rFonts w:asciiTheme="majorBidi" w:hAnsiTheme="majorBidi" w:cstheme="majorBidi"/>
          <w:bCs/>
        </w:rPr>
        <w:t xml:space="preserve"> </w:t>
      </w:r>
      <w:r w:rsidR="00AD1B89" w:rsidRPr="000E1C62">
        <w:rPr>
          <w:rFonts w:asciiTheme="majorBidi" w:hAnsiTheme="majorBidi" w:cstheme="majorBidi"/>
          <w:bCs/>
        </w:rPr>
        <w:t xml:space="preserve">were measured after 1, 3 and 7 d of each diet. </w:t>
      </w:r>
      <w:r w:rsidR="00473896" w:rsidRPr="000E1C62">
        <w:rPr>
          <w:rFonts w:asciiTheme="majorBidi" w:hAnsiTheme="majorBidi" w:cstheme="majorBidi"/>
          <w:bCs/>
        </w:rPr>
        <w:t>Hepatokine responses</w:t>
      </w:r>
      <w:r w:rsidR="00D57E96" w:rsidRPr="000E1C62">
        <w:rPr>
          <w:rFonts w:asciiTheme="majorBidi" w:hAnsiTheme="majorBidi" w:cstheme="majorBidi"/>
          <w:bCs/>
        </w:rPr>
        <w:t xml:space="preserve"> </w:t>
      </w:r>
      <w:r w:rsidR="001800BF" w:rsidRPr="000E1C62">
        <w:rPr>
          <w:rFonts w:asciiTheme="majorBidi" w:hAnsiTheme="majorBidi" w:cstheme="majorBidi"/>
          <w:bCs/>
        </w:rPr>
        <w:t xml:space="preserve">were analysed using two-way </w:t>
      </w:r>
      <w:r w:rsidR="00652682" w:rsidRPr="000E1C62">
        <w:rPr>
          <w:rFonts w:asciiTheme="majorBidi" w:hAnsiTheme="majorBidi" w:cstheme="majorBidi"/>
          <w:bCs/>
        </w:rPr>
        <w:t xml:space="preserve">repeated-measures </w:t>
      </w:r>
      <w:r w:rsidR="001800BF" w:rsidRPr="000E1C62">
        <w:rPr>
          <w:rFonts w:asciiTheme="majorBidi" w:hAnsiTheme="majorBidi" w:cstheme="majorBidi"/>
          <w:bCs/>
        </w:rPr>
        <w:t xml:space="preserve">ANOVA </w:t>
      </w:r>
      <w:r w:rsidR="00652682" w:rsidRPr="000E1C62">
        <w:rPr>
          <w:rFonts w:asciiTheme="majorBidi" w:hAnsiTheme="majorBidi" w:cstheme="majorBidi"/>
          <w:bCs/>
        </w:rPr>
        <w:t xml:space="preserve">and subsequent </w:t>
      </w:r>
      <w:r w:rsidR="004A40C5" w:rsidRPr="000E1C62">
        <w:rPr>
          <w:rFonts w:asciiTheme="majorBidi" w:hAnsiTheme="majorBidi" w:cstheme="majorBidi"/>
          <w:bCs/>
        </w:rPr>
        <w:t>pairwise comparisons.</w:t>
      </w:r>
    </w:p>
    <w:p w14:paraId="2DDB7C2B" w14:textId="77777777" w:rsidR="00AD1B89" w:rsidRPr="000E1C62" w:rsidRDefault="00AD1B89" w:rsidP="00AD1B89">
      <w:pPr>
        <w:spacing w:line="480" w:lineRule="auto"/>
        <w:jc w:val="both"/>
        <w:rPr>
          <w:rFonts w:asciiTheme="majorBidi" w:hAnsiTheme="majorBidi" w:cstheme="majorBidi"/>
          <w:bCs/>
        </w:rPr>
      </w:pPr>
      <w:r w:rsidRPr="000E1C62">
        <w:rPr>
          <w:rFonts w:asciiTheme="majorBidi" w:hAnsiTheme="majorBidi" w:cstheme="majorBidi"/>
          <w:bCs/>
          <w:i/>
        </w:rPr>
        <w:t xml:space="preserve">Results: </w:t>
      </w:r>
      <w:r w:rsidRPr="000E1C62">
        <w:rPr>
          <w:rFonts w:asciiTheme="majorBidi" w:hAnsiTheme="majorBidi" w:cstheme="majorBidi"/>
          <w:bCs/>
        </w:rPr>
        <w:t xml:space="preserve">Compared with control, the HE-HFD increased circulating FGF21 at 1 </w:t>
      </w:r>
      <w:r w:rsidRPr="000E1C62">
        <w:rPr>
          <w:rFonts w:ascii="Times New Roman" w:hAnsi="Times New Roman" w:cs="Times New Roman"/>
          <w:iCs/>
        </w:rPr>
        <w:t xml:space="preserve">(105%) and 3 d (121%; </w:t>
      </w:r>
      <w:r w:rsidRPr="000E1C62">
        <w:rPr>
          <w:rFonts w:ascii="Times New Roman" w:hAnsi="Times New Roman" w:cs="Times New Roman"/>
          <w:i/>
          <w:iCs/>
        </w:rPr>
        <w:t>P</w:t>
      </w:r>
      <w:r w:rsidRPr="000E1C62">
        <w:rPr>
          <w:rFonts w:ascii="Times New Roman" w:hAnsi="Times New Roman" w:cs="Times New Roman"/>
          <w:iCs/>
        </w:rPr>
        <w:t xml:space="preserve"> </w:t>
      </w:r>
      <w:r w:rsidRPr="000E1C62">
        <w:rPr>
          <w:rFonts w:asciiTheme="majorBidi" w:hAnsiTheme="majorBidi" w:cstheme="majorBidi"/>
          <w:iCs/>
        </w:rPr>
        <w:sym w:font="Symbol" w:char="F0A3"/>
      </w:r>
      <w:r w:rsidRPr="000E1C62">
        <w:rPr>
          <w:rFonts w:asciiTheme="majorBidi" w:hAnsiTheme="majorBidi" w:cstheme="majorBidi"/>
          <w:iCs/>
        </w:rPr>
        <w:t xml:space="preserve"> 0.040)</w:t>
      </w:r>
      <w:r w:rsidRPr="000E1C62">
        <w:rPr>
          <w:rFonts w:ascii="Times New Roman" w:hAnsi="Times New Roman" w:cs="Times New Roman"/>
          <w:iCs/>
        </w:rPr>
        <w:t xml:space="preserve">; LECT2 at 3 (17%) and 7 d (32%; </w:t>
      </w:r>
      <w:r w:rsidRPr="000E1C62">
        <w:rPr>
          <w:rFonts w:asciiTheme="majorBidi" w:hAnsiTheme="majorBidi" w:cstheme="majorBidi"/>
          <w:i/>
          <w:iCs/>
        </w:rPr>
        <w:t xml:space="preserve">P </w:t>
      </w:r>
      <w:r w:rsidRPr="000E1C62">
        <w:rPr>
          <w:rFonts w:asciiTheme="majorBidi" w:hAnsiTheme="majorBidi" w:cstheme="majorBidi"/>
          <w:iCs/>
        </w:rPr>
        <w:sym w:font="Symbol" w:char="F0A3"/>
      </w:r>
      <w:r w:rsidRPr="000E1C62">
        <w:rPr>
          <w:rFonts w:asciiTheme="majorBidi" w:hAnsiTheme="majorBidi" w:cstheme="majorBidi"/>
          <w:iCs/>
        </w:rPr>
        <w:t xml:space="preserve"> 0.004</w:t>
      </w:r>
      <w:r w:rsidRPr="000E1C62">
        <w:rPr>
          <w:rFonts w:ascii="Times New Roman" w:hAnsi="Times New Roman" w:cs="Times New Roman"/>
          <w:iCs/>
        </w:rPr>
        <w:t xml:space="preserve">); and fetuin A at 7 d (7%, </w:t>
      </w:r>
      <w:r w:rsidRPr="000E1C62">
        <w:rPr>
          <w:rFonts w:ascii="Times New Roman" w:hAnsi="Times New Roman" w:cs="Times New Roman"/>
          <w:i/>
          <w:iCs/>
        </w:rPr>
        <w:t>P</w:t>
      </w:r>
      <w:r w:rsidRPr="000E1C62">
        <w:rPr>
          <w:rFonts w:ascii="Times New Roman" w:hAnsi="Times New Roman" w:cs="Times New Roman"/>
          <w:iCs/>
        </w:rPr>
        <w:t xml:space="preserve"> = 0.028). Plasma fetuin-B and SeP did not respond to the HE-HFD. </w:t>
      </w:r>
      <w:r w:rsidRPr="000E1C62">
        <w:rPr>
          <w:rFonts w:asciiTheme="majorBidi" w:hAnsiTheme="majorBidi" w:cstheme="majorBidi"/>
          <w:bCs/>
        </w:rPr>
        <w:t>Whole-body insulin sensitivity was reduced after the HE-HFD by 31% (</w:t>
      </w:r>
      <w:r w:rsidRPr="000E1C62">
        <w:rPr>
          <w:rFonts w:asciiTheme="majorBidi" w:hAnsiTheme="majorBidi" w:cstheme="majorBidi"/>
          <w:bCs/>
          <w:i/>
        </w:rPr>
        <w:t xml:space="preserve">P </w:t>
      </w:r>
      <w:r w:rsidRPr="000E1C62">
        <w:rPr>
          <w:rFonts w:asciiTheme="majorBidi" w:hAnsiTheme="majorBidi" w:cstheme="majorBidi"/>
          <w:bCs/>
        </w:rPr>
        <w:t>= 0.021).</w:t>
      </w:r>
    </w:p>
    <w:p w14:paraId="46DC7E84" w14:textId="24AB7697" w:rsidR="00BC4280" w:rsidRDefault="00AD1B89" w:rsidP="004C7D1F">
      <w:pPr>
        <w:spacing w:line="480" w:lineRule="auto"/>
        <w:rPr>
          <w:rFonts w:ascii="Times New Roman" w:hAnsi="Times New Roman" w:cs="Times New Roman"/>
          <w:color w:val="000000"/>
          <w:shd w:val="clear" w:color="auto" w:fill="FFFFFF"/>
        </w:rPr>
      </w:pPr>
      <w:r w:rsidRPr="000E1C62">
        <w:rPr>
          <w:rFonts w:ascii="Times New Roman" w:hAnsi="Times New Roman" w:cs="Times New Roman"/>
          <w:i/>
          <w:iCs/>
        </w:rPr>
        <w:t xml:space="preserve">Conclusions: </w:t>
      </w:r>
      <w:r w:rsidRPr="000E1C62">
        <w:rPr>
          <w:rFonts w:ascii="Times New Roman" w:hAnsi="Times New Roman" w:cs="Times New Roman"/>
          <w:iCs/>
        </w:rPr>
        <w:t>Acute high-fat overfeeding augments circulating levels of FGF21, LECT2 and fetuin A</w:t>
      </w:r>
      <w:r w:rsidR="004058C4" w:rsidRPr="000E1C62">
        <w:rPr>
          <w:rFonts w:ascii="Times New Roman" w:hAnsi="Times New Roman" w:cs="Times New Roman"/>
          <w:iCs/>
        </w:rPr>
        <w:t xml:space="preserve"> in healthy men</w:t>
      </w:r>
      <w:r w:rsidRPr="000E1C62">
        <w:rPr>
          <w:rFonts w:ascii="Times New Roman" w:hAnsi="Times New Roman" w:cs="Times New Roman"/>
          <w:iCs/>
        </w:rPr>
        <w:t xml:space="preserve">. </w:t>
      </w:r>
      <w:r w:rsidR="005D7001" w:rsidRPr="000E1C62">
        <w:rPr>
          <w:rFonts w:ascii="Times New Roman" w:hAnsi="Times New Roman" w:cs="Times New Roman"/>
          <w:iCs/>
        </w:rPr>
        <w:t>Notably, t</w:t>
      </w:r>
      <w:r w:rsidRPr="000E1C62">
        <w:rPr>
          <w:rFonts w:ascii="Times New Roman" w:hAnsi="Times New Roman" w:cs="Times New Roman"/>
          <w:iCs/>
        </w:rPr>
        <w:t>he time</w:t>
      </w:r>
      <w:r w:rsidR="003D282E" w:rsidRPr="000E1C62">
        <w:rPr>
          <w:rFonts w:ascii="Times New Roman" w:hAnsi="Times New Roman" w:cs="Times New Roman"/>
          <w:iCs/>
        </w:rPr>
        <w:t>-</w:t>
      </w:r>
      <w:r w:rsidRPr="000E1C62">
        <w:rPr>
          <w:rFonts w:ascii="Times New Roman" w:hAnsi="Times New Roman" w:cs="Times New Roman"/>
          <w:iCs/>
        </w:rPr>
        <w:t xml:space="preserve">course of response varies between proteins and is transient for FGF21. </w:t>
      </w:r>
      <w:r w:rsidR="00A231E0" w:rsidRPr="000E1C62">
        <w:rPr>
          <w:rFonts w:ascii="Times New Roman" w:hAnsi="Times New Roman" w:cs="Times New Roman"/>
          <w:iCs/>
        </w:rPr>
        <w:t xml:space="preserve">These findings provide further insight into the nutritional </w:t>
      </w:r>
      <w:r w:rsidR="00D83FD2" w:rsidRPr="000E1C62">
        <w:rPr>
          <w:rFonts w:ascii="Times New Roman" w:hAnsi="Times New Roman" w:cs="Times New Roman"/>
          <w:iCs/>
        </w:rPr>
        <w:t>regulation of</w:t>
      </w:r>
      <w:r w:rsidR="007462FB" w:rsidRPr="000E1C62">
        <w:rPr>
          <w:rFonts w:ascii="Times New Roman" w:hAnsi="Times New Roman" w:cs="Times New Roman"/>
          <w:iCs/>
        </w:rPr>
        <w:t xml:space="preserve"> </w:t>
      </w:r>
      <w:r w:rsidR="00D83FD2" w:rsidRPr="000E1C62">
        <w:rPr>
          <w:rFonts w:ascii="Times New Roman" w:hAnsi="Times New Roman" w:cs="Times New Roman"/>
          <w:iCs/>
        </w:rPr>
        <w:lastRenderedPageBreak/>
        <w:t xml:space="preserve">hepatokines in humans and their interaction with metabolic homeostasis. </w:t>
      </w:r>
      <w:r w:rsidR="00A94C65" w:rsidRPr="000E1C62">
        <w:rPr>
          <w:rFonts w:ascii="Times New Roman" w:hAnsi="Times New Roman" w:cs="Times New Roman"/>
          <w:iCs/>
        </w:rPr>
        <w:t>This</w:t>
      </w:r>
      <w:r w:rsidR="00A94C65">
        <w:rPr>
          <w:rFonts w:ascii="Times New Roman" w:hAnsi="Times New Roman" w:cs="Times New Roman"/>
          <w:iCs/>
        </w:rPr>
        <w:t xml:space="preserve"> study was registered at clinicaltrials.gov </w:t>
      </w:r>
      <w:r w:rsidR="009F7852">
        <w:rPr>
          <w:rFonts w:ascii="Times New Roman" w:hAnsi="Times New Roman" w:cs="Times New Roman"/>
          <w:iCs/>
        </w:rPr>
        <w:t xml:space="preserve">as </w:t>
      </w:r>
      <w:r w:rsidR="009F7852" w:rsidRPr="0043756C">
        <w:rPr>
          <w:rFonts w:ascii="Times New Roman" w:hAnsi="Times New Roman" w:cs="Times New Roman"/>
          <w:color w:val="000000"/>
          <w:shd w:val="clear" w:color="auto" w:fill="FFFFFF"/>
        </w:rPr>
        <w:t>NCT03369145</w:t>
      </w:r>
      <w:r w:rsidR="009F7852">
        <w:rPr>
          <w:rFonts w:ascii="Times New Roman" w:hAnsi="Times New Roman" w:cs="Times New Roman"/>
          <w:color w:val="000000"/>
          <w:shd w:val="clear" w:color="auto" w:fill="FFFFFF"/>
        </w:rPr>
        <w:t xml:space="preserve">. </w:t>
      </w:r>
    </w:p>
    <w:p w14:paraId="465CC66C" w14:textId="29898C44" w:rsidR="00462625" w:rsidRPr="00BC4280" w:rsidRDefault="00BC4280" w:rsidP="00BC4280">
      <w:pPr>
        <w:tabs>
          <w:tab w:val="left" w:pos="0"/>
        </w:tabs>
        <w:spacing w:after="0" w:line="480" w:lineRule="auto"/>
        <w:jc w:val="both"/>
        <w:rPr>
          <w:rFonts w:asciiTheme="majorBidi" w:hAnsiTheme="majorBidi" w:cstheme="majorBidi"/>
          <w:b/>
          <w:bCs/>
        </w:rPr>
      </w:pPr>
      <w:r>
        <w:rPr>
          <w:rFonts w:asciiTheme="majorBidi" w:hAnsiTheme="majorBidi" w:cstheme="majorBidi"/>
          <w:b/>
          <w:bCs/>
        </w:rPr>
        <w:t xml:space="preserve">Key words: </w:t>
      </w:r>
      <w:r w:rsidRPr="00BC4280">
        <w:rPr>
          <w:rFonts w:asciiTheme="majorBidi" w:hAnsiTheme="majorBidi" w:cstheme="majorBidi"/>
        </w:rPr>
        <w:t xml:space="preserve">hepatokines, high-fat diet, overfeeding, insulin resistance, FGF21, LECT2, fetuin-A, fetuin-B, </w:t>
      </w:r>
      <w:proofErr w:type="spellStart"/>
      <w:r w:rsidRPr="00BC4280">
        <w:rPr>
          <w:rFonts w:asciiTheme="majorBidi" w:hAnsiTheme="majorBidi" w:cstheme="majorBidi"/>
        </w:rPr>
        <w:t>selenoprotein</w:t>
      </w:r>
      <w:proofErr w:type="spellEnd"/>
      <w:r w:rsidR="009459E8">
        <w:rPr>
          <w:rFonts w:asciiTheme="majorBidi" w:hAnsiTheme="majorBidi" w:cstheme="majorBidi"/>
        </w:rPr>
        <w:t xml:space="preserve"> </w:t>
      </w:r>
      <w:r w:rsidRPr="00BC4280">
        <w:rPr>
          <w:rFonts w:asciiTheme="majorBidi" w:hAnsiTheme="majorBidi" w:cstheme="majorBidi"/>
        </w:rPr>
        <w:t>P</w:t>
      </w:r>
      <w:r w:rsidR="00462625">
        <w:br w:type="page"/>
      </w:r>
    </w:p>
    <w:p w14:paraId="055C62D6" w14:textId="1E6C9354" w:rsidR="00247C32" w:rsidRPr="00DC7A1E" w:rsidRDefault="00247C32" w:rsidP="00247C32">
      <w:pPr>
        <w:tabs>
          <w:tab w:val="left" w:pos="0"/>
        </w:tabs>
        <w:spacing w:line="480" w:lineRule="auto"/>
        <w:jc w:val="both"/>
        <w:rPr>
          <w:rFonts w:asciiTheme="majorBidi" w:hAnsiTheme="majorBidi" w:cstheme="majorBidi"/>
          <w:b/>
          <w:bCs/>
        </w:rPr>
      </w:pPr>
      <w:r>
        <w:rPr>
          <w:rFonts w:asciiTheme="majorBidi" w:hAnsiTheme="majorBidi" w:cstheme="majorBidi"/>
          <w:b/>
          <w:bCs/>
        </w:rPr>
        <w:lastRenderedPageBreak/>
        <w:t>Introduction</w:t>
      </w:r>
    </w:p>
    <w:p w14:paraId="617CFE97" w14:textId="588ADF82" w:rsidR="008B6A8D" w:rsidRDefault="008B6A8D" w:rsidP="009D1E6D">
      <w:pPr>
        <w:tabs>
          <w:tab w:val="left" w:pos="0"/>
        </w:tabs>
        <w:spacing w:line="480" w:lineRule="auto"/>
        <w:jc w:val="both"/>
        <w:rPr>
          <w:rFonts w:asciiTheme="majorBidi" w:hAnsiTheme="majorBidi" w:cstheme="majorBidi"/>
        </w:rPr>
      </w:pPr>
      <w:r w:rsidRPr="00510E31">
        <w:rPr>
          <w:rFonts w:asciiTheme="majorBidi" w:hAnsiTheme="majorBidi" w:cstheme="majorBidi"/>
        </w:rPr>
        <w:t xml:space="preserve">The strong observational link that exists between hepatic steatosis and </w:t>
      </w:r>
      <w:r w:rsidR="00F327B9" w:rsidRPr="00510E31">
        <w:rPr>
          <w:rFonts w:asciiTheme="majorBidi" w:hAnsiTheme="majorBidi" w:cstheme="majorBidi"/>
        </w:rPr>
        <w:t xml:space="preserve">altered </w:t>
      </w:r>
      <w:r w:rsidRPr="00510E31">
        <w:rPr>
          <w:rFonts w:asciiTheme="majorBidi" w:hAnsiTheme="majorBidi" w:cstheme="majorBidi"/>
        </w:rPr>
        <w:t>peripheral metabolism has stimulated interest regarding metabolic cross-talk between the liver and peripheral tissues (</w:t>
      </w:r>
      <w:r w:rsidR="00244F58" w:rsidRPr="00493B59">
        <w:rPr>
          <w:rFonts w:asciiTheme="majorBidi" w:hAnsiTheme="majorBidi" w:cstheme="majorBidi"/>
        </w:rPr>
        <w:fldChar w:fldCharType="begin" w:fldLock="1"/>
      </w:r>
      <w:r w:rsidR="00CE30C9">
        <w:rPr>
          <w:rFonts w:asciiTheme="majorBidi" w:hAnsiTheme="majorBidi" w:cstheme="majorBidi"/>
        </w:rPr>
        <w:instrText>ADDIN CSL_CITATION { "citationItems" : [ { "id" : "ITEM-1", "itemData" : { "DOI" : "10.1038/nrendo.2017.56", "ISSN" : "1759-5029", "abstract" : "Hepatic steatosis refers to the excessive accumulation of lipids in the liver and is clinically defined as a hepatic triglyceride content that exceeds 5% of the total liver weight 1 . Hepatic steatosis was traditionally viewed as a benign manifestation. However, it is now clear that it is linked to several pathological conditions that encom-pass nonalcoholic fatty liver disease (NAFLD), including mild hepatic steatosis, nonalcoholic steatohepatitis (NASH), fibrosis, cirrhosis and hepatocellular carcinoma 2 . NAFLD is the most common form of liver disease and is present in ~20\u201340% of all adults in the United States 3 , in up to ~70% of adults worldwide who are overweight 4,5 and in &gt;90% of adults globally who are morbidly obese 6 ; these facts suggest that obesity is a major risk factor for NAFLD development. NAFLD is associated with other metabolic abnormalities, including hypertriglyceridaemia and low levels of HDL, glucose intolerance, insulin resistance and type 2 diabetes mellitus (T2DM) 2,7\u20139 . Hepatic steatosis is also associated with cardiovascular disease (CVD) 10 , including increased carotid-artery intimal\u2013medial thick-ness, impaired flow-mediated vasodilation, increased arterial stiffness and increased coronary artery calcifica-tion 11 . CVD is reported to be the leading cause of mor-tality in patients with NAFLD 12 , and an emerging body of evidence indicates that NAFLD is not only a simple marker of CVD, but is also implicated in its pathogenesis through the secretion of hepatokines \u2014 proteins that are secreted from hepatocytes that can influence metabolic processes through autocrine, paracrine and endocrine signalling. Such proteins include selenoprotein P 13 , sex hormone-binding globulin (SHBG) 14 , fibroblast growth factor 21 (FGF21) 15 and adropin 16 . As ~2.3 billion adults are overweight and at least 700 million are obese (representing 35% and 12% of the world's population, respectively 17), it is highly probable that the incidence of NAFLD and T2DM comorbidi-ties will increase. Although the mechanisms explaining the association between NAFLD and insulin resist-ance remain unclear, emerging evidence indicates that NAFLD alters the secretion of factors from the liver, including hepatokines, lipids and non-coding RNAs. These factors signal through autocrine and paracrine signalling, as well as through inter-tissue communica-tion (that is, by acting at distant tissues owing to their transport in the systemic circulation) to influence me\u2026", "author" : [ { "dropping-particle" : "", "family" : "Meex", "given" : "Ruth C R", "non-dropping-particle" : "", "parse-names" : false, "suffix" : "" }, { "dropping-particle" : "", "family" : "Watt", "given" : "Matthew J", "non-dropping-particle" : "", "parse-names" : false, "suffix" : "" } ], "container-title" : "Nature Reviews Endocrinology", "id" : "ITEM-1", "issue" : "9", "issued" : { "date-parts" : [ [ "2017", "6", "9" ] ] }, "page" : "509-520", "title" : "Hepatokines: linking nonalcoholic fatty liver disease and insulin resistance", "type" : "article-journal", "volume" : "13" }, "uris" : [ "http://www.mendeley.com/documents/?uuid=8db31475-8636-434e-83aa-7bc3eceda459" ] } ], "mendeley" : { "formattedCitation" : "(1)", "manualFormatting" : "1", "plainTextFormattedCitation" : "(1)", "previouslyFormattedCitation" : "(1)" }, "properties" : { "noteIndex" : 5 }, "schema" : "https://github.com/citation-style-language/schema/raw/master/csl-citation.json" }</w:instrText>
      </w:r>
      <w:r w:rsidR="00244F58" w:rsidRPr="00493B59">
        <w:rPr>
          <w:rFonts w:asciiTheme="majorBidi" w:hAnsiTheme="majorBidi" w:cstheme="majorBidi"/>
        </w:rPr>
        <w:fldChar w:fldCharType="separate"/>
      </w:r>
      <w:r w:rsidR="00D377E6" w:rsidRPr="00D377E6">
        <w:rPr>
          <w:rFonts w:asciiTheme="majorBidi" w:hAnsiTheme="majorBidi" w:cstheme="majorBidi"/>
          <w:noProof/>
        </w:rPr>
        <w:t>1</w:t>
      </w:r>
      <w:r w:rsidR="00244F58" w:rsidRPr="00493B59">
        <w:rPr>
          <w:rFonts w:asciiTheme="majorBidi" w:hAnsiTheme="majorBidi" w:cstheme="majorBidi"/>
        </w:rPr>
        <w:fldChar w:fldCharType="end"/>
      </w:r>
      <w:r w:rsidR="003565B1">
        <w:rPr>
          <w:rFonts w:asciiTheme="majorBidi" w:hAnsiTheme="majorBidi" w:cstheme="majorBidi"/>
        </w:rPr>
        <w:t>,</w:t>
      </w:r>
      <w:r w:rsidR="00D60C61" w:rsidRPr="007B1CD2">
        <w:rPr>
          <w:rFonts w:asciiTheme="majorBidi" w:hAnsiTheme="majorBidi" w:cstheme="majorBidi"/>
        </w:rPr>
        <w:fldChar w:fldCharType="begin" w:fldLock="1"/>
      </w:r>
      <w:r w:rsidR="00CE30C9">
        <w:rPr>
          <w:rFonts w:asciiTheme="majorBidi" w:hAnsiTheme="majorBidi" w:cstheme="majorBidi"/>
        </w:rPr>
        <w:instrText>ADDIN CSL_CITATION { "citationItems" : [ { "id" : "ITEM-1", "itemData" : { "DOI" : "10.1152/physrev.00015.2017", "ISSN" : "0031-9333", "PMID" : "29767564", "abstract" : "energy intake and reduced energy expenditure drive the development of insulin resistance and metabolic diseases such as obesity and type 2 diabetes mellitus. Metabolic signals derived from dietary intake or secreted from adipose tissue, gut, and liver contribute to energy homeostasis. Recent metabolomic studies identified novel metabolites and enlarged our knowledge on classic metabolites. This review summarizes the evidence of their roles as mediators of interorgan crosstalk and regulators of insulin sensitivity and energy metabolism. Circulating lipids such as free fatty acids, acetate, and palmitoleate from adipose tissue and short-chain fatty acids from the gut effectively act on liver and skeletal muscle. Intracellular lipids such as diacylglycerols and sphingo-lipids can serve as lipotoxins by directly inhibiting insulin action in muscle and liver. In contrast, fatty acid esters of hydroxy fatty acids have been recently shown to exert a series of beneficial effects. Also, ketoacids are gaining interest as potent modulators of insulin action and mitochondrial function. Finally, branched-chain amino acids not only predict metabolic diseases, but also inhibit insulin signaling. Here, we focus on the metabolic crosstalk in humans, which regulates insulin sensitivity and energy homeostasis in the main insulin-sensitive tissues, skeletal muscle, liver, and adipose tissue.", "author" : [ { "dropping-particle" : "", "family" : "Gancheva", "given" : "Sofiya", "non-dropping-particle" : "", "parse-names" : false, "suffix" : "" }, { "dropping-particle" : "", "family" : "Jelenik", "given" : "Tomas", "non-dropping-particle" : "", "parse-names" : false, "suffix" : "" }, { "dropping-particle" : "", "family" : "\u00c1lvarez-Hern\u00e1ndez", "given" : "Elisa", "non-dropping-particle" : "", "parse-names" : false, "suffix" : "" }, { "dropping-particle" : "", "family" : "Roden", "given" : "Michael", "non-dropping-particle" : "", "parse-names" : false, "suffix" : "" } ], "container-title" : "Physiological Reviews", "id" : "ITEM-1", "issue" : "3", "issued" : { "date-parts" : [ [ "2018", "7" ] ] }, "page" : "1371-1415", "title" : "Interorgan Metabolic Crosstalk in Human Insulin Resistance", "type" : "article-journal", "volume" : "98" }, "uris" : [ "http://www.mendeley.com/documents/?uuid=0d2d63ce-35a3-45d5-99e7-654bd160c804" ] } ], "mendeley" : { "formattedCitation" : "(2)", "manualFormatting" : "2", "plainTextFormattedCitation" : "(2)", "previouslyFormattedCitation" : "(2)" }, "properties" : { "noteIndex" : 5 }, "schema" : "https://github.com/citation-style-language/schema/raw/master/csl-citation.json" }</w:instrText>
      </w:r>
      <w:r w:rsidR="00D60C61" w:rsidRPr="007B1CD2">
        <w:rPr>
          <w:rFonts w:asciiTheme="majorBidi" w:hAnsiTheme="majorBidi" w:cstheme="majorBidi"/>
        </w:rPr>
        <w:fldChar w:fldCharType="separate"/>
      </w:r>
      <w:r w:rsidR="00D377E6" w:rsidRPr="00D377E6">
        <w:rPr>
          <w:rFonts w:asciiTheme="majorBidi" w:hAnsiTheme="majorBidi" w:cstheme="majorBidi"/>
          <w:noProof/>
        </w:rPr>
        <w:t>2</w:t>
      </w:r>
      <w:r w:rsidR="00D60C61" w:rsidRPr="007B1CD2">
        <w:rPr>
          <w:rFonts w:asciiTheme="majorBidi" w:hAnsiTheme="majorBidi" w:cstheme="majorBidi"/>
        </w:rPr>
        <w:fldChar w:fldCharType="end"/>
      </w:r>
      <w:r>
        <w:rPr>
          <w:rFonts w:asciiTheme="majorBidi" w:hAnsiTheme="majorBidi" w:cstheme="majorBidi"/>
        </w:rPr>
        <w:t xml:space="preserve">). Analogous to ‘adipokines’ and ‘myokines’, ‘hepatokines’ have recently been identified as liver-secreted proteins (predominantly or exclusively) </w:t>
      </w:r>
      <w:r w:rsidR="00AA4E52">
        <w:rPr>
          <w:rFonts w:asciiTheme="majorBidi" w:hAnsiTheme="majorBidi" w:cstheme="majorBidi"/>
        </w:rPr>
        <w:t>with</w:t>
      </w:r>
      <w:r>
        <w:rPr>
          <w:rFonts w:asciiTheme="majorBidi" w:hAnsiTheme="majorBidi" w:cstheme="majorBidi"/>
        </w:rPr>
        <w:t xml:space="preserve"> </w:t>
      </w:r>
      <w:r w:rsidR="00033D22">
        <w:rPr>
          <w:rFonts w:asciiTheme="majorBidi" w:hAnsiTheme="majorBidi" w:cstheme="majorBidi"/>
        </w:rPr>
        <w:t xml:space="preserve">the </w:t>
      </w:r>
      <w:r>
        <w:rPr>
          <w:rFonts w:asciiTheme="majorBidi" w:hAnsiTheme="majorBidi" w:cstheme="majorBidi"/>
        </w:rPr>
        <w:t>capacity to exert systemic metabolic effects in an endocrine-like manner (</w:t>
      </w:r>
      <w:r w:rsidR="00B5634F" w:rsidRPr="00B5634F">
        <w:rPr>
          <w:rFonts w:asciiTheme="majorBidi" w:hAnsiTheme="majorBidi" w:cstheme="majorBidi"/>
        </w:rPr>
        <w:fldChar w:fldCharType="begin" w:fldLock="1"/>
      </w:r>
      <w:r w:rsidR="00CE30C9">
        <w:rPr>
          <w:rFonts w:asciiTheme="majorBidi" w:hAnsiTheme="majorBidi" w:cstheme="majorBidi"/>
        </w:rPr>
        <w:instrText>ADDIN CSL_CITATION { "citationItems" : [ { "id" : "ITEM-1", "itemData" : { "DOI" : "10.1002/hep.22123", "ISBN" : "1527-3350 (Electronic)", "ISSN" : "02709139", "PMID" : "18266228", "abstract" : "UNLABELLED: We report a comprehensive and quantitative analysis of the mouse liver and plasma proteomes. The method used is based on extensive fractionation of intact proteins, further separation of proteins based on their abundance and size, and high-accuracy mass spectrometry. This analysis reached a depth in proteomic profiling not reported to date for a mammalian tissue or a biological fluid, with 7099 and 4727 proteins identified with high confidence in the liver and in the corresponding plasma, respectively. This method allowed for the identification in both compartments of low-abundance proteins such as cytokines, chemokines, and receptors and for the detection in plasma of proteins in the pg/mL concentration range. This method also allowed for semiquantitation of all identified proteins. The calculated abundance scores correlated with the abundance of the corresponding transcripts for the large majority of the proteins identified in the liver. Finally, comparison of the liver and plasma datasets demonstrated that a significant number of proteins identified in the liver can be detected in plasma. These included proteins involved in complement and coagulation, in fatty acid, purine and pyruvate metabolism, in gluconeogenesis and glycolysis, in protein ubiquitination, and in insulin, interleukin-4, epidermal growth factor, and platelet-derived growth factor signaling. CONCLUSION: This in-depth analysis of the mouse liver and corresponding plasma proteomes provides a strong basis for investigations of liver pathobiology and biology that employ mouse models of hepatic diseases in an effort to better understand, diagnose, treat, and prevent human hepatic diseases.", "author" : [ { "dropping-particle" : "", "family" : "Lai", "given" : "Keane K. Y.", "non-dropping-particle" : "", "parse-names" : false, "suffix" : "" }, { "dropping-particle" : "", "family" : "Kolippakkam", "given" : "Deepak", "non-dropping-particle" : "", "parse-names" : false, "suffix" : "" }, { "dropping-particle" : "", "family" : "Beretta", "given" : "Laura", "non-dropping-particle" : "", "parse-names" : false, "suffix" : "" } ], "container-title" : "Hepatology", "id" : "ITEM-1", "issue" : "3", "issued" : { "date-parts" : [ [ "2008", "3" ] ] }, "page" : "1043-1051", "title" : "Comprehensive and quantitative proteome profiling of the mouse liver and plasma", "type" : "article-journal", "volume" : "47" }, "uris" : [ "http://www.mendeley.com/documents/?uuid=1160a1be-9c0d-4870-9c6a-b630c35a51eb" ] }, { "id" : "ITEM-2",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"ITEM-2",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"(3,4)", "manualFormatting" : "3,4)", "plainTextFormattedCitation" : "(3,4)", "previouslyFormattedCitation" : "(3,4)" }, "properties" : { "noteIndex" : 5 }, "schema" : "https://github.com/citation-style-language/schema/raw/master/csl-citation.json" }</w:instrText>
      </w:r>
      <w:r w:rsidR="00B5634F" w:rsidRPr="00B5634F">
        <w:rPr>
          <w:rFonts w:asciiTheme="majorBidi" w:hAnsiTheme="majorBidi" w:cstheme="majorBidi"/>
        </w:rPr>
        <w:fldChar w:fldCharType="separate"/>
      </w:r>
      <w:r w:rsidR="00D377E6" w:rsidRPr="00D377E6">
        <w:rPr>
          <w:rFonts w:asciiTheme="majorBidi" w:hAnsiTheme="majorBidi" w:cstheme="majorBidi"/>
          <w:noProof/>
        </w:rPr>
        <w:t>3,4)</w:t>
      </w:r>
      <w:r w:rsidR="00B5634F" w:rsidRPr="00B5634F">
        <w:rPr>
          <w:rFonts w:asciiTheme="majorBidi" w:hAnsiTheme="majorBidi" w:cstheme="majorBidi"/>
        </w:rPr>
        <w:fldChar w:fldCharType="end"/>
      </w:r>
      <w:r>
        <w:rPr>
          <w:rFonts w:asciiTheme="majorBidi" w:hAnsiTheme="majorBidi" w:cstheme="majorBidi"/>
        </w:rPr>
        <w:t xml:space="preserve">. Prominent within this novel area is a connection identified between hepatokines, insulin sensitivity and glucose metabolism </w:t>
      </w:r>
      <w:r w:rsidR="00DE728C" w:rsidRPr="00DE728C">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"ISSN" : "0149-5992", "PMID" : "16567827", "abstract" : "OBJECTIVE The alpha(2)-Heremans-Schmid glycoprotein (AHSG; fetuin-A in animals) impairs insulin signaling in vitro and in rodents. Whether AHSG is associated with insulin resistance in humans is under investigation. In an animal model of diet-induced obesity that is commonly associated with hepatic steatosis, an increase in Ahsg mRNA expression was observed in the liver. Therefore, we hypothesized that the AHSG plasma protein, which is exclusively secreted by the liver in humans, may not only be associated with insulin resistance but also with fat accumulation in the liver. RESEARCH DESIGN AND METHODS Data from 106 healthy Caucasians without type 2 diabetes were included in cross-sectional analyses. A subgroup of 47 individuals had data from a longitudinal study. Insulin sensitivity was measured by a euglycemic-hyperinsulinemic clamp, and liver fat was determined by (1)H magnetic resonance spectroscopy. RESULTS AHSG plasma levels, adjusted for age, sex, and percentage of body fat, were higher in subjects with impaired glucose tolerance compared with subjects with normal glucose tolerance (P = 0.006). AHSG plasma levels were negatively associated with insulin sensitivity (r = -0.22, P = 0.03) in cross-sectional analyses. Moreover, they were positively associated with liver fat (r = 0.27, P = 0.01). In longitudinal analyses, under weight loss, a decrease in liver fat was accompanied by a decrease in AHSG plasma concentrations. Furthermore, high AHSG levels at baseline predicted less increase in insulin sensitivity (P = 0.02). CONCLUSIONS We found that high AHSG plasma levels are associated with insulin resistance in humans. Moreover, AHSG plasma levels are elevated in subjects with fat accumulation in the liver. This is consistent with a potential role of AHSG as a link between fatty liver and insulin resistance.", "author" : [ { "dropping-particle" : "", "family" : "Stefan", "given" : "Norbert", "non-dropping-particle" : "", "parse-names" : false, "suffix" : "" }, { "dropping-particle" : "", "family" : "Hennige", "given" : "Anita M", "non-dropping-particle" : "", "parse-names" : false, "suffix" : "" }, { "dropping-particle" : "", "family" : "Staiger", "given" : "Harald", "non-dropping-particle" : "", "parse-names" : false, "suffix" : "" }, { "dropping-particle" : "", "family" : "Machann", "given" : "J\u00fcrgen", "non-dropping-particle" : "", "parse-names" : false, "suffix" : "" }, { "dropping-particle" : "", "family" : "Schick", "given" : "Fritz", "non-dropping-particle" : "", "parse-names" : false, "suffix" : "" }, { "dropping-particle" : "", "family" : "Kr\u00f6ber", "given" : "Stefan M", "non-dropping-particle" : "", "parse-names" : false, "suffix" : "" }, { "dropping-particle" : "", "family" : "Machicao", "given" : "Fausto", "non-dropping-particle" : "", "parse-names" : false, "suffix" : "" }, { "dropping-particle" : "", "family" : "Fritsche", "given" : "Andreas", "non-dropping-particle" : "", "parse-names" : false, "suffix" : "" }, { "dropping-particle" : "", "family" : "H\u00e4ring", "given" : "Hans-Ulrich", "non-dropping-particle" : "", "parse-names" : false, "suffix" : "" } ], "container-title" : "Diabetes care", "id" : "ITEM-1", "issue" : "4", "issued" : { "date-parts" : [ [ "2006", "4" ] ] }, "page" : "853-7", "title" : "Alpha2-Heremans-Schmid glycoprotein/fetuin-A is associated with insulin resistance and fat accumulation in the liver in humans.", "type" : "article-journal", "volume" : "29" }, "uris" : [ "http://www.mendeley.com/documents/?uuid=45f00260-3080-4dd1-b52c-5d640c4c7015" ] }, { "id" : "ITEM-2", "itemData" : { "DOI" : "10.1371/journal.pone.0034952", "ISBN" : "1932-6203", "ISSN" : "1932-6203", "PMID" : "22496878", "abstract" : "BACKGROUND: We recently identified selenoprotein P (SeP) as a liver-derived secretory protein that causes insulin resistance in the liver and skeletal muscle; however, it is unknown whether and, if so, how SeP acts on adipose tissue. The present study tested the hypothesis that SeP is related to hypoadiponectinemia in patients with type 2 diabetes.\\n\\nMETHODOLOGY/PRINCIPAL FINDINGS: We compared serum levels of SeP with those of adiponectin and other clinical parameters in 36 patients with type 2 diabetes. We also measured levels of blood adiponectin in SeP knockout mice. Circulating SeP levels were positively correlated with fasting plasma glucose (r = 0.35, P = 0.037) and negatively associated with both total and high-molecular adiponectin in patients with type 2 diabetes (r = -0.355, P = 0.034; r = -0.367, P = 0.028). SeP was a predictor of both total and high-molecular adiponectin, independently of age, body weight, and quantitative insulin sensitivity index (\u03b2 = -0.343, P = 0.022; \u03b2 = -0.357, P = 0.017). SeP knockout mice exhibited an increase in blood adiponectin levels when fed regular chow or a high sucrose, high fat diet.\\n\\nCONCLUSIONS/SIGNIFICANCE: These results suggest that overproduction of liver-derived secretory protein SeP is connected with hypoadiponectinemia in patients with type 2 diabetes.", "author" : [ { "dropping-particle" : "", "family" : "Misu", "given" : "Hirofumi", "non-dropping-particle" : "", "parse-names" : false, "suffix" : "" }, { "dropping-particle" : "", "family" : "Ishikura", "given" : "Kazuhide", "non-dropping-particle" : "", "parse-names" : false, "suffix" : "" }, { "dropping-particle" : "", "family" : "Kurita", "given" : "Seiichiro", "non-dropping-particle" : "", "parse-names" : false, "suffix" : "" }, { "dropping-particle" : "", "family" : "Takeshita", "given" : "Yumie", "non-dropping-particle" : "", "parse-names" : false, "suffix" : "" }, { "dropping-particle" : "", "family" : "Ota", "given" : "Tsuguhito", "non-dropping-particle" : "", "parse-names" : false, "suffix" : "" }, { "dropping-particle" : "", "family" : "Saito", "given" : "Yoshiro", "non-dropping-particle" : "", "parse-names" : false, "suffix" : "" }, { "dropping-particle" : "", "family" : "Takahashi", "given" : "Kazuhiko", "non-dropping-particle" : "", "parse-names" : false, "suffix" : "" }, { "dropping-particle" : "", "family" : "Kaneko", "given" : "Shuichi", "non-dropping-particle" : "", "parse-names" : false, "suffix" : "" }, { "dropping-particle" : "", "family" : "Takamura", "given" : "Toshinari", "non-dropping-particle" : "", "parse-names" : false, "suffix" : "" } ], "container-title" : "PLoS ONE", "editor" : [ { "dropping-particle" : "", "family" : "Luque", "given" : "Raul M.", "non-dropping-particle" : "", "parse-names" : false, "suffix" : "" } ], "id" : "ITEM-2", "issue" : "4", "issued" : { "date-parts" : [ [ "2012", "4", "4" ] ] }, "page" : "e34952", "title" : "Inverse Correlation between Serum Levels of Selenoprotein P and Adiponectin in Patients with Type 2 Diabetes", "type" : "article-journal", "volume" : "7" }, "uris" : [ "http://www.mendeley.com/documents/?uuid=f663ed0e-6c7f-4d84-abb0-e1c001af4c7f" ] }, { "id" : "ITEM-3",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"ITEM-3", "issue" : "5", "issued" : { "date-parts" : [ [ "2014", "5" ] ] }, "page" : "1649-1664", "title" : "LECT2 Functions as a Hepatokine That Links Obesity to Skeletal Muscle Insulin Resistance", "type" : "article-journal", "volume" : "63" }, "uris" : [ "http://www.mendeley.com/documents/?uuid=e68fb890-432f-4e85-8fd5-679f589778ee" ] }, { "id" : "ITEM-4",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"ITEM-4",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"id" : "ITEM-5", "itemData" : { "DOI" : "10.1016/j.semcdb.2015.09.021", "ISBN" : "3193844438", "ISSN" : "10849521", "PMID" : "26428296", "abstract" : "The metabolic fibroblast growth factors (FGFs), FGF1, FGF15/19, and FGF21 differ from classic FGFs in that they modulate energy homeostasis in response to fluctuating nutrient availability. These unique mediators of metabolism regulate a number of physiological processes which contribute to their potent pharmacological properties. Administration of pharmacological doses of these FGFs causes weight loss, increases energy expenditure, and improves carbohydrate and lipid metabolism in obese animal models. However, many questions remain regarding the precise molecular and physiological mechanisms governing the effects of individual metabolic FGFs. Here we review the metabolic actions of FGF1, FGF15/19, and FGF21 while providing insights into their pharmacological effects by examining known biological functions.", "author" : [ { "dropping-particle" : "", "family" : "Markan", "given" : "Kathleen R.", "non-dropping-particle" : "", "parse-names" : false, "suffix" : "" }, { "dropping-particle" : "", "family" : "Potthoff", "given" : "Matthew J.", "non-dropping-particle" : "", "parse-names" : false, "suffix" : "" } ], "container-title" : "Seminars in Cell &amp; Developmental Biology", "id" : "ITEM-5", "issued" : { "date-parts" : [ [ "2016", "5" ] ] }, "page" : "85-93", "publisher" : "Elsevier Ltd", "title" : "Metabolic fibroblast growth factors (FGFs): Mediators of energy homeostasis", "type" : "article-journal", "volume" : "53" }, "uris" : [ "http://www.mendeley.com/documents/?uuid=62ea11e4-91cf-4d37-8158-d7463a82f81a" ] } ], "mendeley" : { "formattedCitation" : "(4\u20138)", "plainTextFormattedCitation" : "(4\u20138)", "previouslyFormattedCitation" : "(4\u20138)" }, "properties" : { "noteIndex" : 5 }, "schema" : "https://github.com/citation-style-language/schema/raw/master/csl-citation.json" }</w:instrText>
      </w:r>
      <w:r w:rsidR="00DE728C" w:rsidRPr="00DE728C">
        <w:rPr>
          <w:rFonts w:asciiTheme="majorBidi" w:hAnsiTheme="majorBidi" w:cstheme="majorBidi"/>
        </w:rPr>
        <w:fldChar w:fldCharType="separate"/>
      </w:r>
      <w:r w:rsidR="00D377E6" w:rsidRPr="00D377E6">
        <w:rPr>
          <w:rFonts w:asciiTheme="majorBidi" w:hAnsiTheme="majorBidi" w:cstheme="majorBidi"/>
          <w:noProof/>
        </w:rPr>
        <w:t>(4–8)</w:t>
      </w:r>
      <w:r w:rsidR="00DE728C" w:rsidRPr="00DE728C">
        <w:rPr>
          <w:rFonts w:asciiTheme="majorBidi" w:hAnsiTheme="majorBidi" w:cstheme="majorBidi"/>
        </w:rPr>
        <w:fldChar w:fldCharType="end"/>
      </w:r>
      <w:r>
        <w:rPr>
          <w:rFonts w:asciiTheme="majorBidi" w:hAnsiTheme="majorBidi" w:cstheme="majorBidi"/>
        </w:rPr>
        <w:t xml:space="preserve">. This link has highlighted hepatokines as novel targets within the management of obesity-related chronic disease </w:t>
      </w:r>
      <w:r w:rsidR="003F3372" w:rsidRPr="00FF15F3">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"10.1016/j.molmet.2013.12.003", "ISBN" : "2212-8778 (Electronic)\\r2212-8778 (Linking)", "ISSN" : "22128778", "PMID" : "24749049", "abstract" : "Since the discovery of insulin in 1921, protein therapeutics have become vital tools in the treatment of diabetes mellitus. This heritage has been extended with the comparatively recent introduction of recombinant and re-engineered insulins, in addition to the advent of GLP1 agonists. FGF21 represents an example of a novel experimental protein therapy which is able to induce favorable metabolic effects in various species ranging from rodents to man.The aim of this review is to communicate the story of the FGF21 drug discovery path from identification in a functional in vitro screen, to the eventual evaluation of its utility in patients. Given that the development of FGF21 advanced hand-in-hand with rapidly evolving scientific research around this target, we have also attempted to describe our view of recent developments regarding the mechanistic understanding of FGF21 biology. \u00a9 2013 The Authors.", "author" : [ { "dropping-particle" : "", "family" : "Kharitonenkov", "given" : "Alexei", "non-dropping-particle" : "", "parse-names" : false, "suffix" : "" }, { "dropping-particle" : "", "family" : "Adams", "given" : "Andrew C.", "non-dropping-particle" : "", "parse-names" : false, "suffix" : "" } ], "container-title" : "Molecular Metabolism", "id" : "ITEM-1", "issue" : "3", "issued" : { "date-parts" : [ [ "2014", "6" ] ] }, "page" : "221-229", "title" : "Inventing new medicines: The FGF21 story", "type" : "article-journal", "volume" : "3" }, "uris" : [ "http://www.mendeley.com/documents/?uuid=f034e789-fa14-451f-bc9c-f4f717238b60" ] }, { "id" : "ITEM-2",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"ITEM-2", "issue" : "5", "issued" : { "date-parts" : [ [ "2014", "5" ] ] }, "page" : "1649-1664", "title" : "LECT2 Functions as a Hepatokine That Links Obesity to Skeletal Muscle Insulin Resistance", "type" : "article-journal", "volume" : "63" }, "uris" : [ "http://www.mendeley.com/documents/?uuid=e68fb890-432f-4e85-8fd5-679f589778ee" ] }, { "id" : "ITEM-3", "itemData" : { "DOI" : "10.1038/s41467-017-01863-z", "ISBN" : "4146701701863", "ISSN" : "2041-1723", "PMID" : "29162828", "abstract" : "Selenoprotein P (SeP) functions as a selenium (Se)-supply protein. SeP is identified as a hepatokine, promoting insulin resistance in type 2 diabetes. Thus, the suppression of Se-supply activity of SeP might improve glucose metabolism. Here, we develop an anti-human SeP monoclonal antibody AE2 as with neutralizing activity against SeP. Administration of AE2 to mice significantly improves glucose intolerance and insulin resistance that are induced by human SeP administration. Furthermore, excess SeP administration significantly decreases pancreas insulin levels and high glucose-induced insulin secretion, which are improved by AE2 administration. Epitope mapping reveals that AE2 recognizes a region of human SeP adjacent to the first histidine-rich region (FHR). A polyclonal antibody against the mouse SeP FHR improves glucose intolerance and insulin secretion in a mouse model of diabetes. This report describes a novel molecular strategy for the development of type 2 diabetes therapeutics targeting SeP.", "author" : [ { "dropping-particle" : "", "family" : "Mita", "given" : "Yuichiro", "non-dropping-particle" : "", "parse-names" : false, "suffix" : "" }, { "dropping-particle" : "", "family" : "Nakayama", "given" : "Kaho", "non-dropping-particle" : "", "parse-names" : false, "suffix" : "" }, { "dropping-particle" : "", "family" : "Inari", "given" : "Shogo", "non-dropping-particle" : "", "parse-names" : false, "suffix" : "" }, { "dropping-particle" : "", "family" : "Nishito", "given" : "Yukina", "non-dropping-particle" : "", "parse-names" : false, "suffix" : "" }, { "dropping-particle" : "", "family" : "Yoshioka", "given" : "Yuya", "non-dropping-particle" : "", "parse-names" : false, "suffix" : "" }, { "dropping-particle" : "", "family" : "Sakai", "given" : "Naoko", "non-dropping-particle" : "", "parse-names" : false, "suffix" : "" }, { "dropping-particle" : "", "family" : "Sotani", "given" : "Kanade", "non-dropping-particle" : "", "parse-names" : false, "suffix" : "" }, { "dropping-particle" : "", "family" : "Nagamura", "given" : "Takahiro", "non-dropping-particle" : "", "parse-names" : false, "suffix" : "" }, { "dropping-particle" : "", "family" : "Kuzuhara", "given" : "Yuki", "non-dropping-particle" : "", "parse-names" : false, "suffix" : "" }, { "dropping-particle" : "", "family" : "Inagaki", "given" : "Kumi", "non-dropping-particle" : "", "parse-names" : false, "suffix" : "" }, { "dropping-particle" : "", "family" : "Iwasaki", "given" : "Miki", "non-dropping-particle" : "", "parse-names" : false, "suffix" : "" }, { "dropping-particle" : "", "family" : "Misu", "given" : "Hirofumi", "non-dropping-particle" : "", "parse-names" : false, "suffix" : "" }, { "dropping-particle" : "", "family" : "Ikegawa", "given" : "Masaya", "non-dropping-particle" : "", "parse-names" : false, "suffix" : "" }, { "dropping-particle" : "", "family" : "Takamura", "given" : "Toshinari", "non-dropping-particle" : "", "parse-names" : false, "suffix" : "" }, { "dropping-particle" : "", "family" : "Noguchi", "given" : "Noriko", "non-dropping-particle" : "", "parse-names" : false, "suffix" : "" }, { "dropping-particle" : "", "family" : "Saito", "given" : "Yoshiro", "non-dropping-particle" : "", "parse-names" : false, "suffix" : "" } ], "container-title" : "Nature Communications", "id" : "ITEM-3", "issue" : "1", "issued" : { "date-parts" : [ [ "2017", "12", "21" ] ] }, "page" : "1658", "publisher" : "Springer US", "title" : "Selenoprotein P-neutralizing antibodies improve insulin secretion and glucose sensitivity in type 2 diabetes mouse models", "type" : "article-journal", "volume" : "8" }, "uris" : [ "http://www.mendeley.com/documents/?uuid=05cdc9e9-20c9-4e42-bb67-c2d30e5d7976" ] } ], "mendeley" : { "formattedCitation" : "(7,9,10)", "plainTextFormattedCitation" : "(7,9,10)", "previouslyFormattedCitation" : "(7,9,10)" }, "properties" : { "noteIndex" : 5 }, "schema" : "https://github.com/citation-style-language/schema/raw/master/csl-citation.json" }</w:instrText>
      </w:r>
      <w:r w:rsidR="003F3372" w:rsidRPr="00FF15F3">
        <w:rPr>
          <w:rFonts w:asciiTheme="majorBidi" w:hAnsiTheme="majorBidi" w:cstheme="majorBidi"/>
        </w:rPr>
        <w:fldChar w:fldCharType="separate"/>
      </w:r>
      <w:r w:rsidR="00D377E6" w:rsidRPr="00D377E6">
        <w:rPr>
          <w:rFonts w:asciiTheme="majorBidi" w:hAnsiTheme="majorBidi" w:cstheme="majorBidi"/>
          <w:noProof/>
        </w:rPr>
        <w:t>(7,9,10)</w:t>
      </w:r>
      <w:r w:rsidR="003F3372" w:rsidRPr="00FF15F3">
        <w:rPr>
          <w:rFonts w:asciiTheme="majorBidi" w:hAnsiTheme="majorBidi" w:cstheme="majorBidi"/>
        </w:rPr>
        <w:fldChar w:fldCharType="end"/>
      </w:r>
      <w:r>
        <w:rPr>
          <w:rFonts w:asciiTheme="majorBidi" w:hAnsiTheme="majorBidi" w:cstheme="majorBidi"/>
        </w:rPr>
        <w:t xml:space="preserve">.  </w:t>
      </w:r>
    </w:p>
    <w:p w14:paraId="0594BA42" w14:textId="5AD3A9C7" w:rsidR="002C2DAC" w:rsidRDefault="008B6A8D" w:rsidP="009D1E6D">
      <w:pPr>
        <w:tabs>
          <w:tab w:val="left" w:pos="0"/>
        </w:tabs>
        <w:spacing w:line="480" w:lineRule="auto"/>
        <w:jc w:val="both"/>
        <w:rPr>
          <w:rFonts w:asciiTheme="majorBidi" w:hAnsiTheme="majorBidi" w:cstheme="majorBidi"/>
        </w:rPr>
      </w:pPr>
      <w:r>
        <w:rPr>
          <w:rFonts w:asciiTheme="majorBidi" w:hAnsiTheme="majorBidi" w:cstheme="majorBidi"/>
        </w:rPr>
        <w:t>The regulation of hepatokines appears to be related to long-term energy balance</w:t>
      </w:r>
      <w:r w:rsidR="00E233FC">
        <w:rPr>
          <w:rFonts w:asciiTheme="majorBidi" w:hAnsiTheme="majorBidi" w:cstheme="majorBidi"/>
        </w:rPr>
        <w:t>, as demonstrated by</w:t>
      </w:r>
      <w:r>
        <w:rPr>
          <w:rFonts w:asciiTheme="majorBidi" w:hAnsiTheme="majorBidi" w:cstheme="majorBidi"/>
        </w:rPr>
        <w:t xml:space="preserve"> associations between hepatokines, adiposity and obesity-related metabolic dysfunction </w:t>
      </w:r>
      <w:r w:rsidR="00FF15F3" w:rsidRPr="00FF15F3">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"10.1371/journal.pone.0034952", "ISBN" : "1932-6203", "ISSN" : "1932-6203", "PMID" : "22496878", "abstract" : "BACKGROUND: We recently identified selenoprotein P (SeP) as a liver-derived secretory protein that causes insulin resistance in the liver and skeletal muscle; however, it is unknown whether and, if so, how SeP acts on adipose tissue. The present study tested the hypothesis that SeP is related to hypoadiponectinemia in patients with type 2 diabetes.\\n\\nMETHODOLOGY/PRINCIPAL FINDINGS: We compared serum levels of SeP with those of adiponectin and other clinical parameters in 36 patients with type 2 diabetes. We also measured levels of blood adiponectin in SeP knockout mice. Circulating SeP levels were positively correlated with fasting plasma glucose (r = 0.35, P = 0.037) and negatively associated with both total and high-molecular adiponectin in patients with type 2 diabetes (r = -0.355, P = 0.034; r = -0.367, P = 0.028). SeP was a predictor of both total and high-molecular adiponectin, independently of age, body weight, and quantitative insulin sensitivity index (\u03b2 = -0.343, P = 0.022; \u03b2 = -0.357, P = 0.017). SeP knockout mice exhibited an increase in blood adiponectin levels when fed regular chow or a high sucrose, high fat diet.\\n\\nCONCLUSIONS/SIGNIFICANCE: These results suggest that overproduction of liver-derived secretory protein SeP is connected with hypoadiponectinemia in patients with type 2 diabetes.", "author" : [ { "dropping-particle" : "", "family" : "Misu", "given" : "Hirofumi", "non-dropping-particle" : "", "parse-names" : false, "suffix" : "" }, { "dropping-particle" : "", "family" : "Ishikura", "given" : "Kazuhide", "non-dropping-particle" : "", "parse-names" : false, "suffix" : "" }, { "dropping-particle" : "", "family" : "Kurita", "given" : "Seiichiro", "non-dropping-particle" : "", "parse-names" : false, "suffix" : "" }, { "dropping-particle" : "", "family" : "Takeshita", "given" : "Yumie", "non-dropping-particle" : "", "parse-names" : false, "suffix" : "" }, { "dropping-particle" : "", "family" : "Ota", "given" : "Tsuguhito", "non-dropping-particle" : "", "parse-names" : false, "suffix" : "" }, { "dropping-particle" : "", "family" : "Saito", "given" : "Yoshiro", "non-dropping-particle" : "", "parse-names" : false, "suffix" : "" }, { "dropping-particle" : "", "family" : "Takahashi", "given" : "Kazuhiko", "non-dropping-particle" : "", "parse-names" : false, "suffix" : "" }, { "dropping-particle" : "", "family" : "Kaneko", "given" : "Shuichi", "non-dropping-particle" : "", "parse-names" : false, "suffix" : "" }, { "dropping-particle" : "", "family" : "Takamura", "given" : "Toshinari", "non-dropping-particle" : "", "parse-names" : false, "suffix" : "" } ], "container-title" : "PLoS ONE", "editor" : [ { "dropping-particle" : "", "family" : "Luque", "given" : "Raul M.", "non-dropping-particle" : "", "parse-names" : false, "suffix" : "" } ], "id" : "ITEM-1", "issue" : "4", "issued" : { "date-parts" : [ [ "2012", "4", "4" ] ] }, "page" : "e34952", "title" : "Inverse Correlation between Serum Levels of Selenoprotein P and Adiponectin in Patients with Type 2 Diabetes", "type" : "article-journal", "volume" : "7" }, "uris" : [ "http://www.mendeley.com/documents/?uuid=f663ed0e-6c7f-4d84-abb0-e1c001af4c7f" ] }, { "id" : "ITEM-2",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"ITEM-2", "issue" : "5", "issued" : { "date-parts" : [ [ "2014", "5" ] ] }, "page" : "1649-1664", "title" : "LECT2 Functions as a Hepatokine That Links Obesity to Skeletal Muscle Insulin Resistance", "type" : "article-journal", "volume" : "63" }, "uris" : [ "http://www.mendeley.com/documents/?uuid=e68fb890-432f-4e85-8fd5-679f589778ee" ] }, { "id" : "ITEM-3",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"ITEM-3",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"(4,6,7)", "plainTextFormattedCitation" : "(4,6,7)", "previouslyFormattedCitation" : "(4,6,7)" }, "properties" : { "noteIndex" : 5 }, "schema" : "https://github.com/citation-style-language/schema/raw/master/csl-citation.json" }</w:instrText>
      </w:r>
      <w:r w:rsidR="00FF15F3" w:rsidRPr="00FF15F3">
        <w:rPr>
          <w:rFonts w:asciiTheme="majorBidi" w:hAnsiTheme="majorBidi" w:cstheme="majorBidi"/>
        </w:rPr>
        <w:fldChar w:fldCharType="separate"/>
      </w:r>
      <w:r w:rsidR="00D377E6" w:rsidRPr="00D377E6">
        <w:rPr>
          <w:rFonts w:asciiTheme="majorBidi" w:hAnsiTheme="majorBidi" w:cstheme="majorBidi"/>
          <w:noProof/>
        </w:rPr>
        <w:t>(4,6,7)</w:t>
      </w:r>
      <w:r w:rsidR="00FF15F3" w:rsidRPr="00FF15F3">
        <w:rPr>
          <w:rFonts w:asciiTheme="majorBidi" w:hAnsiTheme="majorBidi" w:cstheme="majorBidi"/>
        </w:rPr>
        <w:fldChar w:fldCharType="end"/>
      </w:r>
      <w:r>
        <w:rPr>
          <w:rFonts w:asciiTheme="majorBidi" w:hAnsiTheme="majorBidi" w:cstheme="majorBidi"/>
        </w:rPr>
        <w:t xml:space="preserve">. </w:t>
      </w:r>
      <w:r w:rsidR="00CE52CE">
        <w:rPr>
          <w:rFonts w:asciiTheme="majorBidi" w:hAnsiTheme="majorBidi" w:cstheme="majorBidi"/>
        </w:rPr>
        <w:t>Pre-clinical, mechanistic studies support this notion</w:t>
      </w:r>
      <w:r w:rsidR="00377CAA">
        <w:rPr>
          <w:rFonts w:asciiTheme="majorBidi" w:hAnsiTheme="majorBidi" w:cstheme="majorBidi"/>
        </w:rPr>
        <w:t xml:space="preserve">, </w:t>
      </w:r>
      <w:r w:rsidR="00555C6D">
        <w:rPr>
          <w:rFonts w:asciiTheme="majorBidi" w:hAnsiTheme="majorBidi" w:cstheme="majorBidi"/>
        </w:rPr>
        <w:t xml:space="preserve">showing </w:t>
      </w:r>
      <w:r w:rsidR="00377CAA">
        <w:rPr>
          <w:rFonts w:asciiTheme="majorBidi" w:hAnsiTheme="majorBidi" w:cstheme="majorBidi"/>
        </w:rPr>
        <w:t xml:space="preserve">that chronic high-fat overfeeding </w:t>
      </w:r>
      <w:r w:rsidR="00907831">
        <w:rPr>
          <w:rFonts w:asciiTheme="majorBidi" w:hAnsiTheme="majorBidi" w:cstheme="majorBidi"/>
        </w:rPr>
        <w:t>modulates hep</w:t>
      </w:r>
      <w:r w:rsidR="00A5635D">
        <w:rPr>
          <w:rFonts w:asciiTheme="majorBidi" w:hAnsiTheme="majorBidi" w:cstheme="majorBidi"/>
        </w:rPr>
        <w:t xml:space="preserve">atocyte gene expression </w:t>
      </w:r>
      <w:r w:rsidR="008F3CA8" w:rsidRPr="008F3CA8">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"10.1002/hep.20838", "ISSN" : "0270-9139", "PMID" : "16116632", "abstract" : "Nonalcoholic fatty liver disease (NAFLD) is the most common chronic liver disease, and some of its forms are progressive. This study describes the profiling of hepatic gene expression and serum protein content in patients with different subtypes of NAFLD. Liver biopsy specimens from 98 bariatric surgery patients were classified as normal, steatosis alone, steatosis with nonspecific inflammation, and nonalcoholic steatohepatitis (NASH). Microarray hybridizations were performed in triplicate and the microarray expression levels of a selected group of genes were confirmed using real-time quantitative reverse-transcriptase polymerase chain reaction. Serum protein profiles of the same patients were determined by SELDI-TOF mass spectrometry. Of 98 obese patients, 91 were diagnosed with NAFLD (12 steatosis alone, 52 steatosis with nonspecific inflammation, and 27 NASH), and 7 patients without NAFLD served as obese controls. Each group of NAFLD patients was compared with the obese controls, and 22 genes with more than twofold differences in expression levels were revealed. Proteomics analyses were performed for the same group comparisons and revealed twelve significantly different protein peaks. In conclusion, this genomic/proteomic analysis suggests differential expression of several genes and protein peaks in patients within and across the forms of NAFLD. These findings may help clarify the pathogenesis of NAFLD and identify potential targets for therapeutic intervention. (HEPATOLOGY 2005;42:665\u2013674.)", "author" : [ { "dropping-particle" : "", "family" : "Younossi", "given" : "Zobair M.", "non-dropping-particle" : "", "parse-names" : false, "suffix" : "" }, { "dropping-particle" : "", "family" : "Baranova", "given" : "Ancha", "non-dropping-particle" : "", "parse-names" : false, "suffix" : "" }, { "dropping-particle" : "", "family" : "Ziegler", "given" : "Katharine", "non-dropping-particle" : "", "parse-names" : false, "suffix" : "" }, { "dropping-particle" : "", "family" : "Giacco", "given" : "Luca", "non-dropping-particle" : "Del", "parse-names" : false, "suffix" : "" }, { "dropping-particle" : "", "family" : "Schlauch", "given" : "Karen", "non-dropping-particle" : "", "parse-names" : false, "suffix" : "" }, { "dropping-particle" : "", "family" : "Born", "given" : "Timothy L.", "non-dropping-particle" : "", "parse-names" : false, "suffix" : "" }, { "dropping-particle" : "", "family" : "Elariny", "given" : "Hazem", "non-dropping-particle" : "", "parse-names" : false, "suffix" : "" }, { "dropping-particle" : "", "family" : "Gorreta", "given" : "Francesco", "non-dropping-particle" : "", "parse-names" : false, "suffix" : "" }, { "dropping-particle" : "", "family" : "VanMeter", "given" : "Amy", "non-dropping-particle" : "", "parse-names" : false, "suffix" : "" }, { "dropping-particle" : "", "family" : "Younoszai", "given" : "Abraham", "non-dropping-particle" : "", "parse-names" : false, "suffix" : "" }, { "dropping-particle" : "", "family" : "Ong", "given" : "Janus P.", "non-dropping-particle" : "", "parse-names" : false, "suffix" : "" }, { "dropping-particle" : "", "family" : "Goodman", "given" : "Zachary", "non-dropping-particle" : "", "parse-names" : false, "suffix" : "" }, { "dropping-particle" : "", "family" : "Chandhoke", "given" : "Vikas", "non-dropping-particle" : "", "parse-names" : false, "suffix" : "" } ], "container-title" : "Hepatology", "id" : "ITEM-1", "issue" : "3", "issued" : { "date-parts" : [ [ "2005", "9" ] ] }, "page" : "665-674", "title" : "A genomic and proteomic study of the spectrum of nonalcoholic fatty liver disease", "type" : "article-journal", "volume" : "42" }, "uris" : [ "http://www.mendeley.com/documents/?uuid=05b2d5da-58f1-4d98-98fd-b7ac0f88ce46" ] }, { "id" : "ITEM-2", "itemData" : { "DOI" : "10.1016/j.jnutbio.2009.11.009", "ISBN" : "1873-4847 (Electronic)\\n0955-2863 (Linking)", "ISSN" : "09552863", "PMID" : "20303728", "abstract" : "Nonalcoholic fatty liver disease (NAFLD) is the most common form of liver disease in the US and refers to a wide spectrum of liver damage, including simple steatosis, steatohepatitis, fibrosis and cirrhosis. The goal of the present study was to achieve a more detailed understanding of the molecular changes in response to high fat-induced liver steatosis through the identification of a differentially expressed liver transcriptome and proteome. Male C57/BL6 mice fed a high-fat lard diet for 8 weeks developed visceral obesity and hepatic steatosis characterized by significantly increased liver and plasma free fatty acid and triglyceride levels and plasma alanine aminotransferase activities. Transcriptome analysis demonstrated that, compared to the control diet (CD), high-fat diet changed the expression of 309 genes (132 up- and 177 down-regulated; by a twofold change and more, P&lt;05). Multiple genes encoding proteins involved in lipogenesis were down-regulated, whereas genes involved in fatty acid oxidation were up-regulated. Proteomic analysis revealed 12 proteins which were differentially expressed. Of these, glutathione S-transferases mu1 and pi1 and selenium-binding protein 2 were decreased at both the gene and protein levels. This is the first study to perform a parallel transcriptomic and proteomic analysis of diet-induced hepatic steatosis. Several key pathways involving xenobiotic and lipid metabolism, the inflammatory response and cell-cycle control were identified. These pathways provide targets for future mechanistic and therapeutic studies as related to the development and prevention of NAFLD. \u00a9 2011.", "author" : [ { "dropping-particle" : "", "family" : "Kirpich", "given" : "Irina A.", "non-dropping-particle" : "", "parse-names" : false, "suffix" : "" }, { "dropping-particle" : "", "family" : "Gobejishvili", "given" : "Leila N.", "non-dropping-particle" : "", "parse-names" : false, "suffix" : "" }, { "dropping-particle" : "", "family" : "Homme", "given" : "Marjorie Bon", "non-dropping-particle" : "", "parse-names" : false, "suffix" : "" }, { "dropping-particle" : "", "family" : "Waigel", "given" : "Sabine", "non-dropping-particle" : "", "parse-names" : false, "suffix" : "" }, { "dropping-particle" : "", "family" : "Cave", "given" : "Matt", "non-dropping-particle" : "", "parse-names" : false, "suffix" : "" }, { "dropping-particle" : "", "family" : "Arteel", "given" : "Gavin", "non-dropping-particle" : "", "parse-names" : false, "suffix" : "" }, { "dropping-particle" : "", "family" : "Barve", "given" : "Shirish S.", "non-dropping-particle" : "", "parse-names" : false, "suffix" : "" }, { "dropping-particle" : "", "family" : "McClain", "given" : "Craig J.", "non-dropping-particle" : "", "parse-names" : false, "suffix" : "" }, { "dropping-particle" : "V.", "family" : "Deaciuc", "given" : "Ion", "non-dropping-particle" : "", "parse-names" : false, "suffix" : "" } ], "container-title" : "The Journal of Nutritional Biochemistry", "id" : "ITEM-2", "issue" : "1", "issued" : { "date-parts" : [ [ "2011", "1" ] ] }, "page" : "38-45", "publisher" : "Elsevier B.V.", "title" : "Integrated hepatic transcriptome and proteome analysis of mice with high-fat diet-induced nonalcoholic fatty liver disease", "type" : "article-journal", "volume" : "22" }, "uris" : [ "http://www.mendeley.com/documents/?uuid=bc1cf3c7-4099-4e78-ba59-fb496f6bfb99" ] }, { "id" : "ITEM-3", "itemData" : { "DOI" : "10.1371/journal.pgen.1002902", "ISBN" : "1553-7404 (Electronic)\\r1553-7390 (Linking)", "ISSN" : "1553-7404", "PMID" : "22927828", "abstract" : "Obesity-associated metabolic complications are generally considered to emerge from abnormalities in carbohydrate and lipid metabolism, whereas the status of protein metabolism is not well studied. Here, we performed comparative polysome and associated transcriptional profiling analyses to study the dynamics and functional implications of endoplasmic reticulum (ER)-associated protein synthesis in the mouse liver under conditions of obesity and nutrient deprivation. We discovered that ER from livers of obese mice exhibits a general reduction in protein synthesis, and comprehensive analysis of polysome-bound transcripts revealed extensive down-regulation of protein synthesis machinery, mitochondrial components, and bile acid metabolism in the obese translatome. Nutrient availability also plays an important but distinct role in remodeling the hepatic ER translatome in lean and obese mice. Fasting in obese mice partially reversed the overall translatomic differences between lean and obese nonfasted controls, whereas fasting of the lean mice mimicked many of the translatomic changes induced by the development of obesity. The strongest examples of such regulations were the reduction in Cyp7b1 and Slco1a1, molecules involved in bile acid metabolism. Exogenous expression of either gene significantly lowered plasma glucose levels, improved hepatic steatosis, but also caused cholestasis, indicating the fine balance bile acids play in regulating metabolism and health. Together, our work defines dynamic regulation of the liver translatome by obesity and nutrient availability, and it identifies a novel role for bile acid metabolism in the pathogenesis of metabolic abnormalities associated with obesity.", "author" : [ { "dropping-particle" : "", "family" : "Fu", "given" : "Suneng", "non-dropping-particle" : "", "parse-names" : false, "suffix" : "" }, { "dropping-particle" : "", "family" : "Fan", "given" : "Jason", "non-dropping-particle" : "", "parse-names" : false, "suffix" : "" }, { "dropping-particle" : "", "family" : "Blanco", "given" : "Joshua", "non-dropping-particle" : "", "parse-names" : false, "suffix" : "" }, { "dropping-particle" : "", "family" : "Gimenez-Cassina", "given" : "Alfredo", "non-dropping-particle" : "", "parse-names" : false, "suffix" : "" }, { "dropping-particle" : "", "family" : "Danial", "given" : "Nika N.", "non-dropping-particle" : "", "parse-names" : false, "suffix" : "" }, { "dropping-particle" : "", "family" : "Watkins", "given" : "Steve M.", "non-dropping-particle" : "", "parse-names" : false, "suffix" : "" }, { "dropping-particle" : "", "family" : "Hotamisligil", "given" : "G\u00f6khan S.", "non-dropping-particle" : "", "parse-names" : false, "suffix" : "" } ], "container-title" : "PLoS Genetics", "editor" : [ { "dropping-particle" : "", "family" : "Auwerx", "given" : "Johan", "non-dropping-particle" : "", "parse-names" : false, "suffix" : "" } ], "id" : "ITEM-3", "issue" : "8", "issued" : { "date-parts" : [ [ "2012", "8", "23" ] ] }, "page" : "e1002902", "title" : "Polysome Profiling in Liver Identifies Dynamic Regulation of Endoplasmic Reticulum Translatome by Obesity and Fasting", "type" : "article-journal", "volume" : "8" }, "uris" : [ "http://www.mendeley.com/documents/?uuid=4cd82715-487b-402d-a24c-fa85aeb84bc6" ] }, { "id" : "ITEM-4",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"ITEM-4",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"(4,11\u201313)", "plainTextFormattedCitation" : "(4,11\u201313)", "previouslyFormattedCitation" : "(4,11\u201313)" }, "properties" : { "noteIndex" : 5 }, "schema" : "https://github.com/citation-style-language/schema/raw/master/csl-citation.json" }</w:instrText>
      </w:r>
      <w:r w:rsidR="008F3CA8" w:rsidRPr="008F3CA8">
        <w:rPr>
          <w:rFonts w:asciiTheme="majorBidi" w:hAnsiTheme="majorBidi" w:cstheme="majorBidi"/>
        </w:rPr>
        <w:fldChar w:fldCharType="separate"/>
      </w:r>
      <w:r w:rsidR="00D377E6" w:rsidRPr="00D377E6">
        <w:rPr>
          <w:rFonts w:asciiTheme="majorBidi" w:hAnsiTheme="majorBidi" w:cstheme="majorBidi"/>
          <w:noProof/>
        </w:rPr>
        <w:t>(4,11–13)</w:t>
      </w:r>
      <w:r w:rsidR="008F3CA8" w:rsidRPr="008F3CA8">
        <w:rPr>
          <w:rFonts w:asciiTheme="majorBidi" w:hAnsiTheme="majorBidi" w:cstheme="majorBidi"/>
        </w:rPr>
        <w:fldChar w:fldCharType="end"/>
      </w:r>
      <w:r w:rsidR="002E1CD8">
        <w:rPr>
          <w:rFonts w:asciiTheme="majorBidi" w:hAnsiTheme="majorBidi" w:cstheme="majorBidi"/>
        </w:rPr>
        <w:t>.</w:t>
      </w:r>
      <w:r w:rsidR="00D67BD6">
        <w:rPr>
          <w:rFonts w:asciiTheme="majorBidi" w:hAnsiTheme="majorBidi" w:cstheme="majorBidi"/>
        </w:rPr>
        <w:t xml:space="preserve"> </w:t>
      </w:r>
      <w:r w:rsidR="005F7B56">
        <w:rPr>
          <w:rFonts w:asciiTheme="majorBidi" w:hAnsiTheme="majorBidi" w:cstheme="majorBidi"/>
        </w:rPr>
        <w:t xml:space="preserve">The </w:t>
      </w:r>
      <w:r w:rsidR="00B23ADF">
        <w:rPr>
          <w:rFonts w:asciiTheme="majorBidi" w:hAnsiTheme="majorBidi" w:cstheme="majorBidi"/>
        </w:rPr>
        <w:t xml:space="preserve">importance of this </w:t>
      </w:r>
      <w:r w:rsidR="0072079D">
        <w:rPr>
          <w:rFonts w:asciiTheme="majorBidi" w:hAnsiTheme="majorBidi" w:cstheme="majorBidi"/>
        </w:rPr>
        <w:t xml:space="preserve">regulatory process </w:t>
      </w:r>
      <w:r w:rsidR="005B26B1">
        <w:rPr>
          <w:rFonts w:asciiTheme="majorBidi" w:hAnsiTheme="majorBidi" w:cstheme="majorBidi"/>
        </w:rPr>
        <w:t xml:space="preserve">for systemic metabolism </w:t>
      </w:r>
      <w:r w:rsidR="0072079D">
        <w:rPr>
          <w:rFonts w:asciiTheme="majorBidi" w:hAnsiTheme="majorBidi" w:cstheme="majorBidi"/>
        </w:rPr>
        <w:t xml:space="preserve">has been highlighted recently; </w:t>
      </w:r>
      <w:r w:rsidR="006F4174">
        <w:rPr>
          <w:rFonts w:asciiTheme="majorBidi" w:hAnsiTheme="majorBidi" w:cstheme="majorBidi"/>
        </w:rPr>
        <w:t xml:space="preserve">where secreted factors from steatotic hepatocytes </w:t>
      </w:r>
      <w:r w:rsidR="00D17C7F">
        <w:rPr>
          <w:rFonts w:asciiTheme="majorBidi" w:hAnsiTheme="majorBidi" w:cstheme="majorBidi"/>
        </w:rPr>
        <w:t xml:space="preserve">induced pro-inflammatory signalling and insulin resistance in cultured cells </w:t>
      </w:r>
      <w:r w:rsidR="008F3CA8" w:rsidRPr="008F3CA8">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"ITEM-1",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"(4)", "plainTextFormattedCitation" : "(4)", "previouslyFormattedCitation" : "(4)" }, "properties" : { "noteIndex" : 5 }, "schema" : "https://github.com/citation-style-language/schema/raw/master/csl-citation.json" }</w:instrText>
      </w:r>
      <w:r w:rsidR="008F3CA8" w:rsidRPr="008F3CA8">
        <w:rPr>
          <w:rFonts w:asciiTheme="majorBidi" w:hAnsiTheme="majorBidi" w:cstheme="majorBidi"/>
        </w:rPr>
        <w:fldChar w:fldCharType="separate"/>
      </w:r>
      <w:r w:rsidR="00D377E6" w:rsidRPr="00D377E6">
        <w:rPr>
          <w:rFonts w:asciiTheme="majorBidi" w:hAnsiTheme="majorBidi" w:cstheme="majorBidi"/>
          <w:noProof/>
        </w:rPr>
        <w:t>(4)</w:t>
      </w:r>
      <w:r w:rsidR="008F3CA8" w:rsidRPr="008F3CA8">
        <w:rPr>
          <w:rFonts w:asciiTheme="majorBidi" w:hAnsiTheme="majorBidi" w:cstheme="majorBidi"/>
        </w:rPr>
        <w:fldChar w:fldCharType="end"/>
      </w:r>
      <w:r w:rsidR="00D17C7F">
        <w:rPr>
          <w:rFonts w:asciiTheme="majorBidi" w:hAnsiTheme="majorBidi" w:cstheme="majorBidi"/>
        </w:rPr>
        <w:t>.</w:t>
      </w:r>
    </w:p>
    <w:p w14:paraId="07EE13FC" w14:textId="4C4E5086" w:rsidR="008B6A8D" w:rsidRDefault="008B6A8D" w:rsidP="009D1E6D">
      <w:pPr>
        <w:tabs>
          <w:tab w:val="left" w:pos="0"/>
        </w:tabs>
        <w:spacing w:line="480" w:lineRule="auto"/>
        <w:jc w:val="both"/>
        <w:rPr>
          <w:rFonts w:asciiTheme="majorBidi" w:hAnsiTheme="majorBidi" w:cstheme="majorBidi"/>
        </w:rPr>
      </w:pPr>
      <w:r>
        <w:rPr>
          <w:rFonts w:asciiTheme="majorBidi" w:hAnsiTheme="majorBidi" w:cstheme="majorBidi"/>
        </w:rPr>
        <w:t xml:space="preserve">In addition to chronic regulatory influences, recent </w:t>
      </w:r>
      <w:r w:rsidR="008450D4">
        <w:rPr>
          <w:rFonts w:asciiTheme="majorBidi" w:hAnsiTheme="majorBidi" w:cstheme="majorBidi"/>
        </w:rPr>
        <w:t xml:space="preserve">pre-clinical </w:t>
      </w:r>
      <w:r>
        <w:rPr>
          <w:rFonts w:asciiTheme="majorBidi" w:hAnsiTheme="majorBidi" w:cstheme="majorBidi"/>
        </w:rPr>
        <w:t xml:space="preserve">research indicates that hepatokines may also be sensitive to acute perturbations in energy balance and nutrition. For instance, leukocyte cell-derived chemotaxin 2 (LECT2) is a novel hepatokine which promotes insulin resistance in peripheral tissues </w:t>
      </w:r>
      <w:r w:rsidR="008F3CA8" w:rsidRPr="008F3CA8">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"id" : "ITEM-2", "itemData" : { "DOI" : "10.1530/JME-17-0267", "ISSN" : "0952-5041", "PMID" : "29650721", "abstract" : "Leukocyte cell-derived chemotaxin 2 (LECT2) is a recently identified novel hepatokine that causes insulin resistance in skeletal muscle by activating c-Jun N-terminal kinase (JNK), thereby driving atherosclerotic inflammation. However, the role of LECT2 in inflammation and insulin resistance in adipocytes has not been investigated. In this study, we report that LECT2 treatment of differentiated 3T3-L1 cells stimulates P38 phosphorylation in a dose-dependent manner. LECT2 also enhanced inflammation markers such as I\u03baB phosphorylation, nuclear factor kappa beta (NF-\u03baB) phosphorylation and IL-6 expression. Moreover, LECT2 treatment impaired insulin signaling in differentiated 3T3-L1 cells, as evidenced by the decreased levels of insulin receptor substrate (IRS-1) and Akt phosphorylation and reduced insulin-stimulated glucose uptake. Furthermore, LECT2 augmented lipid accumulation during 3T3-L1 cell differentiation by activating SREBP1c-mediated signaling. All these effects were significantly abrogated by siRNA-mediated silencing of P38, CD209 expression or a JNK inhibitor. Our findings suggest that LECT2 stimulates inflammation and insulin resistance in adipocytes via activation of a CD209/P38-dependent pathway. Thus, these results suggest effective therapeutic targets for treating inflammation-mediated insulin resistance.", "author" : [ { "dropping-particle" : "", "family" : "Jung", "given" : "Tae Woo", "non-dropping-particle" : "", "parse-names" : false, "suffix" : "" }, { "dropping-particle" : "", "family" : "Chung", "given" : "Yoon Hee", "non-dropping-particle" : "", "parse-names" : false, "suffix" : "" }, { "dropping-particle" : "", "family" : "Kim", "given" : "Hyoung-Chun", "non-dropping-particle" : "", "parse-names" : false, "suffix" : "" }, { "dropping-particle" : "", "family" : "Abd El-Aty", "given" : "A. M.", "non-dropping-particle" : "", "parse-names" : false, "suffix" : "" }, { "dropping-particle" : "", "family" : "Jeong", "given" : "Ji Hoon", "non-dropping-particle" : "", "parse-names" : false, "suffix" : "" } ], "container-title" : "Journal of Molecular Endocrinology", "id" : "ITEM-2", "issue" : "1", "issued" : { "date-parts" : [ [ "2018", "7" ] ] }, "page" : "37-45", "title" : "LECT2 promotes inflammation and insulin resistance in adipocytes via P38 pathways", "type" : "article-journal", "volume" : "61" }, "uris" : [ "http://www.mendeley.com/documents/?uuid=a3b38447-e43c-42dd-b027-a3ad102b3ff8" ] } ], "mendeley" : { "formattedCitation" : "(7,14)", "plainTextFormattedCitation" : "(7,14)", "previouslyFormattedCitation" : "(7,14)" }, "properties" : { "noteIndex" : 5 }, "schema" : "https://github.com/citation-style-language/schema/raw/master/csl-citation.json" }</w:instrText>
      </w:r>
      <w:r w:rsidR="008F3CA8" w:rsidRPr="008F3CA8">
        <w:rPr>
          <w:rFonts w:asciiTheme="majorBidi" w:hAnsiTheme="majorBidi" w:cstheme="majorBidi"/>
        </w:rPr>
        <w:fldChar w:fldCharType="separate"/>
      </w:r>
      <w:r w:rsidR="00D377E6" w:rsidRPr="00D377E6">
        <w:rPr>
          <w:rFonts w:asciiTheme="majorBidi" w:hAnsiTheme="majorBidi" w:cstheme="majorBidi"/>
          <w:noProof/>
        </w:rPr>
        <w:t>(7,14)</w:t>
      </w:r>
      <w:r w:rsidR="008F3CA8" w:rsidRPr="008F3CA8">
        <w:rPr>
          <w:rFonts w:asciiTheme="majorBidi" w:hAnsiTheme="majorBidi" w:cstheme="majorBidi"/>
        </w:rPr>
        <w:fldChar w:fldCharType="end"/>
      </w:r>
      <w:r>
        <w:rPr>
          <w:rFonts w:asciiTheme="majorBidi" w:hAnsiTheme="majorBidi" w:cstheme="majorBidi"/>
        </w:rPr>
        <w:t xml:space="preserve"> and is su</w:t>
      </w:r>
      <w:r w:rsidR="00FE5FA5">
        <w:rPr>
          <w:rFonts w:asciiTheme="majorBidi" w:hAnsiTheme="majorBidi" w:cstheme="majorBidi"/>
        </w:rPr>
        <w:t>p</w:t>
      </w:r>
      <w:r>
        <w:rPr>
          <w:rFonts w:asciiTheme="majorBidi" w:hAnsiTheme="majorBidi" w:cstheme="majorBidi"/>
        </w:rPr>
        <w:t>pressed by acute exercise and fasting</w:t>
      </w:r>
      <w:r w:rsidR="00AB580C">
        <w:rPr>
          <w:rFonts w:asciiTheme="majorBidi" w:hAnsiTheme="majorBidi" w:cstheme="majorBidi"/>
        </w:rPr>
        <w:t>;</w:t>
      </w:r>
      <w:r w:rsidR="001C2002">
        <w:rPr>
          <w:rFonts w:asciiTheme="majorBidi" w:hAnsiTheme="majorBidi" w:cstheme="majorBidi"/>
        </w:rPr>
        <w:t xml:space="preserve"> but increases in response to</w:t>
      </w:r>
      <w:r>
        <w:rPr>
          <w:rFonts w:asciiTheme="majorBidi" w:hAnsiTheme="majorBidi" w:cstheme="majorBidi"/>
        </w:rPr>
        <w:t xml:space="preserve"> </w:t>
      </w:r>
      <w:r w:rsidR="008450D4">
        <w:rPr>
          <w:rFonts w:asciiTheme="majorBidi" w:hAnsiTheme="majorBidi" w:cstheme="majorBidi"/>
        </w:rPr>
        <w:t xml:space="preserve">chronic </w:t>
      </w:r>
      <w:r w:rsidR="00AF4A42" w:rsidRPr="00871F1D">
        <w:rPr>
          <w:rFonts w:asciiTheme="majorBidi" w:hAnsiTheme="majorBidi" w:cstheme="majorBidi"/>
        </w:rPr>
        <w:t>over</w:t>
      </w:r>
      <w:r w:rsidRPr="00871F1D">
        <w:rPr>
          <w:rFonts w:asciiTheme="majorBidi" w:hAnsiTheme="majorBidi" w:cstheme="majorBidi"/>
        </w:rPr>
        <w:t xml:space="preserve">feeding </w:t>
      </w:r>
      <w:r w:rsidR="008F3CA8"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"mendeley" : { "formattedCitation" : "(7)", "plainTextFormattedCitation" : "(7)", "previouslyFormattedCitation" : "(7)" }, "properties" : { "noteIndex" : 5 }, "schema" : "https://github.com/citation-style-language/schema/raw/master/csl-citation.json" }</w:instrText>
      </w:r>
      <w:r w:rsidR="008F3CA8" w:rsidRPr="00F40FC9">
        <w:rPr>
          <w:rFonts w:asciiTheme="majorBidi" w:hAnsiTheme="majorBidi" w:cstheme="majorBidi"/>
        </w:rPr>
        <w:fldChar w:fldCharType="separate"/>
      </w:r>
      <w:r w:rsidR="00D377E6" w:rsidRPr="00D377E6">
        <w:rPr>
          <w:rFonts w:asciiTheme="majorBidi" w:hAnsiTheme="majorBidi" w:cstheme="majorBidi"/>
          <w:noProof/>
        </w:rPr>
        <w:t>(7)</w:t>
      </w:r>
      <w:r w:rsidR="008F3CA8" w:rsidRPr="00F40FC9">
        <w:rPr>
          <w:rFonts w:asciiTheme="majorBidi" w:hAnsiTheme="majorBidi" w:cstheme="majorBidi"/>
        </w:rPr>
        <w:fldChar w:fldCharType="end"/>
      </w:r>
      <w:r>
        <w:rPr>
          <w:rFonts w:asciiTheme="majorBidi" w:hAnsiTheme="majorBidi" w:cstheme="majorBidi"/>
        </w:rPr>
        <w:t>. In a rodent weight cycling model, LECT2 was recently shown to respond dynamically to alterna</w:t>
      </w:r>
      <w:r w:rsidRPr="00871F1D">
        <w:rPr>
          <w:rFonts w:asciiTheme="majorBidi" w:hAnsiTheme="majorBidi" w:cstheme="majorBidi"/>
        </w:rPr>
        <w:t xml:space="preserve">ting periods of </w:t>
      </w:r>
      <w:r w:rsidR="008E2EEB" w:rsidRPr="00871F1D">
        <w:rPr>
          <w:rFonts w:asciiTheme="majorBidi" w:hAnsiTheme="majorBidi" w:cstheme="majorBidi"/>
        </w:rPr>
        <w:t xml:space="preserve">hypercaloric and </w:t>
      </w:r>
      <w:proofErr w:type="spellStart"/>
      <w:r w:rsidR="008E2EEB" w:rsidRPr="00871F1D">
        <w:rPr>
          <w:rFonts w:asciiTheme="majorBidi" w:hAnsiTheme="majorBidi" w:cstheme="majorBidi"/>
        </w:rPr>
        <w:t>eucaloric</w:t>
      </w:r>
      <w:proofErr w:type="spellEnd"/>
      <w:r w:rsidRPr="00871F1D">
        <w:rPr>
          <w:rFonts w:asciiTheme="majorBidi" w:hAnsiTheme="majorBidi" w:cstheme="majorBidi"/>
        </w:rPr>
        <w:t xml:space="preserve"> </w:t>
      </w:r>
      <w:r w:rsidR="008E2EEB" w:rsidRPr="00871F1D">
        <w:rPr>
          <w:rFonts w:asciiTheme="majorBidi" w:hAnsiTheme="majorBidi" w:cstheme="majorBidi"/>
        </w:rPr>
        <w:t>feeding</w:t>
      </w:r>
      <w:r>
        <w:rPr>
          <w:rFonts w:asciiTheme="majorBidi" w:hAnsiTheme="majorBidi" w:cstheme="majorBidi"/>
        </w:rPr>
        <w:t xml:space="preserve"> </w:t>
      </w:r>
      <w:r w:rsidR="008F3CA8"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"10.1016/j.bbrc.2016.08.117", "ISSN" : "0006291X", "PMID" : "27562717", "abstract" : "Dieting often leads to body weight cycling involving repeated weight loss and regain. However, little information is available regarding rapid-response serum markers of overnutrition that predict body weight alterations during weight cycling. Here, we report the rapid response of serum leukocyte cell-derived chemotaxin 2 (LECT2), a hepatokine that induces insulin resistance in skeletal muscle, during diet-induced weight cycling in mice. A switch from a high-fat diet (HFD) to a regular diet (RD) in obese mice gradually decreased body weight but rapidly decreased serum LECT2 levels within 10 days. In contrast, a switch from a RD to a HFD rapidly elevated serum LECT2 levels. Serum LECT2 levels showed a positive correlation with liver triglyceride contents but not with adipose tissue weight. This study demonstrates the rapid response of LECT2 preceding body weight alterations during weight cycling in mice and suggests that measurement of serum LECT2 may be clinically useful in the management of obesity.", "author" : [ { "dropping-particle" : "", "family" : "Chikamoto", "given" : "Keita", "non-dropping-particle" : "", "parse-names" : false, "suffix" : "" }, { "dropping-particle" : "", "family" : "Misu", "given" : "Hirofumi",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"Ishii", "given" : "Kiyo-aki", "non-dropping-particle" : "", "parse-names" : false, "suffix" : "" }, { "dropping-particle" : "", "family" : "Lan", "given" : "Fei", "non-dropping-particle" : "", "parse-names" : false, "suffix" : "" }, { "dropping-particle" : "", "family" : "Takata", "given" : "Noboru", "non-dropping-particle" : "", "parse-names" : false, "suffix" : "" }, { "dropping-particle" : "", "family" : "Tajima-Shirasaki", "given" : "Natsumi", "non-dropping-particle" : "", "parse-names" : false, "suffix" : "" }, { "dropping-particle" : "", "family" : "Takeshita", "given" : "Yumie", "non-dropping-particle" : "", "parse-names" : false, "suffix" : "" }, { "dropping-particle" : "", "family" : "Tsugane", "given" : "Hirohiko", "non-dropping-particle" : "", "parse-names" : false, "suffix" : "" }, { "dropping-particle" : "", "family" : "Kaneko", "given" : "Shuichi", "non-dropping-particle" : "", "parse-names" : false, "suffix" : "" }, { "dropping-particle" : "", "family" : "Matsugo", "given" : "Seiichi", "non-dropping-particle" : "", "parse-names" : false, "suffix" : "" }, { "dropping-particle" : "", "family" : "Takamura", "given" : "Toshinari", "non-dropping-particle" : "", "parse-names" : false, "suffix" : "" } ], "container-title" : "Biochemical and Biophysical Research Communications", "id" : "ITEM-1", "issue" : "3", "issued" : { "date-parts" : [ [ "2016", "9" ] ] }, "page" : "1310-1316", "publisher" : "Elsevier Ltd", "title" : "Rapid response of the steatosis-sensing hepatokine LECT2 during diet-induced weight cycling in mice", "type" : "article-journal", "volume" : "478" }, "uris" : [ "http://www.mendeley.com/documents/?uuid=a4135e4b-4dd0-4aee-bb36-abd4512c54a4" ] } ], "mendeley" : { "formattedCitation" : "(15)", "plainTextFormattedCitation" : "(15)", "previouslyFormattedCitation" : "(15)" }, "properties" : { "noteIndex" : 5 }, "schema" : "https://github.com/citation-style-language/schema/raw/master/csl-citation.json" }</w:instrText>
      </w:r>
      <w:r w:rsidR="008F3CA8" w:rsidRPr="00F40FC9">
        <w:rPr>
          <w:rFonts w:asciiTheme="majorBidi" w:hAnsiTheme="majorBidi" w:cstheme="majorBidi"/>
        </w:rPr>
        <w:fldChar w:fldCharType="separate"/>
      </w:r>
      <w:r w:rsidR="00D377E6" w:rsidRPr="00D377E6">
        <w:rPr>
          <w:rFonts w:asciiTheme="majorBidi" w:hAnsiTheme="majorBidi" w:cstheme="majorBidi"/>
          <w:noProof/>
        </w:rPr>
        <w:t>(15)</w:t>
      </w:r>
      <w:r w:rsidR="008F3CA8" w:rsidRPr="00F40FC9">
        <w:rPr>
          <w:rFonts w:asciiTheme="majorBidi" w:hAnsiTheme="majorBidi" w:cstheme="majorBidi"/>
        </w:rPr>
        <w:fldChar w:fldCharType="end"/>
      </w:r>
      <w:r>
        <w:rPr>
          <w:rFonts w:asciiTheme="majorBidi" w:hAnsiTheme="majorBidi" w:cstheme="majorBidi"/>
        </w:rPr>
        <w:t xml:space="preserve">. </w:t>
      </w:r>
      <w:r w:rsidR="00B85108">
        <w:rPr>
          <w:rFonts w:asciiTheme="majorBidi" w:hAnsiTheme="majorBidi" w:cstheme="majorBidi"/>
        </w:rPr>
        <w:t xml:space="preserve">Hepatic activation of the energy-sensing </w:t>
      </w:r>
      <w:r w:rsidR="007D1953">
        <w:rPr>
          <w:rFonts w:asciiTheme="majorBidi" w:hAnsiTheme="majorBidi" w:cstheme="majorBidi"/>
        </w:rPr>
        <w:t>kinase</w:t>
      </w:r>
      <w:r w:rsidR="008A1E50">
        <w:rPr>
          <w:rFonts w:asciiTheme="majorBidi" w:hAnsiTheme="majorBidi" w:cstheme="majorBidi"/>
        </w:rPr>
        <w:t xml:space="preserve"> AMP-activated protein kinase (AMPK) has been </w:t>
      </w:r>
      <w:r w:rsidR="00D470A2">
        <w:rPr>
          <w:rFonts w:asciiTheme="majorBidi" w:hAnsiTheme="majorBidi" w:cstheme="majorBidi"/>
        </w:rPr>
        <w:t>demonstrated</w:t>
      </w:r>
      <w:r w:rsidR="008A1E50">
        <w:rPr>
          <w:rFonts w:asciiTheme="majorBidi" w:hAnsiTheme="majorBidi" w:cstheme="majorBidi"/>
        </w:rPr>
        <w:t xml:space="preserve"> to modulate </w:t>
      </w:r>
      <w:r w:rsidR="00F02137">
        <w:rPr>
          <w:rFonts w:asciiTheme="majorBidi" w:hAnsiTheme="majorBidi" w:cstheme="majorBidi"/>
        </w:rPr>
        <w:t>t</w:t>
      </w:r>
      <w:r>
        <w:rPr>
          <w:rFonts w:asciiTheme="majorBidi" w:hAnsiTheme="majorBidi" w:cstheme="majorBidi"/>
        </w:rPr>
        <w:t xml:space="preserve">he responsiveness of LECT2 to energetic and/or </w:t>
      </w:r>
      <w:r>
        <w:rPr>
          <w:rFonts w:asciiTheme="majorBidi" w:hAnsiTheme="majorBidi" w:cstheme="majorBidi"/>
        </w:rPr>
        <w:lastRenderedPageBreak/>
        <w:t xml:space="preserve">nutritional </w:t>
      </w:r>
      <w:r w:rsidRPr="003E1D3A">
        <w:rPr>
          <w:rFonts w:asciiTheme="majorBidi" w:hAnsiTheme="majorBidi" w:cstheme="majorBidi"/>
        </w:rPr>
        <w:t xml:space="preserve">status </w:t>
      </w:r>
      <w:r w:rsidR="008F3CA8"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"mendeley" : { "formattedCitation" : "(7)", "plainTextFormattedCitation" : "(7)", "previouslyFormattedCitation" : "(7)" }, "properties" : { "noteIndex" : 6 }, "schema" : "https://github.com/citation-style-language/schema/raw/master/csl-citation.json" }</w:instrText>
      </w:r>
      <w:r w:rsidR="008F3CA8" w:rsidRPr="00F40FC9">
        <w:rPr>
          <w:rFonts w:asciiTheme="majorBidi" w:hAnsiTheme="majorBidi" w:cstheme="majorBidi"/>
        </w:rPr>
        <w:fldChar w:fldCharType="separate"/>
      </w:r>
      <w:r w:rsidR="00D377E6" w:rsidRPr="00D377E6">
        <w:rPr>
          <w:rFonts w:asciiTheme="majorBidi" w:hAnsiTheme="majorBidi" w:cstheme="majorBidi"/>
          <w:noProof/>
        </w:rPr>
        <w:t>(7)</w:t>
      </w:r>
      <w:r w:rsidR="008F3CA8" w:rsidRPr="00F40FC9">
        <w:rPr>
          <w:rFonts w:asciiTheme="majorBidi" w:hAnsiTheme="majorBidi" w:cstheme="majorBidi"/>
        </w:rPr>
        <w:fldChar w:fldCharType="end"/>
      </w:r>
      <w:r>
        <w:rPr>
          <w:rFonts w:asciiTheme="majorBidi" w:hAnsiTheme="majorBidi" w:cstheme="majorBidi"/>
        </w:rPr>
        <w:t xml:space="preserve">. </w:t>
      </w:r>
      <w:r w:rsidR="00D470A2">
        <w:rPr>
          <w:rFonts w:asciiTheme="majorBidi" w:hAnsiTheme="majorBidi" w:cstheme="majorBidi"/>
        </w:rPr>
        <w:t>Interestingly, t</w:t>
      </w:r>
      <w:r>
        <w:rPr>
          <w:rFonts w:asciiTheme="majorBidi" w:hAnsiTheme="majorBidi" w:cstheme="majorBidi"/>
        </w:rPr>
        <w:t>his mechanism has also been shown to mod</w:t>
      </w:r>
      <w:r w:rsidR="0042797A">
        <w:rPr>
          <w:rFonts w:asciiTheme="majorBidi" w:hAnsiTheme="majorBidi" w:cstheme="majorBidi"/>
        </w:rPr>
        <w:t>ul</w:t>
      </w:r>
      <w:r>
        <w:rPr>
          <w:rFonts w:asciiTheme="majorBidi" w:hAnsiTheme="majorBidi" w:cstheme="majorBidi"/>
        </w:rPr>
        <w:t xml:space="preserve">ate other </w:t>
      </w:r>
      <w:r w:rsidRPr="00007ED6">
        <w:rPr>
          <w:rFonts w:asciiTheme="majorBidi" w:hAnsiTheme="majorBidi" w:cstheme="majorBidi"/>
        </w:rPr>
        <w:t>important gluco-regulatory hepatokines</w:t>
      </w:r>
      <w:r>
        <w:rPr>
          <w:rFonts w:asciiTheme="majorBidi" w:hAnsiTheme="majorBidi" w:cstheme="majorBidi"/>
        </w:rPr>
        <w:t xml:space="preserve"> such as fetuin-A </w:t>
      </w:r>
      <w:r w:rsidR="008F3CA8"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"10.1038/ijo.2014.203", "ISBN" : "1476-5497", "ISSN" : "0307-0565", "PMID" : "25468829", "abstract" : "Fetuin-A (FetA) is a 64-kDa glycoprotein that is secreted from both the liver and adipose tissue. Circulating FetA is elevated in obesity and related disorders including type 2 diabetes mellitus, nonalcoholic fatty liver disease and the metabolic syndrome; and a FetA-related parameter, caliciprotein particle, is highly relevant to vascular calcification in overweight/obese patients with chronic kidney disease. FetA level is also associated with impaired insulin sensitivity and glucose tolerance. Accumulating evidence suggests that elevated FetA level causes impaired glycemic control, as FetA has been implicated in impairment of insulin receptor signaling, toll-like receptor 4 activation, macrophage migration and polarization, adipocyte dysfunction, hepatocyte triacylglycerol accumulation and liver inflammation and fibrosis. Weight loss, aerobic exercise, metformin and pioglitazone have each been shown to be effective for reducing FetA level.", "author" : [ { "dropping-particle" : "", "family" : "Trepanowski", "given" : "J. F.", "non-dropping-particle" : "", "parse-names" : false, "suffix" : "" }, { "dropping-particle" : "", "family" : "Mey", "given" : "J.", "non-dropping-particle" : "", "parse-names" : false, "suffix" : "" }, { "dropping-particle" : "", "family" : "Varady", "given" : "K. A.", "non-dropping-particle" : "", "parse-names" : false, "suffix" : "" } ], "container-title" : "International Journal of Obesity", "id" : "ITEM-1", "issue" : "5", "issued" : { "date-parts" : [ [ "2015", "5", "3" ] ] }, "page" : "734-741", "publisher" : "Nature Publishing Group", "title" : "Fetuin-A: a novel link between obesity and related complications", "type" : "article-journal", "volume" : "39" }, "uris" : [ "http://www.mendeley.com/documents/?uuid=e2e397e3-d7cc-4e10-a61d-5c735656c62a" ] } ], "mendeley" : { "formattedCitation" : "(16)", "plainTextFormattedCitation" : "(16)", "previouslyFormattedCitation" : "(16)" }, "properties" : { "noteIndex" : 6 }, "schema" : "https://github.com/citation-style-language/schema/raw/master/csl-citation.json" }</w:instrText>
      </w:r>
      <w:r w:rsidR="008F3CA8" w:rsidRPr="00F40FC9">
        <w:rPr>
          <w:rFonts w:asciiTheme="majorBidi" w:hAnsiTheme="majorBidi" w:cstheme="majorBidi"/>
        </w:rPr>
        <w:fldChar w:fldCharType="separate"/>
      </w:r>
      <w:r w:rsidR="00D377E6" w:rsidRPr="00D377E6">
        <w:rPr>
          <w:rFonts w:asciiTheme="majorBidi" w:hAnsiTheme="majorBidi" w:cstheme="majorBidi"/>
          <w:noProof/>
        </w:rPr>
        <w:t>(16)</w:t>
      </w:r>
      <w:r w:rsidR="008F3CA8" w:rsidRPr="00F40FC9">
        <w:rPr>
          <w:rFonts w:asciiTheme="majorBidi" w:hAnsiTheme="majorBidi" w:cstheme="majorBidi"/>
        </w:rPr>
        <w:fldChar w:fldCharType="end"/>
      </w:r>
      <w:r>
        <w:rPr>
          <w:rFonts w:asciiTheme="majorBidi" w:hAnsiTheme="majorBidi" w:cstheme="majorBidi"/>
        </w:rPr>
        <w:t xml:space="preserve"> and </w:t>
      </w:r>
      <w:proofErr w:type="spellStart"/>
      <w:r>
        <w:rPr>
          <w:rFonts w:asciiTheme="majorBidi" w:hAnsiTheme="majorBidi" w:cstheme="majorBidi"/>
        </w:rPr>
        <w:t>selenoprotein</w:t>
      </w:r>
      <w:proofErr w:type="spellEnd"/>
      <w:r w:rsidR="009459E8">
        <w:rPr>
          <w:rFonts w:asciiTheme="majorBidi" w:hAnsiTheme="majorBidi" w:cstheme="majorBidi"/>
        </w:rPr>
        <w:t xml:space="preserve"> </w:t>
      </w:r>
      <w:r>
        <w:rPr>
          <w:rFonts w:asciiTheme="majorBidi" w:hAnsiTheme="majorBidi" w:cstheme="majorBidi"/>
        </w:rPr>
        <w:t xml:space="preserve">P (SeP; </w:t>
      </w:r>
      <w:r w:rsidR="008F3CA8" w:rsidRPr="00F40FC9">
        <w:rPr>
          <w:rFonts w:asciiTheme="majorBidi" w:hAnsiTheme="majorBidi" w:cstheme="majorBidi"/>
        </w:rPr>
        <w:fldChar w:fldCharType="begin" w:fldLock="1"/>
      </w:r>
      <w:r w:rsidR="00537C65">
        <w:rPr>
          <w:rFonts w:asciiTheme="majorBidi" w:hAnsiTheme="majorBidi" w:cstheme="majorBidi"/>
        </w:rPr>
        <w:instrText>ADDIN CSL_CITATION { "citationItems" : [ { "id" : "ITEM-1", "itemData" : { "DOI" : "10.1074/jbc.M113.479386", "ISBN" : "1083-351X (Electronic)\\r0021-9258 (Linking)", "ISSN" : "0021-9258", "PMID" : "24257750", "abstract" : "Selenoprotein P (SeP; encoded by SEPP1 in humans) is a liver-derived secretory protein that induces insulin resistance in type 2 diabetes. Suppression of SeP might provide a novel therapeutic approach to treating type 2 diabetes, but few drugs that inhibit SEPP1 expression in hepatocytes have been identified to date. The present findings demonstrate that metformin suppresses SEPP1 expression by activating AMP-activated kinase (AMPK) and subsequently inactivating FoxO3a in H4IIEC3 hepatocytes. Treatment with metformin reduced SEPP1 promoter activity in a concentration- and time-dependent manner; this effect was cancelled by co-administration of an AMPK inhibitor. Metformin also suppressed Sepp1 gene expression in the liver of mice. Computational analysis of transcription factor binding sites conserved among the species resulted in identification of the FoxO-binding site in the metformin-response element of the SEPP1 promoter. A luciferase reporter assay showed that metformin suppresses Forkhead-response element activity, and a ChIP assay revealed that metformin decreases binding of FoxO3a, a direct target of AMPK, to the SEPP1 promoter. Transfection with siRNAs for Foxo3a, but not for Foxo1, cancelled metformin-induced luciferase activity suppression of the metformin-response element of the SEPP1 promoter. The overexpression of FoxO3a stimulated SEPP1 promoter activity and rescued the suppressive effect of metformin. Metformin did not affect FoxO3a expression, but it increased its phosphorylation and decreased its nuclear localization. These data provide a novel mechanism of action for metformin involving improvement of systemic insulin sensitivity through the regulation of SeP production and suggest an additional approach to the development of anti-diabetic drugs.", "author" : [ { "dropping-particle" : "", "family" : "Takayama", "given" : "Hiroaki", "non-dropping-particle" : "", "parse-names" : false, "suffix" : "" }, { "dropping-particle" : "", "family" : "Misu", "given" : "Hirofumi", "non-dropping-particle" : "", "parse-names" : false, "suffix" : "" }, { "dropping-particle" : "", "family" : "Iwama", "given" : "Hisakazu", "non-dropping-particle" : "", "parse-names" : false, "suffix" : "" }, { "dropping-particle" : "", "family" : "Chikamoto", "given" : "Keita", "non-dropping-particle" : "", "parse-names" : false, "suffix" : "" }, { "dropping-particle" : "", "family" : "Saito", "given" : "Yoshiro", "non-dropping-particle" : "", "parse-names" : false, "suffix" : "" }, { "dropping-particle" : "", "family" : "Murao", "given" : "Koji", "non-dropping-particle" : "", "parse-names" : false, "suffix" : "" }, { "dropping-particle" : "", "family" : "Teraguchi", "given" : "Atsushi", "non-dropping-particle" : "", "parse-names" : false, "suffix" : "" }, { "dropping-particle" : "", "family" : "Lan", "given" : "Fei", "non-dropping-particle" : "", "parse-names" : false, "suffix" : "" }, { "dropping-particle" : "", "family" : "Kikuchi", "given" : "Akihiro", "non-dropping-particle" : "", "parse-names" : false, "suffix" : "" }, { "dropping-particle" : "", "family" : "Saito", "given" : "Reina", "non-dropping-particle" : "", "parse-names" : false, "suffix" : "" }, { "dropping-particle" : "", "family" : "Tajima", "given" : "Natsumi", "non-dropping-particle" : "", "parse-names" : false, "suffix" : "" }, { "dropping-particle" : "", "family" : "Shirasaki", "given" : "Takayoshi", "non-dropping-particle" : "", "parse-names" : false, "suffix" : "" }, { "dropping-particle" : "", "family" : "Matsugo", "given" : "Seiichi", "non-dropping-particle" : "", "parse-names" : false, "suffix" : "" }, { "dropping-particle" : "", "family" : "Miyamoto", "given" : "Ken-ichi", "non-dropping-particle" : "", "parse-names" : false, "suffix" : "" }, { "dropping-particle" : "", "family" : "Kaneko", "given" : "Shuichi", "non-dropping-particle" : "", "parse-names" : false, "suffix" : "" }, { "dropping-particle" : "", "family" : "Takamura", "given" : "Toshinari", "non-dropping-particle" : "", "parse-names" : false, "suffix" : "" } ], "container-title" : "Journal of Biological Chemistry", "id" : "ITEM-1", "issue" : "1", "issued" : { "date-parts" : [ [ "2014", "1", "3" ] ] }, "page" : "335-345", "title" : "Metformin Suppresses Expression of the Selenoprotein P Gene via an AMP-activated Kinase (AMPK)/FoxO3a Pathway in H4IIEC3 Hepatocytes", "type" : "article-journal", "volume" : "289" }, "uris" : [ "http://www.mendeley.com/documents/?uuid=55538587-ffca-40ca-8a65-0e390a8a94f3" ] } ], "mendeley" : { "formattedCitation" : "(17)", "manualFormatting" : "17)", "plainTextFormattedCitation" : "(17)", "previouslyFormattedCitation" : "(17)" }, "properties" : { "noteIndex" : 6 }, "schema" : "https://github.com/citation-style-language/schema/raw/master/csl-citation.json" }</w:instrText>
      </w:r>
      <w:r w:rsidR="008F3CA8" w:rsidRPr="00F40FC9">
        <w:rPr>
          <w:rFonts w:asciiTheme="majorBidi" w:hAnsiTheme="majorBidi" w:cstheme="majorBidi"/>
        </w:rPr>
        <w:fldChar w:fldCharType="separate"/>
      </w:r>
      <w:r w:rsidR="00D377E6" w:rsidRPr="00D377E6">
        <w:rPr>
          <w:rFonts w:asciiTheme="majorBidi" w:hAnsiTheme="majorBidi" w:cstheme="majorBidi"/>
          <w:noProof/>
        </w:rPr>
        <w:t>17)</w:t>
      </w:r>
      <w:r w:rsidR="008F3CA8" w:rsidRPr="00F40FC9">
        <w:rPr>
          <w:rFonts w:asciiTheme="majorBidi" w:hAnsiTheme="majorBidi" w:cstheme="majorBidi"/>
        </w:rPr>
        <w:fldChar w:fldCharType="end"/>
      </w:r>
      <w:r>
        <w:rPr>
          <w:rFonts w:asciiTheme="majorBidi" w:hAnsiTheme="majorBidi" w:cstheme="majorBidi"/>
        </w:rPr>
        <w:t xml:space="preserve">; and may link positive energy balance to peripheral metabolic dysfunction </w:t>
      </w:r>
      <w:r w:rsidR="008F3CA8"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"10.1111/cts.12469", "ISSN" : "17528054", "author" : [ { "dropping-particle" : "", "family" : "Slowik", "given" : "V.", "non-dropping-particle" : "", "parse-names" : false, "suffix" : "" }, { "dropping-particle" : "", "family" : "Apte", "given" : "U.", "non-dropping-particle" : "", "parse-names" : false, "suffix" : "" } ], "container-title" : "Clinical and Translational Science", "id" : "ITEM-1", "issue" : "4", "issued" : { "date-parts" : [ [ "2017", "7" ] ] }, "page" : "249-259", "title" : "Leukocyte Cell-Derived Chemotaxin-2: It's Role in Pathophysiology and Future in Clinical Medicine", "type" : "article-journal", "volume" : "10" }, "uris" : [ "http://www.mendeley.com/documents/?uuid=ca80cb10-3a3c-4a64-b1b3-6fb4d1a534b7" ] } ], "mendeley" : { "formattedCitation" : "(18)", "plainTextFormattedCitation" : "(18)", "previouslyFormattedCitation" : "(18)" }, "properties" : { "noteIndex" : 6 }, "schema" : "https://github.com/citation-style-language/schema/raw/master/csl-citation.json" }</w:instrText>
      </w:r>
      <w:r w:rsidR="008F3CA8" w:rsidRPr="00F40FC9">
        <w:rPr>
          <w:rFonts w:asciiTheme="majorBidi" w:hAnsiTheme="majorBidi" w:cstheme="majorBidi"/>
        </w:rPr>
        <w:fldChar w:fldCharType="separate"/>
      </w:r>
      <w:r w:rsidR="00D377E6" w:rsidRPr="00D377E6">
        <w:rPr>
          <w:rFonts w:asciiTheme="majorBidi" w:hAnsiTheme="majorBidi" w:cstheme="majorBidi"/>
          <w:noProof/>
        </w:rPr>
        <w:t>(18)</w:t>
      </w:r>
      <w:r w:rsidR="008F3CA8" w:rsidRPr="00F40FC9">
        <w:rPr>
          <w:rFonts w:asciiTheme="majorBidi" w:hAnsiTheme="majorBidi" w:cstheme="majorBidi"/>
        </w:rPr>
        <w:fldChar w:fldCharType="end"/>
      </w:r>
      <w:r>
        <w:rPr>
          <w:rFonts w:asciiTheme="majorBidi" w:hAnsiTheme="majorBidi" w:cstheme="majorBidi"/>
        </w:rPr>
        <w:t xml:space="preserve">. </w:t>
      </w:r>
    </w:p>
    <w:p w14:paraId="21CE53AE" w14:textId="53ECE328" w:rsidR="0044501A" w:rsidRDefault="00927C87" w:rsidP="009D1E6D">
      <w:pPr>
        <w:tabs>
          <w:tab w:val="left" w:pos="0"/>
        </w:tabs>
        <w:spacing w:line="480" w:lineRule="auto"/>
        <w:jc w:val="both"/>
        <w:rPr>
          <w:rFonts w:asciiTheme="majorBidi" w:hAnsiTheme="majorBidi" w:cstheme="majorBidi"/>
        </w:rPr>
      </w:pPr>
      <w:r>
        <w:rPr>
          <w:rFonts w:asciiTheme="majorBidi" w:hAnsiTheme="majorBidi" w:cstheme="majorBidi"/>
        </w:rPr>
        <w:t xml:space="preserve">Fibroblast growth factor 21 (FGF21) is another hepatokine which is responsive to acute </w:t>
      </w:r>
      <w:r w:rsidRPr="000E1C62">
        <w:rPr>
          <w:rFonts w:asciiTheme="majorBidi" w:hAnsiTheme="majorBidi" w:cstheme="majorBidi"/>
        </w:rPr>
        <w:t>nutritional challenges</w:t>
      </w:r>
      <w:r w:rsidR="001606F6" w:rsidRPr="000E1C62">
        <w:rPr>
          <w:rFonts w:asciiTheme="majorBidi" w:hAnsiTheme="majorBidi" w:cstheme="majorBidi"/>
        </w:rPr>
        <w:t xml:space="preserve">, including </w:t>
      </w:r>
      <w:r w:rsidR="009B1F61" w:rsidRPr="000E1C62">
        <w:rPr>
          <w:rFonts w:asciiTheme="majorBidi" w:hAnsiTheme="majorBidi" w:cstheme="majorBidi"/>
        </w:rPr>
        <w:t>fasting, protein re</w:t>
      </w:r>
      <w:r w:rsidR="00F3447E" w:rsidRPr="000E1C62">
        <w:rPr>
          <w:rFonts w:asciiTheme="majorBidi" w:hAnsiTheme="majorBidi" w:cstheme="majorBidi"/>
        </w:rPr>
        <w:t xml:space="preserve">striction and </w:t>
      </w:r>
      <w:r w:rsidR="00C9654B" w:rsidRPr="000E1C62">
        <w:rPr>
          <w:rFonts w:asciiTheme="majorBidi" w:hAnsiTheme="majorBidi" w:cstheme="majorBidi"/>
        </w:rPr>
        <w:t xml:space="preserve">chronic </w:t>
      </w:r>
      <w:r w:rsidR="00F3447E" w:rsidRPr="000E1C62">
        <w:rPr>
          <w:rFonts w:asciiTheme="majorBidi" w:hAnsiTheme="majorBidi" w:cstheme="majorBidi"/>
        </w:rPr>
        <w:t xml:space="preserve">overfeeding </w:t>
      </w:r>
      <w:r w:rsidR="008F3CA8" w:rsidRPr="000E1C62">
        <w:rPr>
          <w:rFonts w:asciiTheme="majorBidi" w:hAnsiTheme="majorBidi" w:cstheme="majorBidi"/>
        </w:rPr>
        <w:fldChar w:fldCharType="begin" w:fldLock="1"/>
      </w:r>
      <w:r w:rsidR="004E386F" w:rsidRPr="000E1C62">
        <w:rPr>
          <w:rFonts w:asciiTheme="majorBidi" w:hAnsiTheme="majorBidi" w:cstheme="majorBidi"/>
        </w:rPr>
        <w:instrText>ADDIN CSL_CITATION { "citationItems" : [ { "id" : "ITEM-1", "itemData" : { "DOI" : "10.1016/j.cmet.2007.05.003", "ISSN" : "15504131", "author" : [ { "dropping-particle" : "", "family" : "Inagaki", "given" : "Takeshi", "non-dropping-particle" : "", "parse-names" : false, "suffix" : "" }, { "dropping-particle" : "", "family" : "Dutchak", "given" : "Paul", "non-dropping-particle" : "", "parse-names" : false, "suffix" : "" }, { "dropping-particle" : "", "family" : "Zhao", "given" : "Guixiang", "non-dropping-particle" : "", "parse-names" : false, "suffix" : "" }, { "dropping-particle" : "", "family" : "Ding", "given" : "Xunshan", "non-dropping-particle" : "", "parse-names" : false, "suffix" : "" }, { "dropping-particle" : "", "family" : "Gautron", "given" : "Laurent", "non-dropping-particle" : "", "parse-names" : false, "suffix" : "" }, { "dropping-particle" : "", "family" : "Parameswara", "given" : "Vinay", "non-dropping-particle" : "", "parse-names" : false, "suffix" : "" }, { "dropping-particle" : "", "family" : "Li", "given" : "Yong", "non-dropping-particle" : "", "parse-names" : false, "suffix" : "" }, { "dropping-particle" : "", "family" : "Goetz", "given" : "Regina", "non-dropping-particle" : "", "parse-names" : false, "suffix" : "" }, { "dropping-particle" : "", "family" : "Mohammadi", "given" : "Moosa", "non-dropping-particle" : "", "parse-names" : false, "suffix" : "" }, { "dropping-particle" : "", "family" : "Esser", "given" : "Victoria", "non-dropping-particle" : "", "parse-names" : false, "suffix" : "" }, { "dropping-particle" : "", "family" : "Elmquist", "given" : "Joel K.", "non-dropping-particle" : "", "parse-names" : false, "suffix" : "" }, { "dropping-particle" : "", "family" : "Gerard", "given" : "Robert D.", "non-dropping-particle" : "", "parse-names" : false, "suffix" : "" }, { "dropping-particle" : "", "family" : "Burgess", "given" : "Shawn C.", "non-dropping-particle" : "", "parse-names" : false, "suffix" : "" }, { "dropping-particle" : "", "family" : "Hammer", "given" : "Robert E.", "non-dropping-particle" : "", "parse-names" : false, "suffix" : "" }, { "dropping-particle" : "", "family" : "Mangelsdorf", "given" : "David J.", "non-dropping-particle" : "", "parse-names" : false, "suffix" : "" }, { "dropping-particle" : "", "family" : "Kliewer", "given" : "Steven A.", "non-dropping-particle" : "", "parse-names" : false, "suffix" : "" } ], "container-title" : "Cell Metabolism", "id" : "ITEM-1", "issue" : "6", "issued" : { "date-parts" : [ [ "2007", "6" ] ] }, "page" : "415-425", "title" : "Endocrine Regulation of the Fasting Response by PPAR\u03b1-Mediated Induction of Fibroblast Growth Factor 21", "type" : "article-journal", "volume" : "5" }, "uris" : [ "http://www.mendeley.com/documents/?uuid=e19eb2c8-372a-453a-8a5a-f549993929e8" ] }, { "id" : "ITEM-2", "itemData" : { "DOI" : "10.1172/JCI74915", "ISSN" : "0021-9738", "author" : [ { "dropping-particle" : "", "family" : "Laeger", "given" : "Thomas", "non-dropping-particle" : "", "parse-names" : false, "suffix" : "" }, { "dropping-particle" : "", "family" : "Henagan", "given" : "Tara M.", "non-dropping-particle" : "", "parse-names" : false, "suffix" : "" }, { "dropping-particle" : "", "family" : "Albarado", "given" : "Diana C.", "non-dropping-particle" : "", "parse-names" : false, "suffix" : "" }, { "dropping-particle" : "", "family" : "Redman", "given" : "Leanne M.", "non-dropping-particle" : "", "parse-names" : false, "suffix" : "" }, { "dropping-particle" : "", "family" : "Bray", "given" : "George A.", "non-dropping-particle" : "", "parse-names" : false, "suffix" : "" }, { "dropping-particle" : "", "family" : "Noland", "given" : "Robert C.", "non-dropping-particle" : "", "parse-names" : false, "suffix" : "" }, { "dropping-particle" : "", "family" : "M\u00fcnzberg", "given" : "Heike", "non-dropping-particle" : "", "parse-names" : false, "suffix" : "" }, { "dropping-particle" : "", "family" : "Hutson", "given" : "Susan M.", "non-dropping-particle" : "", "parse-names" : false, "suffix" : "" }, { "dropping-particle" : "", "family" : "Gettys", "given" : "Thomas W.", "non-dropping-particle" : "", "parse-names" : false, "suffix" : "" }, { "dropping-particle" : "", "family" : "Schwartz", "given" : "Michael W.", "non-dropping-particle" : "", "parse-names" : false, "suffix" : "" }, { "dropping-particle" : "", "family" : "Morrison", "given" : "Christopher D.", "non-dropping-particle" : "", "parse-names" : false, "suffix" : "" } ], "container-title" : "Journal of Clinical Investigation", "id" : "ITEM-2", "issue" : "9", "issued" : { "date-parts" : [ [ "2014", "9", "2" ] ] }, "page" : "3913-3922", "title" : "FGF21 is an endocrine signal of protein restriction", "type" : "article-journal", "volume" : "124" }, "uris" : [ "http://www.mendeley.com/documents/?uuid=17c80b57-d35b-445a-9ff8-18e400deefac" ] }, { "id" : "ITEM-3", "itemData" : { "DOI" : "10.2337/db14-0595", "ISBN" : "3193844438", "ISSN" : "0012-1797", "PMID" : "25008183", "abstract" : "Fibroblast growth factor (FGF)21 is an endocrine hormone that is expressed in multiple tissues and functions physiologically to maintain energy homeostasis. FGF21 is being pursued as a therapeutic target for diabetes and obesity because of its rapid and potent effects on improving insulin sensitivity. However, whether FGF21 enhances insulin sensitivity under physiologic conditions remains unclear. Here, we show that liver-derived FGF21 enters the circulation during fasting but also remains present and functional during the early stage of refeeding. After a prolonged fast, FGF21 acts as an insulin sensitizer to overcome the peripheral insulin resistance induced by fasting, thereby maximizing glucose uptake. Likewise, FGF21 is produced from the liver during overfeeding and mitigates peripheral insulin resistance. DIO FGF21 liver-specific knockout, but not FGF21 adipose-specific knockout, mice have increased insulin resistance and decreased brown adipose tissue-mediated glucose disposal. These data are compatible with the concept that FGF21 functions physiologically as an insulin sensitizer under conditions of acute refeeding and overfeeding.", "author" : [ { "dropping-particle" : "", "family" : "Markan", "given" : "Kathleen R.", "non-dropping-particle" : "", "parse-names" : false, "suffix" : "" }, { "dropping-particle" : "", "family" : "Naber", "given" : "Meghan C.", "non-dropping-particle" : "", "parse-names" : false, "suffix" : "" }, { "dropping-particle" : "", "family" : "Ameka", "given" : "Magdalene K.", "non-dropping-particle" : "", "parse-names" : false, "suffix" : "" }, { "dropping-particle" : "", "family" : "Anderegg", "given" : "Maxwell D.", "non-dropping-particle" : "", "parse-names" : false, "suffix" : "" }, { "dropping-particle" : "", "family" : "Mangelsdorf", "given" : "David J.", "non-dropping-particle" : "", "parse-names" : false, "suffix" : "" }, { "dropping-particle" : "", "family" : "Kliewer", "given" : "Steven A.", "non-dropping-particle" : "", "parse-names" : false, "suffix" : "" }, { "dropping-particle" : "", "family" : "Mohammadi", "given" : "Moosa", "non-dropping-particle" : "", "parse-names" : false, "suffix" : "" }, { "dropping-particle" : "", "family" : "Potthoff", "given" : "Matthew J.", "non-dropping-particle" : "", "parse-names" : false, "suffix" : "" } ], "container-title" : "Diabetes", "id" : "ITEM-3", "issue" : "12", "issued" : { "date-parts" : [ [ "2014", "12", "1" ] ] }, "page" : "4057-4063", "title" : "Circulating FGF21 Is Liver Derived and Enhances Glucose Uptake During Refeeding and Overfeeding", "type" : "article-journal", "volume" : "63" }, "uris" : [ "http://www.mendeley.com/documents/?uuid=033bd30a-aee4-4808-853a-980c06f4ee24" ] } ], "mendeley" : { "formattedCitation" : "(19\u201321)", "plainTextFormattedCitation" : "(19\u201321)", "previouslyFormattedCitation" : "(19\u201321)" }, "properties" : { "noteIndex" : 6 }, "schema" : "https://github.com/citation-style-language/schema/raw/master/csl-citation.json" }</w:instrText>
      </w:r>
      <w:r w:rsidR="008F3CA8" w:rsidRPr="000E1C62">
        <w:rPr>
          <w:rFonts w:asciiTheme="majorBidi" w:hAnsiTheme="majorBidi" w:cstheme="majorBidi"/>
        </w:rPr>
        <w:fldChar w:fldCharType="separate"/>
      </w:r>
      <w:r w:rsidR="00D377E6" w:rsidRPr="000E1C62">
        <w:rPr>
          <w:rFonts w:asciiTheme="majorBidi" w:hAnsiTheme="majorBidi" w:cstheme="majorBidi"/>
          <w:noProof/>
        </w:rPr>
        <w:t>(19–21)</w:t>
      </w:r>
      <w:r w:rsidR="008F3CA8" w:rsidRPr="000E1C62">
        <w:rPr>
          <w:rFonts w:asciiTheme="majorBidi" w:hAnsiTheme="majorBidi" w:cstheme="majorBidi"/>
        </w:rPr>
        <w:fldChar w:fldCharType="end"/>
      </w:r>
      <w:r w:rsidR="00FE0071" w:rsidRPr="000E1C62">
        <w:rPr>
          <w:rFonts w:asciiTheme="majorBidi" w:hAnsiTheme="majorBidi" w:cstheme="majorBidi"/>
        </w:rPr>
        <w:t xml:space="preserve">. Notably, </w:t>
      </w:r>
      <w:r w:rsidR="002A0622" w:rsidRPr="000E1C62">
        <w:rPr>
          <w:rFonts w:asciiTheme="majorBidi" w:hAnsiTheme="majorBidi" w:cstheme="majorBidi"/>
        </w:rPr>
        <w:t xml:space="preserve">FGF21 has been </w:t>
      </w:r>
      <w:r w:rsidR="00663574" w:rsidRPr="000E1C62">
        <w:rPr>
          <w:rFonts w:asciiTheme="majorBidi" w:hAnsiTheme="majorBidi" w:cstheme="majorBidi"/>
        </w:rPr>
        <w:t>shown to modulate glucose and lipid metabolism; by increasing glucose uptake into adipose tissue and enhancing hepatic fatty acid oxidation</w:t>
      </w:r>
      <w:r w:rsidR="006F7795" w:rsidRPr="000E1C62">
        <w:rPr>
          <w:rFonts w:asciiTheme="majorBidi" w:hAnsiTheme="majorBidi" w:cstheme="majorBidi"/>
        </w:rPr>
        <w:t xml:space="preserve"> </w:t>
      </w:r>
      <w:r w:rsidR="008F3CA8" w:rsidRPr="000E1C62">
        <w:rPr>
          <w:rFonts w:asciiTheme="majorBidi" w:hAnsiTheme="majorBidi" w:cstheme="majorBidi"/>
        </w:rPr>
        <w:fldChar w:fldCharType="begin" w:fldLock="1"/>
      </w:r>
      <w:r w:rsidR="004E386F" w:rsidRPr="000E1C62">
        <w:rPr>
          <w:rFonts w:asciiTheme="majorBidi" w:hAnsiTheme="majorBidi" w:cstheme="majorBidi"/>
        </w:rPr>
        <w:instrText>ADDIN CSL_CITATION { "citationItems" : [ { "id" : "ITEM-1", "itemData" : { "DOI" : "10.1146/annurev-physiol-021115-105339", "ISSN" : "0066-4278", "PMID" : "26654352", "abstract" : "Fibroblast growth factor 21 (FGF21) is a peptide hormone that is synthesized by several organs and regulates energy homeostasis. Excitement surrounding this relatively recently identified hormone is based on the documented metabolic beneficial effects of FGF21, which include weight loss and improved glycemia. The biology of FGF21 is intrinsically complicated owing to its diverse metabolic functions in multiple target organs and its ability to act as an autocrine, paracrine, and endocrine factor. In the liver, FGF21 plays an important role in the regulation of fatty acid oxidation both in the fasted state and in mice consuming a high-fat, low-carbohydrate ketogenic diet. FGF21 also regulates fatty acid metabolism in mice consuming a diet that promotes hepatic lipotoxicity. In white adipose tissue (WAT), FGF21 regulates aspects of glucose metabolism, and in susceptible WAT depots, it can cause browning. This peptide is highly expressed in the pancreas, where it appears to play an anti-inflammatory role in experimental pancreatitis. It also has an anti-inflammatory role in cardiac muscle. Although typically not expressed in skeletal muscle, FGF21 is induced in situations of muscle stress, particularly mitochondrial myopathies. FGF21 has been proposed as a novel therapeutic for metabolic complications such as diabetes and fatty liver disease. This review aims to interpret and delineate the ever-expanding complexity of FGF21 physiology. Expected final online publication date for the Annual Review of Physiology Volume 78 is February 10, 2016. Please see http://www.annualreviews.org/catalog/pubdates.aspx for revised estimates.", "author" : [ { "dropping-particle" : "", "family" : "Fisher", "given" : "Ffolliott Martin", "non-dropping-particle" : "", "parse-names" : false, "suffix" : "" }, { "dropping-particle" : "", "family" : "Maratos-Flier", "given" : "Eleftheria", "non-dropping-particle" : "", "parse-names" : false, "suffix" : "" } ], "container-title" : "Annual Review of Physiology", "id" : "ITEM-1", "issue" : "1", "issued" : { "date-parts" : [ [ "2016", "2", "10" ] ] }, "page" : "223-241", "title" : "Understanding the Physiology of FGF21", "type" : "article-journal", "volume" : "78" }, "uris" : [ "http://www.mendeley.com/documents/?uuid=ab66b4a2-ac2c-4304-9620-40a027f04e2e" ] }, { "id" : "ITEM-2", "itemData" : { "DOI" : "10.1146/annurev-nutr-071816", "ISSN" : "0199-9885", "PMID" : "29727594", "abstract" : "Fibroblast growth factor 21 (FGF21) is an endocrine hormone derived from the liver that exerts pleiotropic effects on the body to maintain overall metabolic homeostasis. During the past decade, there has been an enormous effort made to understand the physiological roles of FGF21 in regulating metabolism and to identify the mechanism for its potent pharmacological effects to reverse diabetes and obesity. Through both human and rodent studies, it is now evident that FGF21 levels are dynamically regulated by nutrient sensing, and consequently FGF21 functions as a critical regulator of nutrient homeostasis. In addition, recent studies using new genetic and molecular tools have provided critical insight into the actions of this en-docrine factor. This review examines the numerous functions of FGF21 and highlights the therapeutic potential of FGF21-targeted pathways for treating metabolic disease.", "author" : [ { "dropping-particle" : "", "family" : "Bondurant", "given" : "Lucas D", "non-dropping-particle" : "", "parse-names" : false, "suffix" : "" }, { "dropping-particle" : "", "family" : "Potthoff", "given" : "Matthew J", "non-dropping-particle" : "", "parse-names" : false, "suffix" : "" } ], "id" : "ITEM-2", "issue" : "April", "issued" : { "date-parts" : [ [ "2018" ] ] }, "page" : "1-24", "title" : "Fibroblast Growth Factor 21: A Versatile Regulator of Metabolic Homeostasis", "type" : "article-journal" }, "uris" : [ "http://www.mendeley.com/documents/?uuid=12cbe281-5499-4b47-aa55-c543ba2938a7" ] } ], "mendeley" : { "formattedCitation" : "(22,23)", "plainTextFormattedCitation" : "(22,23)", "previouslyFormattedCitation" : "(22,23)" }, "properties" : { "noteIndex" : 6 }, "schema" : "https://github.com/citation-style-language/schema/raw/master/csl-citation.json" }</w:instrText>
      </w:r>
      <w:r w:rsidR="008F3CA8" w:rsidRPr="000E1C62">
        <w:rPr>
          <w:rFonts w:asciiTheme="majorBidi" w:hAnsiTheme="majorBidi" w:cstheme="majorBidi"/>
        </w:rPr>
        <w:fldChar w:fldCharType="separate"/>
      </w:r>
      <w:r w:rsidR="00D377E6" w:rsidRPr="000E1C62">
        <w:rPr>
          <w:rFonts w:asciiTheme="majorBidi" w:hAnsiTheme="majorBidi" w:cstheme="majorBidi"/>
          <w:noProof/>
        </w:rPr>
        <w:t>(22,23)</w:t>
      </w:r>
      <w:r w:rsidR="008F3CA8" w:rsidRPr="000E1C62">
        <w:rPr>
          <w:rFonts w:asciiTheme="majorBidi" w:hAnsiTheme="majorBidi" w:cstheme="majorBidi"/>
        </w:rPr>
        <w:fldChar w:fldCharType="end"/>
      </w:r>
      <w:r w:rsidR="006F7795" w:rsidRPr="000E1C62">
        <w:rPr>
          <w:rFonts w:asciiTheme="majorBidi" w:hAnsiTheme="majorBidi" w:cstheme="majorBidi"/>
        </w:rPr>
        <w:t>. More recently, FGF21 has been identified</w:t>
      </w:r>
      <w:r w:rsidR="006F7795">
        <w:rPr>
          <w:rFonts w:asciiTheme="majorBidi" w:hAnsiTheme="majorBidi" w:cstheme="majorBidi"/>
        </w:rPr>
        <w:t xml:space="preserve"> to play a key role </w:t>
      </w:r>
      <w:r w:rsidR="00174ACA">
        <w:rPr>
          <w:rFonts w:asciiTheme="majorBidi" w:hAnsiTheme="majorBidi" w:cstheme="majorBidi"/>
        </w:rPr>
        <w:t>in the</w:t>
      </w:r>
      <w:r w:rsidR="005D06D7">
        <w:rPr>
          <w:rFonts w:asciiTheme="majorBidi" w:hAnsiTheme="majorBidi" w:cstheme="majorBidi"/>
        </w:rPr>
        <w:t xml:space="preserve"> </w:t>
      </w:r>
      <w:r w:rsidR="00174ACA">
        <w:rPr>
          <w:rFonts w:asciiTheme="majorBidi" w:hAnsiTheme="majorBidi" w:cstheme="majorBidi"/>
        </w:rPr>
        <w:t xml:space="preserve">integrated stress response </w:t>
      </w:r>
      <w:r w:rsidR="00762DC1">
        <w:rPr>
          <w:rFonts w:asciiTheme="majorBidi" w:hAnsiTheme="majorBidi" w:cstheme="majorBidi"/>
        </w:rPr>
        <w:t>to nutritional and cellular stresses</w:t>
      </w:r>
      <w:r w:rsidR="005C42C8">
        <w:rPr>
          <w:rFonts w:asciiTheme="majorBidi" w:hAnsiTheme="majorBidi" w:cstheme="majorBidi"/>
        </w:rPr>
        <w:t xml:space="preserve"> </w:t>
      </w:r>
      <w:r w:rsidR="000C5F26"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"10.1016/j.cellsig.2017.08.009", "ISSN" : "08986568", "PMID" : "28844867", "abstract" : "FGF21 is a multifunctional metabolic and stress hormone which is normally expressed in liver but cellular stress, e.g. mitochondrial or endoplasmic reticulum (ER) stress, can induce its expression and subsequent secretion from several mammalian tissues. The stress kinases of the integrated stress response (ISR) pathway stimulate the expression of FGF21 through the activation of ATF4 transcription factor, thus enhancing cellular stress resistance. The metabolic and stress-inducible transactivation mechanisms of FGF21 gene are mostly mediated through separate pathways. FGF21 is an interorgan regulator which can alleviate many age-related metabolic and stress disorders, e.g. through the activation of AMPK signaling. FGF21 signaling is also involved in circadian and torpor regulation. Given that circulating FGF21 can attenuate organelle stress, e.g. mitochondrial and ER stresses, it resembles a stress-induced cell non-autonomous regulation of proteostasis and longevity present in model organisms. The overexpression of FGF21 can even extend the lifespan of mice, probably by improving the healthspan. We will clarify the positive and negative signaling mechanisms which control the stress-related expression of FGF21 through the ISR pathway. Moreover, we will examine the role of FGF21 as an interorgan coordinator of survival functions in metabolic and stress disorders. We conclude that FGF21 can be viewed as a cell non-autonomous enhancer of longevity in mammals.", "author" : [ { "dropping-particle" : "", "family" : "Salminen", "given" : "Antero", "non-dropping-particle" : "", "parse-names" : false, "suffix" : "" }, { "dropping-particle" : "", "family" : "Kaarniranta", "given" : "Kai", "non-dropping-particle" : "", "parse-names" : false, "suffix" : "" }, { "dropping-particle" : "", "family" : "Kauppinen", "given" : "Anu", "non-dropping-particle" : "", "parse-names" : false, "suffix" : "" } ], "container-title" : "Cellular Signalling", "id" : "ITEM-1", "issue" : "May", "issued" : { "date-parts" : [ [ "2017", "12" ] ] }, "page" : "10-21", "publisher" : "Elsevier", "title" : "Integrated stress response stimulates FGF21 expression: Systemic enhancer of longevity", "type" : "article-journal", "volume" : "40" }, "uris" : [ "http://www.mendeley.com/documents/?uuid=80833750-e191-49c1-a1b6-d5becfd951a4" ] } ], "mendeley" : { "formattedCitation" : "(24)", "plainTextFormattedCitation" : "(24)", "previouslyFormattedCitation" : "(24)" }, "properties" : { "noteIndex" : 6 }, "schema" : "https://github.com/citation-style-language/schema/raw/master/csl-citation.json" }</w:instrText>
      </w:r>
      <w:r w:rsidR="000C5F26" w:rsidRPr="00F40FC9">
        <w:rPr>
          <w:rFonts w:asciiTheme="majorBidi" w:hAnsiTheme="majorBidi" w:cstheme="majorBidi"/>
        </w:rPr>
        <w:fldChar w:fldCharType="separate"/>
      </w:r>
      <w:r w:rsidR="00D377E6" w:rsidRPr="00D377E6">
        <w:rPr>
          <w:rFonts w:asciiTheme="majorBidi" w:hAnsiTheme="majorBidi" w:cstheme="majorBidi"/>
          <w:noProof/>
        </w:rPr>
        <w:t>(24)</w:t>
      </w:r>
      <w:r w:rsidR="000C5F26" w:rsidRPr="00F40FC9">
        <w:rPr>
          <w:rFonts w:asciiTheme="majorBidi" w:hAnsiTheme="majorBidi" w:cstheme="majorBidi"/>
        </w:rPr>
        <w:fldChar w:fldCharType="end"/>
      </w:r>
      <w:r w:rsidR="002B6B30">
        <w:rPr>
          <w:rFonts w:asciiTheme="majorBidi" w:hAnsiTheme="majorBidi" w:cstheme="majorBidi"/>
        </w:rPr>
        <w:t>;</w:t>
      </w:r>
      <w:r w:rsidR="00762DC1">
        <w:rPr>
          <w:rFonts w:asciiTheme="majorBidi" w:hAnsiTheme="majorBidi" w:cstheme="majorBidi"/>
        </w:rPr>
        <w:t xml:space="preserve"> </w:t>
      </w:r>
      <w:r w:rsidR="00041F86">
        <w:rPr>
          <w:rFonts w:asciiTheme="majorBidi" w:hAnsiTheme="majorBidi" w:cstheme="majorBidi"/>
        </w:rPr>
        <w:t xml:space="preserve">potentially </w:t>
      </w:r>
      <w:r w:rsidR="007233B9">
        <w:rPr>
          <w:rFonts w:asciiTheme="majorBidi" w:hAnsiTheme="majorBidi" w:cstheme="majorBidi"/>
        </w:rPr>
        <w:t>serving</w:t>
      </w:r>
      <w:r w:rsidR="00041F86">
        <w:rPr>
          <w:rFonts w:asciiTheme="majorBidi" w:hAnsiTheme="majorBidi" w:cstheme="majorBidi"/>
        </w:rPr>
        <w:t xml:space="preserve"> as a compensatory </w:t>
      </w:r>
      <w:r w:rsidR="002B6B30">
        <w:rPr>
          <w:rFonts w:asciiTheme="majorBidi" w:hAnsiTheme="majorBidi" w:cstheme="majorBidi"/>
        </w:rPr>
        <w:t xml:space="preserve">mechanism to </w:t>
      </w:r>
      <w:r w:rsidR="00BA4DD1">
        <w:rPr>
          <w:rFonts w:asciiTheme="majorBidi" w:hAnsiTheme="majorBidi" w:cstheme="majorBidi"/>
        </w:rPr>
        <w:t>combat</w:t>
      </w:r>
      <w:r w:rsidR="002B6B30">
        <w:rPr>
          <w:rFonts w:asciiTheme="majorBidi" w:hAnsiTheme="majorBidi" w:cstheme="majorBidi"/>
        </w:rPr>
        <w:t xml:space="preserve"> </w:t>
      </w:r>
      <w:r w:rsidR="005C42C8">
        <w:rPr>
          <w:rFonts w:asciiTheme="majorBidi" w:hAnsiTheme="majorBidi" w:cstheme="majorBidi"/>
        </w:rPr>
        <w:t xml:space="preserve">hepatic </w:t>
      </w:r>
      <w:r w:rsidR="002B6B30">
        <w:rPr>
          <w:rFonts w:asciiTheme="majorBidi" w:hAnsiTheme="majorBidi" w:cstheme="majorBidi"/>
        </w:rPr>
        <w:t>lipotoxicity and preserve metabolic homeostasis</w:t>
      </w:r>
      <w:r w:rsidR="005C42C8">
        <w:rPr>
          <w:rFonts w:asciiTheme="majorBidi" w:hAnsiTheme="majorBidi" w:cstheme="majorBidi"/>
        </w:rPr>
        <w:t xml:space="preserve"> </w:t>
      </w:r>
      <w:r w:rsidR="000C5F26" w:rsidRPr="00F40FC9">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"10.2337/db14-0595", "ISBN" : "3193844438", "ISSN" : "0012-1797", "PMID" : "25008183", "abstract" : "Fibroblast growth factor (FGF)21 is an endocrine hormone that is expressed in multiple tissues and functions physiologically to maintain energy homeostasis. FGF21 is being pursued as a therapeutic target for diabetes and obesity because of its rapid and potent effects on improving insulin sensitivity. However, whether FGF21 enhances insulin sensitivity under physiologic conditions remains unclear. Here, we show that liver-derived FGF21 enters the circulation during fasting but also remains present and functional during the early stage of refeeding. After a prolonged fast, FGF21 acts as an insulin sensitizer to overcome the peripheral insulin resistance induced by fasting, thereby maximizing glucose uptake. Likewise, FGF21 is produced from the liver during overfeeding and mitigates peripheral insulin resistance. DIO FGF21 liver-specific knockout, but not FGF21 adipose-specific knockout, mice have increased insulin resistance and decreased brown adipose tissue-mediated glucose disposal. These data are compatible with the concept that FGF21 functions physiologically as an insulin sensitizer under conditions of acute refeeding and overfeeding.", "author" : [ { "dropping-particle" : "", "family" : "Markan", "given" : "Kathleen R.", "non-dropping-particle" : "", "parse-names" : false, "suffix" : "" }, { "dropping-particle" : "", "family" : "Naber", "given" : "Meghan C.", "non-dropping-particle" : "", "parse-names" : false, "suffix" : "" }, { "dropping-particle" : "", "family" : "Ameka", "given" : "Magdalene K.", "non-dropping-particle" : "", "parse-names" : false, "suffix" : "" }, { "dropping-particle" : "", "family" : "Anderegg", "given" : "Maxwell D.", "non-dropping-particle" : "", "parse-names" : false, "suffix" : "" }, { "dropping-particle" : "", "family" : "Mangelsdorf", "given" : "David J.", "non-dropping-particle" : "", "parse-names" : false, "suffix" : "" }, { "dropping-particle" : "", "family" : "Kliewer", "given" : "Steven A.", "non-dropping-particle" : "", "parse-names" : false, "suffix" : "" }, { "dropping-particle" : "", "family" : "Mohammadi", "given" : "Moosa", "non-dropping-particle" : "", "parse-names" : false, "suffix" : "" }, { "dropping-particle" : "", "family" : "Potthoff", "given" : "Matthew J.", "non-dropping-particle" : "", "parse-names" : false, "suffix" : "" } ], "container-title" : "Diabetes", "id" : "ITEM-1", "issue" : "12", "issued" : { "date-parts" : [ [ "2014", "12", "1" ] ] }, "page" : "4057-4063", "title" : "Circulating FGF21 Is Liver Derived and Enhances Glucose Uptake During Refeeding and Overfeeding", "type" : "article-journal", "volume" : "63" }, "uris" : [ "http://www.mendeley.com/documents/?uuid=033bd30a-aee4-4808-853a-980c06f4ee24" ] }, { "id" : "ITEM-2", "itemData" : { "DOI" : "10.3177/jnsv.64.200", "ISSN" : "0301-4800", "author" : [ { "dropping-particle" : "", "family" : "MARUYAMA", "given" : "Ryuto", "non-dropping-particle" : "", "parse-names" : false, "suffix" : "" }, { "dropping-particle" : "", "family" : "SHIMIZU", "given" : "Makoto", "non-dropping-particle" : "", "parse-names" : false, "suffix" : "" }, { "dropping-particle" : "", "family" : "HASHIDUME", "given" : "Tsutomu", "non-dropping-particle" : "", "parse-names" : false, "suffix" : "" }, { "dropping-particle" : "", "family" : "INOUE", "given" : "Jun", "non-dropping-particle" : "", "parse-names" : false, "suffix" : "" }, { "dropping-particle" : "", "family" : "ITOH", "given" : "Nobuyuki", "non-dropping-particle" : "", "parse-names" : false, "suffix" : "" }, { "dropping-particle" : "", "family" : "SATO", "given" : "Ryuichiro", "non-dropping-particle" : "", "parse-names" : false, "suffix" : "" } ], "container-title" : "Journal of Nutritional Science and Vitaminology", "id" : "ITEM-2", "issue" : "3", "issued" : { "date-parts" : [ [ "2018" ] ] }, "page" : "200-208", "title" : "FGF21 Alleviates Hepatic Endoplasmic Reticulum Stress under Physiological Conditions", "type" : "article-journal", "volume" : "64" }, "uris" : [ "http://www.mendeley.com/documents/?uuid=8e815608-8e5e-45a5-bff0-91fee5f4103e" ] }, { "id" : "ITEM-3", "itemData" : { "DOI" : "10.1002/hep.30060", "ISBN" : "4993120140021", "ISSN" : "02709139", "PMID" : "29698569", "abstract" : "The integrated stress response (ISR) is a signaling system in which the phosphorylation of eukaryotic translation initiation factor 2\u03b1 (eIF2\u03b1) by stress-specific kinases and the subsequent activation of activation transcription factor (ATF) 4 help restore cellular homeostasis following exposure to environmental stresses. ISR activation has been observed in metabolic diseases including hepatic steatosis, steatohepatitis and insulin resistance, but it remains unclear whether ISR contributes to the disease pathogenesis, or represents an innate defense mechanism against metabolic stresses. Constitutive repressor of eIF2\u03b1 phosphorylation (CReP) is a critical regulatory subunit of the eIF2\u03b1 phosphatase complex. Here we show that CReP ablation causes constitutive eIF2\u03b1 phosphorylation in the liver, which leads to activation of the ATF4 transcriptional program including increased Fibroblast growth factor 21 (FGF21) production. Liver-specific CReP knockout (CRePLKO ) mice exhibited marked browning of white adipose tissue, increased energy expenditure and insulin sensitivity in a FGF21-dependent manner. Furthermore, CRePLKO mice were protected from high fat diet (HFD)-induced obesity, hepatic steatosis, and insulin resistance. Acute CReP ablation in the liver of HFD-induced obese mice also reduced adiposity and improved glucose homeostasis. CONCLUSION These data suggest that CReP abundance is a critical determinant for eIF2\u03b1 phosphorylation and ensuing ISR activation in the liver. Constitutive ISR activation in the liver induces FGF21 and confers protection from high-fat diet (HFD)-induced adiposity, insulin resistance and hepatic steatosis in mice. Augmenting hepatic ISR may represent a novel therapeutic approach to treat metabolic disorders. This article is protected by copyright. All rights reserved.", "author" : [ { "dropping-particle" : "", "family" : "Xu", "given" : "Xu", "non-dropping-particle" : "", "parse-names" : false, "suffix" : "" }, { "dropping-particle" : "", "family" : "Krumm", "given" : "Christopher", "non-dropping-particle" : "", "parse-names" : false, "suffix" : "" }, { "dropping-particle" : "", "family" : "So", "given" : "Jae-Seon", "non-dropping-particle" : "", "parse-names" : false, "suffix" : "" }, { "dropping-particle" : "", "family" : "Bare", "given" : "Curtis J.", "non-dropping-particle" : "", "parse-names" : false, "suffix" : "" }, { "dropping-particle" : "", "family" : "Holman", "given" : "Corey", "non-dropping-particle" : "", "parse-names" : false, "suffix" : "" }, { "dropping-particle" : "", "family" : "Gromada", "given" : "Jesper", "non-dropping-particle" : "", "parse-names" : false, "suffix" : "" }, { "dropping-particle" : "", "family" : "Cohen", "given" : "David E.", "non-dropping-particle" : "", "parse-names" : false, "suffix" : "" }, { "dropping-particle" : "", "family" : "Lee", "given" : "Ann-Hwee", "non-dropping-particle" : "", "parse-names" : false, "suffix" : "" } ], "container-title" : "Hepatology", "id" : "ITEM-3", "issue" : "6", "issued" : { "date-parts" : [ [ "2018", "12", "26" ] ] }, "page" : "2167-2181", "title" : "Preemptive Activation of the Integrated Stress Response Protects Mice From Diet-Induced Obesity and Insulin Resistance by Fibroblast Growth Factor 21 Induction", "type" : "article-journal", "volume" : "68" }, "uris" : [ "http://www.mendeley.com/documents/?uuid=652c71b6-7d20-4edd-9a9b-17410fec0f57" ] } ], "mendeley" : { "formattedCitation" : "(21,25,26)", "plainTextFormattedCitation" : "(21,25,26)", "previouslyFormattedCitation" : "(21,25,26)" }, "properties" : { "noteIndex" : 6 }, "schema" : "https://github.com/citation-style-language/schema/raw/master/csl-citation.json" }</w:instrText>
      </w:r>
      <w:r w:rsidR="000C5F26" w:rsidRPr="00F40FC9">
        <w:rPr>
          <w:rFonts w:asciiTheme="majorBidi" w:hAnsiTheme="majorBidi" w:cstheme="majorBidi"/>
        </w:rPr>
        <w:fldChar w:fldCharType="separate"/>
      </w:r>
      <w:r w:rsidR="00D377E6" w:rsidRPr="00D377E6">
        <w:rPr>
          <w:rFonts w:asciiTheme="majorBidi" w:hAnsiTheme="majorBidi" w:cstheme="majorBidi"/>
          <w:noProof/>
        </w:rPr>
        <w:t>(21,25,26)</w:t>
      </w:r>
      <w:r w:rsidR="000C5F26" w:rsidRPr="00F40FC9">
        <w:rPr>
          <w:rFonts w:asciiTheme="majorBidi" w:hAnsiTheme="majorBidi" w:cstheme="majorBidi"/>
        </w:rPr>
        <w:fldChar w:fldCharType="end"/>
      </w:r>
      <w:r w:rsidR="002B6B30">
        <w:rPr>
          <w:rFonts w:asciiTheme="majorBidi" w:hAnsiTheme="majorBidi" w:cstheme="majorBidi"/>
        </w:rPr>
        <w:t xml:space="preserve">. </w:t>
      </w:r>
      <w:r w:rsidR="00AE624E">
        <w:rPr>
          <w:rFonts w:asciiTheme="majorBidi" w:hAnsiTheme="majorBidi" w:cstheme="majorBidi"/>
        </w:rPr>
        <w:t xml:space="preserve">Within two pilot experiments, we have recently shown that </w:t>
      </w:r>
      <w:r w:rsidR="00EF354F">
        <w:rPr>
          <w:rFonts w:asciiTheme="majorBidi" w:hAnsiTheme="majorBidi" w:cstheme="majorBidi"/>
        </w:rPr>
        <w:t xml:space="preserve">FGF21 is augmented after one, but not seven days of </w:t>
      </w:r>
      <w:r w:rsidR="009F42DE">
        <w:rPr>
          <w:rFonts w:asciiTheme="majorBidi" w:hAnsiTheme="majorBidi" w:cstheme="majorBidi"/>
        </w:rPr>
        <w:t xml:space="preserve">overfeeding </w:t>
      </w:r>
      <w:r w:rsidR="007F0D70" w:rsidRPr="009F4D8B">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"10.1080/02640414.2018.1521633", "ISSN" : "0264-0414", "abstract" : "Fibroblast growth factor 21 (FGF21), fetuin-A and follistatin have been identified as hepatokines which are modulated by energy balance and obesity-related conditions (Meex and Watt, 2017, Nature Reviews Endocrinology, 13, 509-520). Recent research suggests that hepatokines may be regulated by acute changes in nutritional status through means such as fasting and overnutrition, with potential to counteract or contribute to associated perturbations in metabolic homeostasis. One-week of high-fat overfeeding (HFO) increases liver fat and impairs insulin sensitivity and glycaemic control in healthy humans. The present study investigated the effects of 1 and 7 d of HFO on circulating hepatokine concentrations. The study comprises of secondary data analysis on blood samples collected from two previous HFO experiments (1 d paper, Parry et al., 2017, Nutrients, 9, 818; 7 d paper under review). Following institutional ethical approval, 26 healthy males were recruited equally to one of two dietary interventions (1 d: age, 23 \u00b1 2 years; BMI, 26.0 \u00b1 3.3; 7 d: age, 25 \u00b1 4 years; BMI, 25.3 \u00b1 2.0) (mean \u00b1 SD). Participants underwent an oral glucose tolerance test (OGTT) immediately before and after either 1 d (1DAY; +78% excess energy above estimated daily requirement, 68% fat) or 7 d (7DAY; +50% excess energy, 65% fat) of HFO. A standard OGTT (75 g glucose) was performed during 1DAY, whilst 7DAY utilised a modified OGTT (50 g glucose and 15 g protein). Fasting plasma FGF21, fetuin-A, follistatin, glucose and serum insulin were assessed before each OGTT, whilst postprandial glycaemic control was assessed using the area under the time-concentration curve (AUC) for circulating glucose and insulin throughout the OGTTs. Plasma FGF21 was elevated by 55% following 1DAY (ES = 0.64; P &lt; 0.05), whilst plasma fetuin-A tended to increase after 7DAY (ES = 0.40; P = 0.089). In contrast, plasma follistatin was unchanged following either intervention (P &gt; 0.05). Fasting plasma glucose and serum insulin were increased after 7DAY (ES \u2265 0.63; P &lt; 0.05), but 1DAY had no effect (P &gt; 0.05). Postprandial glycaemic control was impaired following both diets, demonstrated by an increase in glucose and insulin AUC (1DAY: ES \u2265 0.52, P &lt; 0.05; 7DAY: ES \u2265 0.81, P &lt; 0.05). In conclusion, alongside impairments in glycaemic control, circulating FGF21 is acutely elevated following 1 d of HFO, however this response appears to be diminished after 7 d. Conversely, fetuin-A may be increased after 7 d of H\u2026", "author" : [ { "dropping-particle" : "", "family" : "Willis", "given" : "Scott A", "non-dropping-particle" : "", "parse-names" : false, "suffix" : "" }, { "dropping-particle" : "", "family" : "King", "given" : "James A", "non-dropping-particle" : "", "parse-names" : false, "suffix" : "" }, { "dropping-particle" : "", "family" : "Parry", "given" : "Si\u00f4n A", "non-dropping-particle" : "", "parse-names" : false, "suffix" : "" }, { "dropping-particle" : "", "family" : "Woods", "given" : "Rachel M", "non-dropping-particle" : "", "parse-names" : false, "suffix" : "" }, { "dropping-particle" : "", "family" : "Sargeant", "given" : "Jack A", "non-dropping-particle" : "", "parse-names" : false, "suffix" : "" }, { "dropping-particle" : "", "family" : "Hulston", "given" : "Carl J", "non-dropping-particle" : "", "parse-names" : false, "suffix" : "" } ], "container-title" : "BASES Conference 2018 \u2013 Programme and Abstracts", "id" : "ITEM-1", "issue" : "sup1", "issued" : { "date-parts" : [ [ "2018", "11" ] ] }, "page" : "60", "publisher" : "Journal of Sports Sciences", "publisher-place" : "Harrogate", "title" : "The effect of acute, high-fat overfeeding on circulating hepatokine concentrations", "type" : "paper-conference", "volume" : "36" }, "uris" : [ "http://www.mendeley.com/documents/?uuid=b14fbdc1-6cca-4a95-869a-0e0f811f81d8" ] } ], "mendeley" : { "formattedCitation" : "(27)", "plainTextFormattedCitation" : "(27)", "previouslyFormattedCitation" : "(27)" }, "properties" : { "noteIndex" : 6 }, "schema" : "https://github.com/citation-style-language/schema/raw/master/csl-citation.json" }</w:instrText>
      </w:r>
      <w:r w:rsidR="007F0D70" w:rsidRPr="009F4D8B">
        <w:rPr>
          <w:rFonts w:asciiTheme="majorBidi" w:hAnsiTheme="majorBidi" w:cstheme="majorBidi"/>
        </w:rPr>
        <w:fldChar w:fldCharType="separate"/>
      </w:r>
      <w:r w:rsidR="00D377E6" w:rsidRPr="00D377E6">
        <w:rPr>
          <w:rFonts w:asciiTheme="majorBidi" w:hAnsiTheme="majorBidi" w:cstheme="majorBidi"/>
          <w:noProof/>
        </w:rPr>
        <w:t>(27)</w:t>
      </w:r>
      <w:r w:rsidR="007F0D70" w:rsidRPr="009F4D8B">
        <w:rPr>
          <w:rFonts w:asciiTheme="majorBidi" w:hAnsiTheme="majorBidi" w:cstheme="majorBidi"/>
        </w:rPr>
        <w:fldChar w:fldCharType="end"/>
      </w:r>
      <w:r w:rsidR="00FB23D8">
        <w:rPr>
          <w:rFonts w:asciiTheme="majorBidi" w:hAnsiTheme="majorBidi" w:cstheme="majorBidi"/>
        </w:rPr>
        <w:t xml:space="preserve">. </w:t>
      </w:r>
      <w:r w:rsidR="008850C4">
        <w:rPr>
          <w:rFonts w:asciiTheme="majorBidi" w:hAnsiTheme="majorBidi" w:cstheme="majorBidi"/>
        </w:rPr>
        <w:t xml:space="preserve">Additional research is needed to clarify </w:t>
      </w:r>
      <w:r w:rsidR="00D5025A">
        <w:rPr>
          <w:rFonts w:asciiTheme="majorBidi" w:hAnsiTheme="majorBidi" w:cstheme="majorBidi"/>
        </w:rPr>
        <w:t xml:space="preserve">these </w:t>
      </w:r>
      <w:r w:rsidR="008E0B57">
        <w:rPr>
          <w:rFonts w:asciiTheme="majorBidi" w:hAnsiTheme="majorBidi" w:cstheme="majorBidi"/>
        </w:rPr>
        <w:t>findings within</w:t>
      </w:r>
      <w:r w:rsidR="00D5025A">
        <w:rPr>
          <w:rFonts w:asciiTheme="majorBidi" w:hAnsiTheme="majorBidi" w:cstheme="majorBidi"/>
        </w:rPr>
        <w:t xml:space="preserve"> an appropriately designed trial.</w:t>
      </w:r>
    </w:p>
    <w:p w14:paraId="1D1693B2" w14:textId="329B9FD9" w:rsidR="00F90692" w:rsidRDefault="008B6A8D" w:rsidP="008B6A8D">
      <w:pPr>
        <w:tabs>
          <w:tab w:val="left" w:pos="0"/>
        </w:tabs>
        <w:spacing w:after="0" w:line="480" w:lineRule="auto"/>
        <w:jc w:val="both"/>
        <w:rPr>
          <w:rFonts w:asciiTheme="majorBidi" w:hAnsiTheme="majorBidi" w:cstheme="majorBidi"/>
        </w:rPr>
      </w:pPr>
      <w:r>
        <w:rPr>
          <w:rFonts w:asciiTheme="majorBidi" w:hAnsiTheme="majorBidi" w:cstheme="majorBidi"/>
        </w:rPr>
        <w:t xml:space="preserve">To date, </w:t>
      </w:r>
      <w:r w:rsidR="007C7D6B">
        <w:rPr>
          <w:rFonts w:asciiTheme="majorBidi" w:hAnsiTheme="majorBidi" w:cstheme="majorBidi"/>
        </w:rPr>
        <w:t>nearly all</w:t>
      </w:r>
      <w:r>
        <w:rPr>
          <w:rFonts w:asciiTheme="majorBidi" w:hAnsiTheme="majorBidi" w:cstheme="majorBidi"/>
        </w:rPr>
        <w:t xml:space="preserve"> evidence relating to hepatokines and short-term nutritional status has been conducted in pre</w:t>
      </w:r>
      <w:r w:rsidR="00584080">
        <w:rPr>
          <w:rFonts w:asciiTheme="majorBidi" w:hAnsiTheme="majorBidi" w:cstheme="majorBidi"/>
        </w:rPr>
        <w:t>-</w:t>
      </w:r>
      <w:r>
        <w:rPr>
          <w:rFonts w:asciiTheme="majorBidi" w:hAnsiTheme="majorBidi" w:cstheme="majorBidi"/>
        </w:rPr>
        <w:t xml:space="preserve">clinical models. Further research is therefore </w:t>
      </w:r>
      <w:r w:rsidR="00076628">
        <w:rPr>
          <w:rFonts w:asciiTheme="majorBidi" w:hAnsiTheme="majorBidi" w:cstheme="majorBidi"/>
        </w:rPr>
        <w:t>required</w:t>
      </w:r>
      <w:r>
        <w:rPr>
          <w:rFonts w:asciiTheme="majorBidi" w:hAnsiTheme="majorBidi" w:cstheme="majorBidi"/>
        </w:rPr>
        <w:t xml:space="preserve"> to determine whether findings translate into humans; and to explore how acute perturbations in nutritional status influence other </w:t>
      </w:r>
      <w:r w:rsidR="00D159C3">
        <w:rPr>
          <w:rFonts w:asciiTheme="majorBidi" w:hAnsiTheme="majorBidi" w:cstheme="majorBidi"/>
        </w:rPr>
        <w:t>relevant</w:t>
      </w:r>
      <w:r>
        <w:rPr>
          <w:rFonts w:asciiTheme="majorBidi" w:hAnsiTheme="majorBidi" w:cstheme="majorBidi"/>
        </w:rPr>
        <w:t xml:space="preserve"> hepatokines yet to receive attention. Therefore, using a population of healthy men, the </w:t>
      </w:r>
      <w:r w:rsidR="00D159C3">
        <w:rPr>
          <w:rFonts w:asciiTheme="majorBidi" w:hAnsiTheme="majorBidi" w:cstheme="majorBidi"/>
        </w:rPr>
        <w:t>present study examined</w:t>
      </w:r>
      <w:r>
        <w:rPr>
          <w:rFonts w:asciiTheme="majorBidi" w:hAnsiTheme="majorBidi" w:cstheme="majorBidi"/>
        </w:rPr>
        <w:t xml:space="preserve"> the acute (one to seven days) influence of hyper-energetic, high-fat feeding on the circulating concentrations of five candidate hepatokines (</w:t>
      </w:r>
      <w:r w:rsidR="003B79D5">
        <w:rPr>
          <w:rFonts w:asciiTheme="majorBidi" w:hAnsiTheme="majorBidi" w:cstheme="majorBidi"/>
        </w:rPr>
        <w:t xml:space="preserve">FGF21, </w:t>
      </w:r>
      <w:r>
        <w:rPr>
          <w:rFonts w:asciiTheme="majorBidi" w:hAnsiTheme="majorBidi" w:cstheme="majorBidi"/>
        </w:rPr>
        <w:t>LECT2, fetuin-A, fetuin-B and SeP) which have been shown to modulate glucose and lipid metabolism and/or insulin sensitivity.</w:t>
      </w:r>
      <w:r w:rsidR="00E867BD">
        <w:rPr>
          <w:rFonts w:asciiTheme="majorBidi" w:hAnsiTheme="majorBidi" w:cstheme="majorBidi"/>
        </w:rPr>
        <w:t xml:space="preserve"> </w:t>
      </w:r>
      <w:r w:rsidR="00BE5027">
        <w:rPr>
          <w:rFonts w:asciiTheme="majorBidi" w:hAnsiTheme="majorBidi" w:cstheme="majorBidi"/>
        </w:rPr>
        <w:t>W</w:t>
      </w:r>
      <w:r>
        <w:rPr>
          <w:rFonts w:asciiTheme="majorBidi" w:hAnsiTheme="majorBidi" w:cstheme="majorBidi"/>
        </w:rPr>
        <w:t xml:space="preserve">e hypothesised that high-fat overfeeding would </w:t>
      </w:r>
      <w:r w:rsidR="001C1358">
        <w:rPr>
          <w:rFonts w:asciiTheme="majorBidi" w:hAnsiTheme="majorBidi" w:cstheme="majorBidi"/>
        </w:rPr>
        <w:t>increase</w:t>
      </w:r>
      <w:r>
        <w:rPr>
          <w:rFonts w:asciiTheme="majorBidi" w:hAnsiTheme="majorBidi" w:cstheme="majorBidi"/>
        </w:rPr>
        <w:t xml:space="preserve"> circulating levels of each hepatokine which may form part of an adaptive metabolic response to overnutrition.</w:t>
      </w:r>
      <w:r w:rsidR="00F90692">
        <w:rPr>
          <w:rFonts w:asciiTheme="majorBidi" w:hAnsiTheme="majorBidi" w:cstheme="majorBidi"/>
        </w:rPr>
        <w:br w:type="page"/>
      </w:r>
    </w:p>
    <w:p w14:paraId="4E1B76A5" w14:textId="7B5F9651" w:rsidR="00A41EAF" w:rsidRDefault="00A41EAF" w:rsidP="00247C32">
      <w:pPr>
        <w:tabs>
          <w:tab w:val="left" w:pos="0"/>
        </w:tabs>
        <w:spacing w:line="480" w:lineRule="auto"/>
        <w:jc w:val="both"/>
        <w:rPr>
          <w:rFonts w:asciiTheme="majorBidi" w:hAnsiTheme="majorBidi" w:cstheme="majorBidi"/>
          <w:b/>
          <w:bCs/>
        </w:rPr>
      </w:pPr>
      <w:r>
        <w:rPr>
          <w:rFonts w:asciiTheme="majorBidi" w:hAnsiTheme="majorBidi" w:cstheme="majorBidi"/>
          <w:b/>
          <w:bCs/>
        </w:rPr>
        <w:lastRenderedPageBreak/>
        <w:t>Methods</w:t>
      </w:r>
      <w:r>
        <w:rPr>
          <w:rFonts w:asciiTheme="majorBidi" w:hAnsiTheme="majorBidi" w:cstheme="majorBidi"/>
          <w:b/>
          <w:bCs/>
        </w:rPr>
        <w:tab/>
      </w:r>
    </w:p>
    <w:p w14:paraId="0EA37109" w14:textId="5E53309C" w:rsidR="00A41EAF" w:rsidRDefault="00D73A59" w:rsidP="008B31CD">
      <w:pPr>
        <w:spacing w:line="480" w:lineRule="auto"/>
        <w:jc w:val="both"/>
        <w:rPr>
          <w:rFonts w:asciiTheme="majorBidi" w:hAnsiTheme="majorBidi" w:cstheme="majorBidi"/>
          <w:i/>
          <w:iCs/>
        </w:rPr>
      </w:pPr>
      <w:r>
        <w:rPr>
          <w:rFonts w:asciiTheme="majorBidi" w:hAnsiTheme="majorBidi" w:cstheme="majorBidi"/>
          <w:i/>
          <w:iCs/>
        </w:rPr>
        <w:t>Ethical approval and participant recruitment</w:t>
      </w:r>
    </w:p>
    <w:p w14:paraId="36A320CB" w14:textId="11041D05" w:rsidR="00BE12D4" w:rsidRPr="001B4410" w:rsidRDefault="008D6260" w:rsidP="00C47F3F">
      <w:pPr>
        <w:spacing w:line="480" w:lineRule="auto"/>
        <w:jc w:val="both"/>
        <w:rPr>
          <w:rFonts w:asciiTheme="majorBidi" w:hAnsiTheme="majorBidi" w:cstheme="majorBidi"/>
        </w:rPr>
      </w:pPr>
      <w:r>
        <w:rPr>
          <w:rFonts w:asciiTheme="majorBidi" w:hAnsiTheme="majorBidi" w:cstheme="majorBidi"/>
        </w:rPr>
        <w:t xml:space="preserve">After receiving </w:t>
      </w:r>
      <w:r w:rsidR="007D46F2">
        <w:rPr>
          <w:rFonts w:asciiTheme="majorBidi" w:hAnsiTheme="majorBidi" w:cstheme="majorBidi"/>
        </w:rPr>
        <w:t xml:space="preserve">approval from the </w:t>
      </w:r>
      <w:r w:rsidR="0068752C">
        <w:rPr>
          <w:rFonts w:asciiTheme="majorBidi" w:hAnsiTheme="majorBidi" w:cstheme="majorBidi"/>
        </w:rPr>
        <w:t>Institutional</w:t>
      </w:r>
      <w:r w:rsidR="007D46F2">
        <w:rPr>
          <w:rFonts w:asciiTheme="majorBidi" w:hAnsiTheme="majorBidi" w:cstheme="majorBidi"/>
        </w:rPr>
        <w:t xml:space="preserve"> Research Ethics Committee</w:t>
      </w:r>
      <w:r w:rsidR="00B1100A">
        <w:rPr>
          <w:rFonts w:asciiTheme="majorBidi" w:hAnsiTheme="majorBidi" w:cstheme="majorBidi"/>
        </w:rPr>
        <w:t xml:space="preserve"> (R17-P144)</w:t>
      </w:r>
      <w:r w:rsidR="007D46F2">
        <w:rPr>
          <w:rFonts w:asciiTheme="majorBidi" w:hAnsiTheme="majorBidi" w:cstheme="majorBidi"/>
        </w:rPr>
        <w:t>, 12</w:t>
      </w:r>
      <w:r w:rsidR="00A95A74">
        <w:rPr>
          <w:rFonts w:asciiTheme="majorBidi" w:hAnsiTheme="majorBidi" w:cstheme="majorBidi"/>
        </w:rPr>
        <w:t xml:space="preserve"> </w:t>
      </w:r>
      <w:r w:rsidR="00A95A74" w:rsidRPr="000E1C62">
        <w:rPr>
          <w:rFonts w:asciiTheme="majorBidi" w:hAnsiTheme="majorBidi" w:cstheme="majorBidi"/>
        </w:rPr>
        <w:t xml:space="preserve">healthy males were recruited </w:t>
      </w:r>
      <w:r w:rsidR="004208C7" w:rsidRPr="000E1C62">
        <w:rPr>
          <w:rFonts w:asciiTheme="majorBidi" w:hAnsiTheme="majorBidi" w:cstheme="majorBidi"/>
        </w:rPr>
        <w:t>into the</w:t>
      </w:r>
      <w:r w:rsidR="006D3B0D" w:rsidRPr="000E1C62">
        <w:rPr>
          <w:rFonts w:asciiTheme="majorBidi" w:hAnsiTheme="majorBidi" w:cstheme="majorBidi"/>
        </w:rPr>
        <w:t xml:space="preserve"> study</w:t>
      </w:r>
      <w:r w:rsidR="00EC0ABD" w:rsidRPr="000E1C62">
        <w:rPr>
          <w:rFonts w:asciiTheme="majorBidi" w:hAnsiTheme="majorBidi" w:cstheme="majorBidi"/>
        </w:rPr>
        <w:t xml:space="preserve"> following the provision of written informed consent. </w:t>
      </w:r>
      <w:r w:rsidR="00406678" w:rsidRPr="000E1C62">
        <w:rPr>
          <w:rFonts w:asciiTheme="majorBidi" w:hAnsiTheme="majorBidi" w:cstheme="majorBidi"/>
        </w:rPr>
        <w:t xml:space="preserve">Participants </w:t>
      </w:r>
      <w:r w:rsidR="00600FD2" w:rsidRPr="000E1C62">
        <w:rPr>
          <w:rFonts w:asciiTheme="majorBidi" w:hAnsiTheme="majorBidi" w:cstheme="majorBidi"/>
        </w:rPr>
        <w:t>were</w:t>
      </w:r>
      <w:r w:rsidR="00401D5B" w:rsidRPr="000E1C62">
        <w:rPr>
          <w:rFonts w:asciiTheme="majorBidi" w:hAnsiTheme="majorBidi" w:cstheme="majorBidi"/>
        </w:rPr>
        <w:t xml:space="preserve"> </w:t>
      </w:r>
      <w:r w:rsidR="00124E69" w:rsidRPr="000E1C62">
        <w:rPr>
          <w:rFonts w:asciiTheme="majorBidi" w:hAnsiTheme="majorBidi" w:cstheme="majorBidi"/>
        </w:rPr>
        <w:t>young</w:t>
      </w:r>
      <w:r w:rsidR="0043756C" w:rsidRPr="000E1C62">
        <w:rPr>
          <w:rFonts w:asciiTheme="majorBidi" w:hAnsiTheme="majorBidi" w:cstheme="majorBidi"/>
        </w:rPr>
        <w:t xml:space="preserve"> (</w:t>
      </w:r>
      <w:r w:rsidR="00204BD5" w:rsidRPr="000E1C62">
        <w:rPr>
          <w:rFonts w:asciiTheme="majorBidi" w:hAnsiTheme="majorBidi" w:cstheme="majorBidi"/>
        </w:rPr>
        <w:t>18 – 40 years</w:t>
      </w:r>
      <w:r w:rsidR="00D47C0F" w:rsidRPr="000E1C62">
        <w:rPr>
          <w:rFonts w:asciiTheme="majorBidi" w:hAnsiTheme="majorBidi" w:cstheme="majorBidi"/>
        </w:rPr>
        <w:t>)</w:t>
      </w:r>
      <w:r w:rsidR="00124E69" w:rsidRPr="000E1C62">
        <w:rPr>
          <w:rFonts w:asciiTheme="majorBidi" w:hAnsiTheme="majorBidi" w:cstheme="majorBidi"/>
        </w:rPr>
        <w:t xml:space="preserve">, </w:t>
      </w:r>
      <w:r w:rsidR="00434156" w:rsidRPr="000E1C62">
        <w:rPr>
          <w:rFonts w:asciiTheme="majorBidi" w:hAnsiTheme="majorBidi" w:cstheme="majorBidi"/>
        </w:rPr>
        <w:t xml:space="preserve">had a BMI </w:t>
      </w:r>
      <w:r w:rsidR="00104611" w:rsidRPr="000E1C62">
        <w:rPr>
          <w:rFonts w:asciiTheme="majorBidi" w:hAnsiTheme="majorBidi" w:cstheme="majorBidi"/>
        </w:rPr>
        <w:t>between 18.5 and 27.</w:t>
      </w:r>
      <w:r w:rsidR="00204BD5" w:rsidRPr="000E1C62">
        <w:rPr>
          <w:rFonts w:asciiTheme="majorBidi" w:hAnsiTheme="majorBidi" w:cstheme="majorBidi"/>
        </w:rPr>
        <w:t>9</w:t>
      </w:r>
      <w:r w:rsidR="00104611" w:rsidRPr="000E1C62">
        <w:rPr>
          <w:rFonts w:asciiTheme="majorBidi" w:hAnsiTheme="majorBidi" w:cstheme="majorBidi"/>
        </w:rPr>
        <w:t xml:space="preserve"> kg∙m</w:t>
      </w:r>
      <w:r w:rsidR="00104611" w:rsidRPr="000E1C62">
        <w:rPr>
          <w:rFonts w:asciiTheme="majorBidi" w:hAnsiTheme="majorBidi" w:cstheme="majorBidi"/>
          <w:vertAlign w:val="superscript"/>
        </w:rPr>
        <w:t>-2</w:t>
      </w:r>
      <w:r w:rsidR="00A63334" w:rsidRPr="000E1C62">
        <w:rPr>
          <w:rFonts w:asciiTheme="majorBidi" w:hAnsiTheme="majorBidi" w:cstheme="majorBidi"/>
        </w:rPr>
        <w:t xml:space="preserve">, </w:t>
      </w:r>
      <w:r w:rsidR="006F2271" w:rsidRPr="000E1C62">
        <w:rPr>
          <w:rFonts w:asciiTheme="majorBidi" w:hAnsiTheme="majorBidi" w:cstheme="majorBidi"/>
        </w:rPr>
        <w:t>and</w:t>
      </w:r>
      <w:r w:rsidR="00D47C0F" w:rsidRPr="000E1C62">
        <w:rPr>
          <w:rFonts w:asciiTheme="majorBidi" w:hAnsiTheme="majorBidi" w:cstheme="majorBidi"/>
        </w:rPr>
        <w:t xml:space="preserve"> did not smoke</w:t>
      </w:r>
      <w:r w:rsidR="00650476" w:rsidRPr="000E1C62">
        <w:rPr>
          <w:rFonts w:asciiTheme="majorBidi" w:hAnsiTheme="majorBidi" w:cstheme="majorBidi"/>
        </w:rPr>
        <w:t xml:space="preserve"> </w:t>
      </w:r>
      <w:r w:rsidR="008622F2" w:rsidRPr="000E1C62">
        <w:rPr>
          <w:rFonts w:asciiTheme="majorBidi" w:hAnsiTheme="majorBidi" w:cstheme="majorBidi"/>
        </w:rPr>
        <w:t xml:space="preserve">or possess </w:t>
      </w:r>
      <w:r w:rsidR="00650476" w:rsidRPr="000E1C62">
        <w:rPr>
          <w:rFonts w:asciiTheme="majorBidi" w:hAnsiTheme="majorBidi" w:cstheme="majorBidi"/>
        </w:rPr>
        <w:t>diagnosed</w:t>
      </w:r>
      <w:r w:rsidR="00650476" w:rsidRPr="0043756C">
        <w:rPr>
          <w:rFonts w:asciiTheme="majorBidi" w:hAnsiTheme="majorBidi" w:cstheme="majorBidi"/>
        </w:rPr>
        <w:t xml:space="preserve"> metabolic </w:t>
      </w:r>
      <w:r w:rsidR="007C2782" w:rsidRPr="0043756C">
        <w:rPr>
          <w:rFonts w:asciiTheme="majorBidi" w:hAnsiTheme="majorBidi" w:cstheme="majorBidi"/>
        </w:rPr>
        <w:t>conditions</w:t>
      </w:r>
      <w:r w:rsidR="00650476" w:rsidRPr="0043756C">
        <w:rPr>
          <w:rFonts w:asciiTheme="majorBidi" w:hAnsiTheme="majorBidi" w:cstheme="majorBidi"/>
        </w:rPr>
        <w:t>.</w:t>
      </w:r>
      <w:r w:rsidR="00B0761A" w:rsidRPr="0043756C">
        <w:rPr>
          <w:rFonts w:asciiTheme="majorBidi" w:hAnsiTheme="majorBidi" w:cstheme="majorBidi"/>
        </w:rPr>
        <w:t xml:space="preserve"> </w:t>
      </w:r>
      <w:r w:rsidR="00D2774D" w:rsidRPr="0043756C">
        <w:rPr>
          <w:rFonts w:asciiTheme="majorBidi" w:hAnsiTheme="majorBidi" w:cstheme="majorBidi"/>
        </w:rPr>
        <w:t xml:space="preserve">Participants </w:t>
      </w:r>
      <w:r w:rsidR="00A80DD0" w:rsidRPr="0043756C">
        <w:rPr>
          <w:rFonts w:asciiTheme="majorBidi" w:hAnsiTheme="majorBidi" w:cstheme="majorBidi"/>
        </w:rPr>
        <w:t>were habitually active</w:t>
      </w:r>
      <w:r w:rsidR="002B008F">
        <w:rPr>
          <w:rFonts w:asciiTheme="majorBidi" w:hAnsiTheme="majorBidi" w:cstheme="majorBidi"/>
        </w:rPr>
        <w:t xml:space="preserve"> (no more than five structured exercise sessions</w:t>
      </w:r>
      <w:r w:rsidR="00F53A63">
        <w:rPr>
          <w:rFonts w:asciiTheme="majorBidi" w:hAnsiTheme="majorBidi" w:cstheme="majorBidi"/>
        </w:rPr>
        <w:t xml:space="preserve"> per week)</w:t>
      </w:r>
      <w:r w:rsidR="00A80DD0" w:rsidRPr="0043756C">
        <w:rPr>
          <w:rFonts w:asciiTheme="majorBidi" w:hAnsiTheme="majorBidi" w:cstheme="majorBidi"/>
        </w:rPr>
        <w:t xml:space="preserve"> and reported being weight stable </w:t>
      </w:r>
      <w:r w:rsidR="001B5C08" w:rsidRPr="0043756C">
        <w:rPr>
          <w:rFonts w:asciiTheme="majorBidi" w:hAnsiTheme="majorBidi" w:cstheme="majorBidi"/>
        </w:rPr>
        <w:t>(&lt;</w:t>
      </w:r>
      <w:r w:rsidR="00A80DD0" w:rsidRPr="0043756C">
        <w:rPr>
          <w:rFonts w:asciiTheme="majorBidi" w:hAnsiTheme="majorBidi" w:cstheme="majorBidi"/>
        </w:rPr>
        <w:t xml:space="preserve"> 2 kg body </w:t>
      </w:r>
      <w:r w:rsidR="000B5B69" w:rsidRPr="0043756C">
        <w:rPr>
          <w:rFonts w:asciiTheme="majorBidi" w:hAnsiTheme="majorBidi" w:cstheme="majorBidi"/>
        </w:rPr>
        <w:t>mass</w:t>
      </w:r>
      <w:r w:rsidR="00A80DD0" w:rsidRPr="0043756C">
        <w:rPr>
          <w:rFonts w:asciiTheme="majorBidi" w:hAnsiTheme="majorBidi" w:cstheme="majorBidi"/>
        </w:rPr>
        <w:t xml:space="preserve"> change) </w:t>
      </w:r>
      <w:r w:rsidR="00FB3C3A" w:rsidRPr="0043756C">
        <w:rPr>
          <w:rFonts w:asciiTheme="majorBidi" w:hAnsiTheme="majorBidi" w:cstheme="majorBidi"/>
        </w:rPr>
        <w:t xml:space="preserve">in the </w:t>
      </w:r>
      <w:r w:rsidR="00F87DF0">
        <w:rPr>
          <w:rFonts w:asciiTheme="majorBidi" w:hAnsiTheme="majorBidi" w:cstheme="majorBidi"/>
        </w:rPr>
        <w:t>six</w:t>
      </w:r>
      <w:r w:rsidR="00FB3C3A" w:rsidRPr="0043756C">
        <w:rPr>
          <w:rFonts w:asciiTheme="majorBidi" w:hAnsiTheme="majorBidi" w:cstheme="majorBidi"/>
        </w:rPr>
        <w:t xml:space="preserve"> months </w:t>
      </w:r>
      <w:r w:rsidR="00537199">
        <w:rPr>
          <w:rFonts w:asciiTheme="majorBidi" w:hAnsiTheme="majorBidi" w:cstheme="majorBidi"/>
        </w:rPr>
        <w:t>before</w:t>
      </w:r>
      <w:r w:rsidR="00FB3C3A" w:rsidRPr="0043756C">
        <w:rPr>
          <w:rFonts w:asciiTheme="majorBidi" w:hAnsiTheme="majorBidi" w:cstheme="majorBidi"/>
        </w:rPr>
        <w:t xml:space="preserve"> the study.</w:t>
      </w:r>
      <w:r w:rsidR="00A6763A">
        <w:rPr>
          <w:rFonts w:asciiTheme="majorBidi" w:hAnsiTheme="majorBidi" w:cstheme="majorBidi"/>
        </w:rPr>
        <w:t xml:space="preserve"> </w:t>
      </w:r>
      <w:r w:rsidR="00DD0AB1" w:rsidRPr="0043756C">
        <w:rPr>
          <w:rFonts w:asciiTheme="majorBidi" w:hAnsiTheme="majorBidi" w:cstheme="majorBidi"/>
        </w:rPr>
        <w:t>The</w:t>
      </w:r>
      <w:r w:rsidR="002371B6" w:rsidRPr="0043756C">
        <w:rPr>
          <w:rFonts w:asciiTheme="majorBidi" w:hAnsiTheme="majorBidi" w:cstheme="majorBidi"/>
        </w:rPr>
        <w:t xml:space="preserve"> study was registered as a clinical trial</w:t>
      </w:r>
      <w:r w:rsidR="008F08A1" w:rsidRPr="0043756C">
        <w:rPr>
          <w:rFonts w:ascii="Times New Roman" w:hAnsi="Times New Roman" w:cs="Times New Roman"/>
        </w:rPr>
        <w:t xml:space="preserve"> (</w:t>
      </w:r>
      <w:r w:rsidR="003B6302" w:rsidRPr="0043756C">
        <w:rPr>
          <w:rFonts w:ascii="Times New Roman" w:hAnsi="Times New Roman" w:cs="Times New Roman"/>
          <w:color w:val="000000"/>
          <w:shd w:val="clear" w:color="auto" w:fill="FFFFFF"/>
        </w:rPr>
        <w:t>NCT03369145)</w:t>
      </w:r>
      <w:r w:rsidR="00DD0AB1" w:rsidRPr="0043756C">
        <w:rPr>
          <w:rFonts w:ascii="Times New Roman" w:hAnsi="Times New Roman" w:cs="Times New Roman"/>
          <w:color w:val="000000"/>
          <w:shd w:val="clear" w:color="auto" w:fill="FFFFFF"/>
        </w:rPr>
        <w:t xml:space="preserve"> </w:t>
      </w:r>
      <w:r w:rsidR="00450BDC">
        <w:rPr>
          <w:rFonts w:ascii="Times New Roman" w:hAnsi="Times New Roman" w:cs="Times New Roman"/>
          <w:color w:val="000000"/>
          <w:shd w:val="clear" w:color="auto" w:fill="FFFFFF"/>
        </w:rPr>
        <w:t xml:space="preserve">at clinicaltrials.gov </w:t>
      </w:r>
      <w:r w:rsidR="00DD0AB1" w:rsidRPr="0043756C">
        <w:rPr>
          <w:rFonts w:ascii="Times New Roman" w:hAnsi="Times New Roman" w:cs="Times New Roman"/>
          <w:color w:val="000000"/>
          <w:shd w:val="clear" w:color="auto" w:fill="FFFFFF"/>
        </w:rPr>
        <w:t>before data collection commenced</w:t>
      </w:r>
      <w:r w:rsidR="003B6302" w:rsidRPr="0043756C">
        <w:rPr>
          <w:rFonts w:ascii="Times New Roman" w:hAnsi="Times New Roman" w:cs="Times New Roman"/>
          <w:color w:val="000000"/>
          <w:shd w:val="clear" w:color="auto" w:fill="FFFFFF"/>
        </w:rPr>
        <w:t>.</w:t>
      </w:r>
      <w:r w:rsidR="003B6302" w:rsidRPr="00FF4C36">
        <w:rPr>
          <w:rFonts w:ascii="Times New Roman" w:hAnsi="Times New Roman" w:cs="Times New Roman"/>
          <w:color w:val="000000"/>
          <w:sz w:val="23"/>
          <w:szCs w:val="23"/>
          <w:shd w:val="clear" w:color="auto" w:fill="FFFFFF"/>
        </w:rPr>
        <w:t xml:space="preserve"> </w:t>
      </w:r>
      <w:r w:rsidR="009033F2" w:rsidRPr="00FF4C36">
        <w:rPr>
          <w:rFonts w:ascii="Times New Roman" w:hAnsi="Times New Roman" w:cs="Times New Roman"/>
        </w:rPr>
        <w:t xml:space="preserve"> </w:t>
      </w:r>
    </w:p>
    <w:p w14:paraId="7FB749DB" w14:textId="230308C6" w:rsidR="006F6142" w:rsidRPr="00755740" w:rsidRDefault="00EB729A" w:rsidP="003D1D22">
      <w:pPr>
        <w:spacing w:line="480" w:lineRule="auto"/>
        <w:jc w:val="both"/>
        <w:rPr>
          <w:rFonts w:asciiTheme="majorBidi" w:hAnsiTheme="majorBidi" w:cstheme="majorBidi"/>
          <w:i/>
          <w:iCs/>
        </w:rPr>
      </w:pPr>
      <w:r>
        <w:rPr>
          <w:rFonts w:asciiTheme="majorBidi" w:hAnsiTheme="majorBidi" w:cstheme="majorBidi"/>
          <w:i/>
          <w:iCs/>
        </w:rPr>
        <w:t>Participant pre-assessment</w:t>
      </w:r>
    </w:p>
    <w:p w14:paraId="2A2EF0B4" w14:textId="0672478B" w:rsidR="00404947" w:rsidRPr="000E1C62" w:rsidRDefault="00A85C84" w:rsidP="008C2CC2">
      <w:pPr>
        <w:spacing w:line="480" w:lineRule="auto"/>
        <w:jc w:val="both"/>
        <w:rPr>
          <w:rFonts w:asciiTheme="majorBidi" w:hAnsiTheme="majorBidi" w:cstheme="majorBidi"/>
        </w:rPr>
      </w:pPr>
      <w:r>
        <w:rPr>
          <w:rFonts w:asciiTheme="majorBidi" w:hAnsiTheme="majorBidi" w:cstheme="majorBidi"/>
        </w:rPr>
        <w:t>During a pre-assessment visit, participants were screened to determine study eligibility</w:t>
      </w:r>
      <w:r w:rsidR="009B2A78">
        <w:rPr>
          <w:rFonts w:asciiTheme="majorBidi" w:hAnsiTheme="majorBidi" w:cstheme="majorBidi"/>
        </w:rPr>
        <w:t xml:space="preserve">. </w:t>
      </w:r>
      <w:r w:rsidR="002C2ACD">
        <w:rPr>
          <w:rFonts w:asciiTheme="majorBidi" w:hAnsiTheme="majorBidi" w:cstheme="majorBidi"/>
        </w:rPr>
        <w:t>P</w:t>
      </w:r>
      <w:r w:rsidR="003628D7">
        <w:rPr>
          <w:rFonts w:asciiTheme="majorBidi" w:hAnsiTheme="majorBidi" w:cstheme="majorBidi"/>
        </w:rPr>
        <w:t>articipants provided a medical history</w:t>
      </w:r>
      <w:r w:rsidR="00371191">
        <w:rPr>
          <w:rFonts w:asciiTheme="majorBidi" w:hAnsiTheme="majorBidi" w:cstheme="majorBidi"/>
        </w:rPr>
        <w:t xml:space="preserve"> and </w:t>
      </w:r>
      <w:r w:rsidR="00B33769">
        <w:rPr>
          <w:rFonts w:asciiTheme="majorBidi" w:hAnsiTheme="majorBidi" w:cstheme="majorBidi"/>
        </w:rPr>
        <w:t xml:space="preserve">completed a questionnaire </w:t>
      </w:r>
      <w:r w:rsidR="00DD0AB1">
        <w:rPr>
          <w:rFonts w:asciiTheme="majorBidi" w:hAnsiTheme="majorBidi" w:cstheme="majorBidi"/>
        </w:rPr>
        <w:t>determining</w:t>
      </w:r>
      <w:r w:rsidR="00B33769">
        <w:rPr>
          <w:rFonts w:asciiTheme="majorBidi" w:hAnsiTheme="majorBidi" w:cstheme="majorBidi"/>
        </w:rPr>
        <w:t xml:space="preserve"> acceptability</w:t>
      </w:r>
      <w:r w:rsidR="00A04595">
        <w:rPr>
          <w:rFonts w:asciiTheme="majorBidi" w:hAnsiTheme="majorBidi" w:cstheme="majorBidi"/>
        </w:rPr>
        <w:t xml:space="preserve"> of food items to be provided during</w:t>
      </w:r>
      <w:r w:rsidR="002515F0">
        <w:rPr>
          <w:rFonts w:asciiTheme="majorBidi" w:hAnsiTheme="majorBidi" w:cstheme="majorBidi"/>
        </w:rPr>
        <w:t xml:space="preserve"> the study. </w:t>
      </w:r>
      <w:r w:rsidR="00B26FA1">
        <w:rPr>
          <w:rFonts w:asciiTheme="majorBidi" w:hAnsiTheme="majorBidi" w:cstheme="majorBidi"/>
        </w:rPr>
        <w:t>Normal f</w:t>
      </w:r>
      <w:r w:rsidR="002515F0">
        <w:rPr>
          <w:rFonts w:asciiTheme="majorBidi" w:hAnsiTheme="majorBidi" w:cstheme="majorBidi"/>
        </w:rPr>
        <w:t xml:space="preserve">asting capillary </w:t>
      </w:r>
      <w:r w:rsidR="00AA1756">
        <w:rPr>
          <w:rFonts w:asciiTheme="majorBidi" w:hAnsiTheme="majorBidi" w:cstheme="majorBidi"/>
        </w:rPr>
        <w:t xml:space="preserve">blood </w:t>
      </w:r>
      <w:r w:rsidR="002515F0">
        <w:rPr>
          <w:rFonts w:asciiTheme="majorBidi" w:hAnsiTheme="majorBidi" w:cstheme="majorBidi"/>
        </w:rPr>
        <w:t>glucose</w:t>
      </w:r>
      <w:r w:rsidR="00C670A9">
        <w:rPr>
          <w:rFonts w:asciiTheme="majorBidi" w:hAnsiTheme="majorBidi" w:cstheme="majorBidi"/>
        </w:rPr>
        <w:t xml:space="preserve"> levels</w:t>
      </w:r>
      <w:r w:rsidR="002515F0">
        <w:rPr>
          <w:rFonts w:asciiTheme="majorBidi" w:hAnsiTheme="majorBidi" w:cstheme="majorBidi"/>
        </w:rPr>
        <w:t xml:space="preserve"> </w:t>
      </w:r>
      <w:r w:rsidR="00C670A9">
        <w:rPr>
          <w:rFonts w:asciiTheme="majorBidi" w:hAnsiTheme="majorBidi" w:cstheme="majorBidi"/>
        </w:rPr>
        <w:t>(</w:t>
      </w:r>
      <w:r w:rsidR="006B212D">
        <w:rPr>
          <w:rFonts w:asciiTheme="majorBidi" w:hAnsiTheme="majorBidi" w:cstheme="majorBidi"/>
        </w:rPr>
        <w:t>&lt;</w:t>
      </w:r>
      <w:r w:rsidR="007A3D68">
        <w:rPr>
          <w:rFonts w:asciiTheme="majorBidi" w:hAnsiTheme="majorBidi" w:cstheme="majorBidi"/>
        </w:rPr>
        <w:t xml:space="preserve"> 5</w:t>
      </w:r>
      <w:r w:rsidR="00FD0742">
        <w:rPr>
          <w:rFonts w:asciiTheme="majorBidi" w:hAnsiTheme="majorBidi" w:cstheme="majorBidi"/>
        </w:rPr>
        <w:t>.5 mmol</w:t>
      </w:r>
      <w:r w:rsidR="00330321">
        <w:rPr>
          <w:rFonts w:asciiTheme="majorBidi" w:hAnsiTheme="majorBidi" w:cstheme="majorBidi"/>
        </w:rPr>
        <w:t>∙</w:t>
      </w:r>
      <w:r w:rsidR="00330321">
        <w:rPr>
          <w:rFonts w:ascii="Times New Roman" w:hAnsi="Times New Roman" w:cs="Times New Roman"/>
        </w:rPr>
        <w:t>L</w:t>
      </w:r>
      <w:r w:rsidR="00330321" w:rsidRPr="009D141A">
        <w:rPr>
          <w:rFonts w:ascii="Times New Roman" w:hAnsi="Times New Roman" w:cs="Times New Roman"/>
          <w:vertAlign w:val="superscript"/>
        </w:rPr>
        <w:t>-1</w:t>
      </w:r>
      <w:r w:rsidR="00C670A9">
        <w:rPr>
          <w:rFonts w:asciiTheme="majorBidi" w:hAnsiTheme="majorBidi" w:cstheme="majorBidi"/>
        </w:rPr>
        <w:t>)</w:t>
      </w:r>
      <w:r w:rsidR="00441925">
        <w:rPr>
          <w:rFonts w:asciiTheme="majorBidi" w:hAnsiTheme="majorBidi" w:cstheme="majorBidi"/>
        </w:rPr>
        <w:t xml:space="preserve"> </w:t>
      </w:r>
      <w:r w:rsidR="009A0E35">
        <w:rPr>
          <w:rFonts w:asciiTheme="majorBidi" w:hAnsiTheme="majorBidi" w:cstheme="majorBidi"/>
        </w:rPr>
        <w:t>w</w:t>
      </w:r>
      <w:r w:rsidR="00C670A9">
        <w:rPr>
          <w:rFonts w:asciiTheme="majorBidi" w:hAnsiTheme="majorBidi" w:cstheme="majorBidi"/>
        </w:rPr>
        <w:t>ere</w:t>
      </w:r>
      <w:r w:rsidR="009A0E35">
        <w:rPr>
          <w:rFonts w:asciiTheme="majorBidi" w:hAnsiTheme="majorBidi" w:cstheme="majorBidi"/>
        </w:rPr>
        <w:t xml:space="preserve"> </w:t>
      </w:r>
      <w:r w:rsidR="00C670A9">
        <w:rPr>
          <w:rFonts w:asciiTheme="majorBidi" w:hAnsiTheme="majorBidi" w:cstheme="majorBidi"/>
        </w:rPr>
        <w:t>confirmed</w:t>
      </w:r>
      <w:r w:rsidR="009A0E35">
        <w:rPr>
          <w:rFonts w:asciiTheme="majorBidi" w:hAnsiTheme="majorBidi" w:cstheme="majorBidi"/>
        </w:rPr>
        <w:t xml:space="preserve"> using a point-of-care </w:t>
      </w:r>
      <w:proofErr w:type="spellStart"/>
      <w:r w:rsidR="009A0E35">
        <w:rPr>
          <w:rFonts w:asciiTheme="majorBidi" w:hAnsiTheme="majorBidi" w:cstheme="majorBidi"/>
        </w:rPr>
        <w:t>bioanalyser</w:t>
      </w:r>
      <w:proofErr w:type="spellEnd"/>
      <w:r w:rsidR="00BF7FB8">
        <w:rPr>
          <w:rFonts w:asciiTheme="majorBidi" w:hAnsiTheme="majorBidi" w:cstheme="majorBidi"/>
        </w:rPr>
        <w:t xml:space="preserve"> (</w:t>
      </w:r>
      <w:r w:rsidR="00BF7FB8" w:rsidRPr="000E1C62">
        <w:rPr>
          <w:rFonts w:asciiTheme="majorBidi" w:hAnsiTheme="majorBidi" w:cstheme="majorBidi"/>
        </w:rPr>
        <w:t>Cardio</w:t>
      </w:r>
      <w:r w:rsidR="00BE1224" w:rsidRPr="000E1C62">
        <w:rPr>
          <w:rFonts w:asciiTheme="majorBidi" w:hAnsiTheme="majorBidi" w:cstheme="majorBidi"/>
        </w:rPr>
        <w:t>C</w:t>
      </w:r>
      <w:r w:rsidR="00BF7FB8" w:rsidRPr="000E1C62">
        <w:rPr>
          <w:rFonts w:asciiTheme="majorBidi" w:hAnsiTheme="majorBidi" w:cstheme="majorBidi"/>
        </w:rPr>
        <w:t>hek</w:t>
      </w:r>
      <w:r w:rsidR="007A52B4" w:rsidRPr="000E1C62">
        <w:rPr>
          <w:rFonts w:asciiTheme="majorBidi" w:hAnsiTheme="majorBidi" w:cstheme="majorBidi"/>
        </w:rPr>
        <w:t xml:space="preserve">®, </w:t>
      </w:r>
      <w:r w:rsidR="00D638CB" w:rsidRPr="000E1C62">
        <w:rPr>
          <w:rFonts w:asciiTheme="majorBidi" w:hAnsiTheme="majorBidi" w:cstheme="majorBidi"/>
        </w:rPr>
        <w:t>Poly</w:t>
      </w:r>
      <w:r w:rsidR="00FF7102" w:rsidRPr="000E1C62">
        <w:rPr>
          <w:rFonts w:asciiTheme="majorBidi" w:hAnsiTheme="majorBidi" w:cstheme="majorBidi"/>
        </w:rPr>
        <w:t>mer Technology Systems Inc,</w:t>
      </w:r>
      <w:r w:rsidR="00F47A00" w:rsidRPr="000E1C62">
        <w:rPr>
          <w:rFonts w:asciiTheme="majorBidi" w:hAnsiTheme="majorBidi" w:cstheme="majorBidi"/>
        </w:rPr>
        <w:t xml:space="preserve"> Indianapolis,</w:t>
      </w:r>
      <w:r w:rsidR="00FF7102" w:rsidRPr="000E1C62">
        <w:rPr>
          <w:rFonts w:asciiTheme="majorBidi" w:hAnsiTheme="majorBidi" w:cstheme="majorBidi"/>
        </w:rPr>
        <w:t xml:space="preserve"> USA)</w:t>
      </w:r>
      <w:r w:rsidR="00150048" w:rsidRPr="000E1C62">
        <w:rPr>
          <w:rFonts w:asciiTheme="majorBidi" w:hAnsiTheme="majorBidi" w:cstheme="majorBidi"/>
        </w:rPr>
        <w:t>.</w:t>
      </w:r>
      <w:r w:rsidR="009A0E35" w:rsidRPr="000E1C62">
        <w:rPr>
          <w:rFonts w:asciiTheme="majorBidi" w:hAnsiTheme="majorBidi" w:cstheme="majorBidi"/>
        </w:rPr>
        <w:t xml:space="preserve"> </w:t>
      </w:r>
      <w:r w:rsidR="00DC0538" w:rsidRPr="000E1C62">
        <w:rPr>
          <w:rFonts w:asciiTheme="majorBidi" w:hAnsiTheme="majorBidi" w:cstheme="majorBidi"/>
        </w:rPr>
        <w:t xml:space="preserve">Participants’ </w:t>
      </w:r>
      <w:r w:rsidR="00441925" w:rsidRPr="000E1C62">
        <w:rPr>
          <w:rFonts w:asciiTheme="majorBidi" w:hAnsiTheme="majorBidi" w:cstheme="majorBidi"/>
        </w:rPr>
        <w:t>BMI</w:t>
      </w:r>
      <w:r w:rsidR="00FD5BAD" w:rsidRPr="000E1C62">
        <w:rPr>
          <w:rFonts w:asciiTheme="majorBidi" w:hAnsiTheme="majorBidi" w:cstheme="majorBidi"/>
        </w:rPr>
        <w:t>, waist circumference and blood pressure</w:t>
      </w:r>
      <w:r w:rsidR="00441925" w:rsidRPr="000E1C62">
        <w:rPr>
          <w:rFonts w:asciiTheme="majorBidi" w:hAnsiTheme="majorBidi" w:cstheme="majorBidi"/>
        </w:rPr>
        <w:t xml:space="preserve"> w</w:t>
      </w:r>
      <w:r w:rsidR="00FD5BAD" w:rsidRPr="000E1C62">
        <w:rPr>
          <w:rFonts w:asciiTheme="majorBidi" w:hAnsiTheme="majorBidi" w:cstheme="majorBidi"/>
        </w:rPr>
        <w:t xml:space="preserve">ere determined </w:t>
      </w:r>
      <w:r w:rsidR="006E1F7B" w:rsidRPr="000E1C62">
        <w:rPr>
          <w:rFonts w:asciiTheme="majorBidi" w:hAnsiTheme="majorBidi" w:cstheme="majorBidi"/>
        </w:rPr>
        <w:t>using standard</w:t>
      </w:r>
      <w:r w:rsidR="000E0628" w:rsidRPr="000E1C62">
        <w:rPr>
          <w:rFonts w:asciiTheme="majorBidi" w:hAnsiTheme="majorBidi" w:cstheme="majorBidi"/>
        </w:rPr>
        <w:t>i</w:t>
      </w:r>
      <w:r w:rsidR="001149F9" w:rsidRPr="000E1C62">
        <w:rPr>
          <w:rFonts w:asciiTheme="majorBidi" w:hAnsiTheme="majorBidi" w:cstheme="majorBidi"/>
        </w:rPr>
        <w:t>s</w:t>
      </w:r>
      <w:r w:rsidR="000E0628" w:rsidRPr="000E1C62">
        <w:rPr>
          <w:rFonts w:asciiTheme="majorBidi" w:hAnsiTheme="majorBidi" w:cstheme="majorBidi"/>
        </w:rPr>
        <w:t>ed procedures</w:t>
      </w:r>
      <w:r w:rsidR="00373E3E" w:rsidRPr="000E1C62">
        <w:rPr>
          <w:rFonts w:asciiTheme="majorBidi" w:hAnsiTheme="majorBidi" w:cstheme="majorBidi"/>
        </w:rPr>
        <w:t xml:space="preserve"> </w:t>
      </w:r>
      <w:r w:rsidR="00F15A39" w:rsidRPr="000E1C62">
        <w:rPr>
          <w:rFonts w:asciiTheme="majorBidi" w:hAnsiTheme="majorBidi" w:cstheme="majorBidi"/>
        </w:rPr>
        <w:fldChar w:fldCharType="begin" w:fldLock="1"/>
      </w:r>
      <w:r w:rsidR="00F15A39" w:rsidRPr="000E1C62">
        <w:rPr>
          <w:rFonts w:asciiTheme="majorBidi" w:hAnsiTheme="majorBidi" w:cstheme="majorBidi"/>
        </w:rPr>
        <w:instrText>ADDIN CSL_CITATION { "citationItems" : [ { "id" : "ITEM-1", "itemData" : { "DOI" : "10.1139/apnm-2018-0818", "ISSN" : "1715-5312", "abstract" : "Introduction: Hepatokines such as fibroblast growth factor 21 (FGF21), follistatin and leukocyte cell\u2010derived chemotaxin 2 (LECT2) are liver\u2010derived proteins which contribute to the regulation of whole\u2010body glucose and lipid metabolism. Acute shifts in energy balance, through means such as exercise, modulate circulating concentrations of these hepatokines; however the influence of exercise intensity has not been fully explored. This study examined the effect of exercise intensity on circulating hepatokine concentrations in healthy men. Methods: In a randomized, crossover design, 10 healthy men (see Table 1 for participant characteristics) completed three experimental trials, commencing with either a moderate\u2010intensity run (55% peak oxygen uptake (VO2 peak); MOD), high\u2010intensity run (75% VO2 peak; HIGH) or control period (rest; CON). The duration of MOD and HIGH differed (mean +/\u2010 SD: 57 +/\u2010 8 vs 42 +/\u2010 6 min, respectively) so that total energy expenditure was matched (target 600 kcal). After exercise, participants rested for 7 h, with standardised meals consumed at 2 and 6 h post\u2010exercise. Venous blood samples were taken before exercise and at 0, 1, 2, 4 and 7 h post\u2010exercise for measurement of plasma FGF21, follistatin and LECT2 concentrations (ELISA). Results: Total energy expenditure was similar between the two exercise trials (MOD vs HIGH: 591 +/\u2010 17 vs 595 +/\u2010 14 kcal; P = 0.46). Two\u2010way ANOVA revealed a significant trial main effect and trial\u2010time interaction for FGF21 (both P &lt; 0.001), indicating a greater increase in plasma FGF21 concentrations at 1, 2 and 4 h after HIGH compared to MOD (all P &lt; 0.03; Figure 1A). A significant trial main effect and trial\u2010time interaction for follistatin was also observed, indicating elevated plasma follistatin concentrations at 4 and 7 h after both MOD and HIGH vs CON (all P &lt; 0.01; Figure 1B); however the response was similar between the two exercise trials. A significant trial\u2010time interaction was found for LECT2, indicating an increase in plasma LECT2 concentrations immediately after MOD and HIGH vs CON (both P &lt; 0.05; Figure 1C); however there were no differences between the two exercise trials. Conclusion: The present study demonstrates that acute bouts of exercise transiently increase circulating concentrations of the hepatokines FGF21, follistatin and LECT2. Furthermore, the magnitude of the post\u2010exercise increase in circulating FGF21 may be dependent on the intensity of the exercise, while responses in t\u2026", "author" : [ { "dropping-particle" : "", "family" : "Willis", "given" : "Scott A.", "non-dropping-particle" : "", "parse-names" : false, "suffix" : "" }, { "dropping-particle" : "", "family" : "Sargeant", "given" : "Jack A.", "non-dropping-particle" : "", "parse-names" : false, "suffix" : "" }, { "dropping-particle" : "", "family" : "Thackray", "given" : "Alice E.", "non-dropping-particle" : "", "parse-names" : false, "suffix" : "" }, { "dropping-particle" : "", "family" : "Yates", "given" : "Thomas", "non-dropping-particle" : "", "parse-names" : false, "suffix" : "" }, { "dropping-particle" : "", "family" : "Stensel", "given" : "David J.", "non-dropping-particle" : "", "parse-names" : false, "suffix" : "" }, { "dropping-particle" : "", "family" : "Aithal", "given" : "Guruprasad P.", "non-dropping-particle" : "", "parse-names" : false, "suffix" : "" }, { "dropping-particle" : "", "family" : "King", "given" : "James A.", "non-dropping-particle" : "", "parse-names" : false, "suffix" : "" } ], "container-title" : "Applied Physiology, Nutrition, and Metabolism", "id" : "ITEM-1", "issue" : "10", "issued" : { "date-parts" : [ [ "2019", "10" ] ] }, "page" : "1065-1072", "title" : "Effect of exercise intensity on circulating hepatokine concentrations in healthy men", "type" : "article-journal", "volume" : "44" }, "uris" : [ "http://www.mendeley.com/documents/?uuid=950e93d6-9db6-43f1-b94b-eb9ad537311e" ] } ], "mendeley" : { "formattedCitation" : "(28)", "plainTextFormattedCitation" : "(28)", "previouslyFormattedCitation" : "(28)" }, "properties" : { "noteIndex" : 8 }, "schema" : "https://github.com/citation-style-language/schema/raw/master/csl-citation.json" }</w:instrText>
      </w:r>
      <w:r w:rsidR="00F15A39" w:rsidRPr="000E1C62">
        <w:rPr>
          <w:rFonts w:asciiTheme="majorBidi" w:hAnsiTheme="majorBidi" w:cstheme="majorBidi"/>
        </w:rPr>
        <w:fldChar w:fldCharType="separate"/>
      </w:r>
      <w:r w:rsidR="00F15A39" w:rsidRPr="000E1C62">
        <w:rPr>
          <w:rFonts w:asciiTheme="majorBidi" w:hAnsiTheme="majorBidi" w:cstheme="majorBidi"/>
          <w:noProof/>
        </w:rPr>
        <w:t>(28)</w:t>
      </w:r>
      <w:r w:rsidR="00F15A39" w:rsidRPr="000E1C62">
        <w:rPr>
          <w:rFonts w:asciiTheme="majorBidi" w:hAnsiTheme="majorBidi" w:cstheme="majorBidi"/>
        </w:rPr>
        <w:fldChar w:fldCharType="end"/>
      </w:r>
      <w:r w:rsidR="001D2FE7" w:rsidRPr="000E1C62">
        <w:rPr>
          <w:rFonts w:asciiTheme="majorBidi" w:hAnsiTheme="majorBidi" w:cstheme="majorBidi"/>
          <w:bCs/>
        </w:rPr>
        <w:t>.</w:t>
      </w:r>
      <w:r w:rsidR="001149F9" w:rsidRPr="000E1C62">
        <w:rPr>
          <w:rFonts w:asciiTheme="majorBidi" w:hAnsiTheme="majorBidi" w:cstheme="majorBidi"/>
        </w:rPr>
        <w:t xml:space="preserve"> </w:t>
      </w:r>
    </w:p>
    <w:p w14:paraId="00A59971" w14:textId="42BC246F" w:rsidR="000939F3" w:rsidRPr="008620BC" w:rsidRDefault="009265FC" w:rsidP="00F5577B">
      <w:pPr>
        <w:spacing w:line="480" w:lineRule="auto"/>
        <w:jc w:val="both"/>
        <w:rPr>
          <w:rFonts w:asciiTheme="majorBidi" w:hAnsiTheme="majorBidi" w:cstheme="majorBidi"/>
        </w:rPr>
      </w:pPr>
      <w:r w:rsidRPr="000E1C62">
        <w:rPr>
          <w:rFonts w:asciiTheme="majorBidi" w:hAnsiTheme="majorBidi" w:cstheme="majorBidi"/>
        </w:rPr>
        <w:t>At the end of the</w:t>
      </w:r>
      <w:r w:rsidR="00565906" w:rsidRPr="000E1C62">
        <w:rPr>
          <w:rFonts w:asciiTheme="majorBidi" w:hAnsiTheme="majorBidi" w:cstheme="majorBidi"/>
        </w:rPr>
        <w:t xml:space="preserve"> </w:t>
      </w:r>
      <w:r w:rsidR="0040010F" w:rsidRPr="000E1C62">
        <w:rPr>
          <w:rFonts w:asciiTheme="majorBidi" w:hAnsiTheme="majorBidi" w:cstheme="majorBidi"/>
        </w:rPr>
        <w:t>visit</w:t>
      </w:r>
      <w:r w:rsidR="00565906" w:rsidRPr="000E1C62">
        <w:rPr>
          <w:rFonts w:asciiTheme="majorBidi" w:hAnsiTheme="majorBidi" w:cstheme="majorBidi"/>
        </w:rPr>
        <w:t>, participants</w:t>
      </w:r>
      <w:r w:rsidR="00565906">
        <w:rPr>
          <w:rFonts w:asciiTheme="majorBidi" w:hAnsiTheme="majorBidi" w:cstheme="majorBidi"/>
        </w:rPr>
        <w:t xml:space="preserve"> were provided with </w:t>
      </w:r>
      <w:r w:rsidR="006A25E5">
        <w:rPr>
          <w:rFonts w:asciiTheme="majorBidi" w:hAnsiTheme="majorBidi" w:cstheme="majorBidi"/>
        </w:rPr>
        <w:t>two</w:t>
      </w:r>
      <w:r w:rsidR="0043756C">
        <w:rPr>
          <w:rFonts w:asciiTheme="majorBidi" w:hAnsiTheme="majorBidi" w:cstheme="majorBidi"/>
        </w:rPr>
        <w:t xml:space="preserve"> accelerometer</w:t>
      </w:r>
      <w:r w:rsidR="006A25E5">
        <w:rPr>
          <w:rFonts w:asciiTheme="majorBidi" w:hAnsiTheme="majorBidi" w:cstheme="majorBidi"/>
        </w:rPr>
        <w:t>s; an</w:t>
      </w:r>
      <w:r w:rsidR="0043756C">
        <w:rPr>
          <w:rFonts w:asciiTheme="majorBidi" w:hAnsiTheme="majorBidi" w:cstheme="majorBidi"/>
        </w:rPr>
        <w:t xml:space="preserve"> </w:t>
      </w:r>
      <w:proofErr w:type="spellStart"/>
      <w:r w:rsidR="00DE39F7">
        <w:rPr>
          <w:rFonts w:asciiTheme="majorBidi" w:hAnsiTheme="majorBidi" w:cstheme="majorBidi"/>
        </w:rPr>
        <w:t>ActiGraph</w:t>
      </w:r>
      <w:proofErr w:type="spellEnd"/>
      <w:r w:rsidR="00DE39F7">
        <w:rPr>
          <w:rFonts w:asciiTheme="majorBidi" w:hAnsiTheme="majorBidi" w:cstheme="majorBidi"/>
        </w:rPr>
        <w:t xml:space="preserve"> GTX</w:t>
      </w:r>
      <w:r w:rsidR="006A25E5">
        <w:rPr>
          <w:rFonts w:asciiTheme="majorBidi" w:hAnsiTheme="majorBidi" w:cstheme="majorBidi"/>
        </w:rPr>
        <w:t xml:space="preserve"> (</w:t>
      </w:r>
      <w:proofErr w:type="spellStart"/>
      <w:r w:rsidR="007D731D">
        <w:rPr>
          <w:rFonts w:asciiTheme="majorBidi" w:hAnsiTheme="majorBidi" w:cstheme="majorBidi"/>
        </w:rPr>
        <w:t>ActiGraph</w:t>
      </w:r>
      <w:proofErr w:type="spellEnd"/>
      <w:r w:rsidR="007D731D">
        <w:rPr>
          <w:rFonts w:asciiTheme="majorBidi" w:hAnsiTheme="majorBidi" w:cstheme="majorBidi"/>
        </w:rPr>
        <w:t xml:space="preserve"> Corp, </w:t>
      </w:r>
      <w:r w:rsidR="00DE39F7">
        <w:rPr>
          <w:rFonts w:asciiTheme="majorBidi" w:hAnsiTheme="majorBidi" w:cstheme="majorBidi"/>
        </w:rPr>
        <w:t xml:space="preserve">Pensacola, USA) </w:t>
      </w:r>
      <w:r w:rsidR="006D58B1">
        <w:rPr>
          <w:rFonts w:asciiTheme="majorBidi" w:hAnsiTheme="majorBidi" w:cstheme="majorBidi"/>
        </w:rPr>
        <w:t xml:space="preserve">and </w:t>
      </w:r>
      <w:r w:rsidR="006A25E5">
        <w:rPr>
          <w:rFonts w:asciiTheme="majorBidi" w:hAnsiTheme="majorBidi" w:cstheme="majorBidi"/>
        </w:rPr>
        <w:t xml:space="preserve">an </w:t>
      </w:r>
      <w:r w:rsidR="00C96C3A">
        <w:rPr>
          <w:rFonts w:asciiTheme="majorBidi" w:hAnsiTheme="majorBidi" w:cstheme="majorBidi"/>
        </w:rPr>
        <w:t>ActivPAL3</w:t>
      </w:r>
      <w:r w:rsidR="00A8440A" w:rsidRPr="00A8440A">
        <w:rPr>
          <w:rFonts w:asciiTheme="majorBidi" w:hAnsiTheme="majorBidi" w:cstheme="majorBidi"/>
          <w:vertAlign w:val="superscript"/>
        </w:rPr>
        <w:t xml:space="preserve"> </w:t>
      </w:r>
      <w:r w:rsidR="00A8440A" w:rsidRPr="00017AF1">
        <w:rPr>
          <w:rFonts w:asciiTheme="majorBidi" w:hAnsiTheme="majorBidi" w:cstheme="majorBidi"/>
          <w:vertAlign w:val="superscript"/>
        </w:rPr>
        <w:t>TM</w:t>
      </w:r>
      <w:r w:rsidR="00C96C3A">
        <w:rPr>
          <w:rFonts w:asciiTheme="majorBidi" w:hAnsiTheme="majorBidi" w:cstheme="majorBidi"/>
        </w:rPr>
        <w:t xml:space="preserve"> </w:t>
      </w:r>
      <w:r w:rsidR="006A25E5">
        <w:rPr>
          <w:rFonts w:asciiTheme="majorBidi" w:hAnsiTheme="majorBidi" w:cstheme="majorBidi"/>
        </w:rPr>
        <w:t>(</w:t>
      </w:r>
      <w:r w:rsidR="009D6B76">
        <w:rPr>
          <w:rFonts w:asciiTheme="majorBidi" w:hAnsiTheme="majorBidi" w:cstheme="majorBidi"/>
        </w:rPr>
        <w:t xml:space="preserve">PAL </w:t>
      </w:r>
      <w:r w:rsidR="008F066F">
        <w:rPr>
          <w:rFonts w:asciiTheme="majorBidi" w:hAnsiTheme="majorBidi" w:cstheme="majorBidi"/>
        </w:rPr>
        <w:t>T</w:t>
      </w:r>
      <w:r w:rsidR="009D6B76">
        <w:rPr>
          <w:rFonts w:asciiTheme="majorBidi" w:hAnsiTheme="majorBidi" w:cstheme="majorBidi"/>
        </w:rPr>
        <w:t>echnologies Ltd,</w:t>
      </w:r>
      <w:r w:rsidR="007D731D">
        <w:rPr>
          <w:rFonts w:asciiTheme="majorBidi" w:hAnsiTheme="majorBidi" w:cstheme="majorBidi"/>
        </w:rPr>
        <w:t xml:space="preserve"> Glasgow,</w:t>
      </w:r>
      <w:r w:rsidR="009D6B76">
        <w:rPr>
          <w:rFonts w:asciiTheme="majorBidi" w:hAnsiTheme="majorBidi" w:cstheme="majorBidi"/>
        </w:rPr>
        <w:t xml:space="preserve"> UK)</w:t>
      </w:r>
      <w:r w:rsidR="006D58B1">
        <w:rPr>
          <w:rFonts w:asciiTheme="majorBidi" w:hAnsiTheme="majorBidi" w:cstheme="majorBidi"/>
        </w:rPr>
        <w:t xml:space="preserve"> </w:t>
      </w:r>
      <w:r w:rsidR="003A5E5E">
        <w:rPr>
          <w:rFonts w:asciiTheme="majorBidi" w:hAnsiTheme="majorBidi" w:cstheme="majorBidi"/>
        </w:rPr>
        <w:t>which</w:t>
      </w:r>
      <w:r w:rsidR="003548CC">
        <w:rPr>
          <w:rFonts w:asciiTheme="majorBidi" w:hAnsiTheme="majorBidi" w:cstheme="majorBidi"/>
        </w:rPr>
        <w:t xml:space="preserve"> were subsequently worn for seven </w:t>
      </w:r>
      <w:r w:rsidR="001C4C17">
        <w:rPr>
          <w:rFonts w:asciiTheme="majorBidi" w:hAnsiTheme="majorBidi" w:cstheme="majorBidi"/>
        </w:rPr>
        <w:t xml:space="preserve">consecutive </w:t>
      </w:r>
      <w:r w:rsidR="003548CC">
        <w:rPr>
          <w:rFonts w:asciiTheme="majorBidi" w:hAnsiTheme="majorBidi" w:cstheme="majorBidi"/>
        </w:rPr>
        <w:t xml:space="preserve">days </w:t>
      </w:r>
      <w:r w:rsidR="001C4C17">
        <w:rPr>
          <w:rFonts w:asciiTheme="majorBidi" w:hAnsiTheme="majorBidi" w:cstheme="majorBidi"/>
        </w:rPr>
        <w:t>to assess</w:t>
      </w:r>
      <w:r w:rsidR="003548CC">
        <w:rPr>
          <w:rFonts w:asciiTheme="majorBidi" w:hAnsiTheme="majorBidi" w:cstheme="majorBidi"/>
        </w:rPr>
        <w:t xml:space="preserve"> habitual </w:t>
      </w:r>
      <w:r w:rsidR="006637D9">
        <w:rPr>
          <w:rFonts w:asciiTheme="majorBidi" w:hAnsiTheme="majorBidi" w:cstheme="majorBidi"/>
        </w:rPr>
        <w:t xml:space="preserve">physical activity and </w:t>
      </w:r>
      <w:r w:rsidR="0055578E">
        <w:rPr>
          <w:rFonts w:asciiTheme="majorBidi" w:hAnsiTheme="majorBidi" w:cstheme="majorBidi"/>
        </w:rPr>
        <w:t>sedentary behaviou</w:t>
      </w:r>
      <w:r w:rsidR="00936D19">
        <w:rPr>
          <w:rFonts w:asciiTheme="majorBidi" w:hAnsiTheme="majorBidi" w:cstheme="majorBidi"/>
        </w:rPr>
        <w:t>r</w:t>
      </w:r>
      <w:r w:rsidR="006A25E5">
        <w:rPr>
          <w:rFonts w:asciiTheme="majorBidi" w:hAnsiTheme="majorBidi" w:cstheme="majorBidi"/>
        </w:rPr>
        <w:t>, respectively</w:t>
      </w:r>
      <w:r w:rsidR="006637D9" w:rsidRPr="008E4135">
        <w:rPr>
          <w:rFonts w:asciiTheme="majorBidi" w:hAnsiTheme="majorBidi" w:cstheme="majorBidi"/>
        </w:rPr>
        <w:t xml:space="preserve">. </w:t>
      </w:r>
      <w:r w:rsidR="00FB0A9C">
        <w:rPr>
          <w:rFonts w:asciiTheme="majorBidi" w:hAnsiTheme="majorBidi" w:cstheme="majorBidi"/>
        </w:rPr>
        <w:t xml:space="preserve">A </w:t>
      </w:r>
      <w:r w:rsidR="003F0FBE">
        <w:rPr>
          <w:rFonts w:asciiTheme="majorBidi" w:hAnsiTheme="majorBidi" w:cstheme="majorBidi"/>
        </w:rPr>
        <w:t>three-day</w:t>
      </w:r>
      <w:r w:rsidR="00C540D4">
        <w:rPr>
          <w:rFonts w:asciiTheme="majorBidi" w:hAnsiTheme="majorBidi" w:cstheme="majorBidi"/>
        </w:rPr>
        <w:t xml:space="preserve"> </w:t>
      </w:r>
      <w:r w:rsidR="00FB0A9C">
        <w:rPr>
          <w:rFonts w:asciiTheme="majorBidi" w:hAnsiTheme="majorBidi" w:cstheme="majorBidi"/>
        </w:rPr>
        <w:t>weighed food record (two</w:t>
      </w:r>
      <w:r w:rsidR="0087506B">
        <w:rPr>
          <w:rFonts w:asciiTheme="majorBidi" w:hAnsiTheme="majorBidi" w:cstheme="majorBidi"/>
        </w:rPr>
        <w:t>-</w:t>
      </w:r>
      <w:r w:rsidR="00FB0A9C">
        <w:rPr>
          <w:rFonts w:asciiTheme="majorBidi" w:hAnsiTheme="majorBidi" w:cstheme="majorBidi"/>
        </w:rPr>
        <w:t>week days and one weekend day) was also completed during this time to estimate</w:t>
      </w:r>
      <w:r w:rsidR="00175D22">
        <w:rPr>
          <w:rFonts w:asciiTheme="majorBidi" w:hAnsiTheme="majorBidi" w:cstheme="majorBidi"/>
        </w:rPr>
        <w:t xml:space="preserve"> baseline</w:t>
      </w:r>
      <w:r w:rsidR="00AB167E">
        <w:rPr>
          <w:rFonts w:asciiTheme="majorBidi" w:hAnsiTheme="majorBidi" w:cstheme="majorBidi"/>
        </w:rPr>
        <w:t xml:space="preserve"> </w:t>
      </w:r>
      <w:r w:rsidR="00FB0A9C">
        <w:rPr>
          <w:rFonts w:asciiTheme="majorBidi" w:hAnsiTheme="majorBidi" w:cstheme="majorBidi"/>
        </w:rPr>
        <w:t>habitual energy</w:t>
      </w:r>
      <w:r w:rsidR="0077572B">
        <w:rPr>
          <w:rFonts w:asciiTheme="majorBidi" w:hAnsiTheme="majorBidi" w:cstheme="majorBidi"/>
        </w:rPr>
        <w:t xml:space="preserve"> and macronutrient</w:t>
      </w:r>
      <w:r w:rsidR="00FB0A9C">
        <w:rPr>
          <w:rFonts w:asciiTheme="majorBidi" w:hAnsiTheme="majorBidi" w:cstheme="majorBidi"/>
        </w:rPr>
        <w:t xml:space="preserve"> intake.</w:t>
      </w:r>
      <w:r w:rsidR="008222D5">
        <w:rPr>
          <w:rFonts w:asciiTheme="majorBidi" w:hAnsiTheme="majorBidi" w:cstheme="majorBidi"/>
        </w:rPr>
        <w:t xml:space="preserve"> </w:t>
      </w:r>
      <w:r w:rsidR="00E47670">
        <w:rPr>
          <w:rFonts w:asciiTheme="majorBidi" w:hAnsiTheme="majorBidi" w:cstheme="majorBidi"/>
        </w:rPr>
        <w:t>Food</w:t>
      </w:r>
      <w:r w:rsidR="00CC0AA3">
        <w:rPr>
          <w:rFonts w:asciiTheme="majorBidi" w:hAnsiTheme="majorBidi" w:cstheme="majorBidi"/>
        </w:rPr>
        <w:t xml:space="preserve"> records were </w:t>
      </w:r>
      <w:r w:rsidR="00DC7B63">
        <w:rPr>
          <w:rFonts w:asciiTheme="majorBidi" w:hAnsiTheme="majorBidi" w:cstheme="majorBidi"/>
        </w:rPr>
        <w:t xml:space="preserve">analysed for </w:t>
      </w:r>
      <w:r w:rsidR="00DD2153">
        <w:rPr>
          <w:rFonts w:asciiTheme="majorBidi" w:hAnsiTheme="majorBidi" w:cstheme="majorBidi"/>
        </w:rPr>
        <w:t xml:space="preserve">energy content and macronutrient </w:t>
      </w:r>
      <w:r w:rsidR="00DD2153" w:rsidRPr="000E1C62">
        <w:rPr>
          <w:rFonts w:asciiTheme="majorBidi" w:hAnsiTheme="majorBidi" w:cstheme="majorBidi"/>
        </w:rPr>
        <w:t xml:space="preserve">composition </w:t>
      </w:r>
      <w:r w:rsidR="00CA4CE4" w:rsidRPr="000E1C62">
        <w:rPr>
          <w:rFonts w:asciiTheme="majorBidi" w:hAnsiTheme="majorBidi" w:cstheme="majorBidi"/>
        </w:rPr>
        <w:t xml:space="preserve">as </w:t>
      </w:r>
      <w:r w:rsidR="00C76518" w:rsidRPr="000E1C62">
        <w:rPr>
          <w:rFonts w:asciiTheme="majorBidi" w:hAnsiTheme="majorBidi" w:cstheme="majorBidi"/>
        </w:rPr>
        <w:t xml:space="preserve">described previously </w:t>
      </w:r>
      <w:r w:rsidR="00495362" w:rsidRPr="000E1C62">
        <w:rPr>
          <w:rFonts w:asciiTheme="majorBidi" w:hAnsiTheme="majorBidi" w:cstheme="majorBidi"/>
        </w:rPr>
        <w:fldChar w:fldCharType="begin" w:fldLock="1"/>
      </w:r>
      <w:r w:rsidR="00495362" w:rsidRPr="000E1C62">
        <w:rPr>
          <w:rFonts w:asciiTheme="majorBidi" w:hAnsiTheme="majorBidi" w:cstheme="majorBidi"/>
        </w:rPr>
        <w:instrText>ADDIN CSL_CITATION { "citationItems" : [ { "id" : "ITEM-1", "itemData" : { "DOI" : "10.1017/S0007114514004097", "ISSN" : "0007-1145", "abstract" : "The purpose of the present study was to determine whether probiotic supplementation ( Lactobacillus casei Shirota (LcS)) prevents diet-induced insulin resistance in human subjects. A total of seventeen healthy subjects were randomised to either a probiotic ( n 8) or a control ( n 9) group. The probiotic group consumed a LcS-fermented milk drink twice daily for 4 weeks, whereas the control group received no supplementation. Subjects maintained their normal diet for the first 3 weeks of the study, after which they consumed a high-fat (65 % of energy), high-energy (50 % increase in energy intake) diet for 7 d. Whole-body insulin sensitivity was assessed by an oral glucose tolerance test conducted before and after overfeeding. Body mass increased by 0\u00b76 ( se 0\u00b72) kg in the control group ( P &lt; 0\u00b705) and by 0\u00b73 ( se 0\u00b72) kg in the probiotic group ( P &gt;0\u00b705). Fasting plasma glucose concentrations increased following 7 d of overeating (control group: 5\u00b73 ( se 0\u00b71) v . 5\u00b76 ( se 0\u00b72) mmol/l before and after overfeeding, respectively, P &lt; 0\u00b705), whereas fasting serum insulin concentrations were maintained in both groups. Glucose AUC values increased by 10 % (from 817 ( se 45) to 899 ( se 39) mmol/l per 120 min, P &lt; 0\u00b705) and whole-body insulin sensitivity decreased by 27 % (from 5\u00b73 ( se 1\u00b74) to 3\u00b79 ( se 0\u00b79), P &lt; 0\u00b705) in the control group, whereas normal insulin sensitivity was maintained in the probiotic group (4\u00b74 ( se 0\u00b78) and 4\u00b75 ( se 0\u00b79) before and after overeating, respectively ( P &gt;0\u00b705). These results suggest that probiotic supplementation may be useful in the prevention of diet-induced metabolic diseases such as type 2 diabetes.", "author" : [ { "dropping-particle" : "", "family" : "Hulston", "given" : "Carl J.", "non-dropping-particle" : "", "parse-names" : false, "suffix" : "" }, { "dropping-particle" : "", "family" : "Churnside", "given" : "Amelia A.", "non-dropping-particle" : "", "parse-names" : false, "suffix" : "" }, { "dropping-particle" : "", "family" : "Venables", "given" : "Michelle C.", "non-dropping-particle" : "", "parse-names" : false, "suffix" : "" } ], "container-title" : "British Journal of Nutrition", "id" : "ITEM-1", "issue" : "4", "issued" : { "date-parts" : [ [ "2015", "2", "28" ] ] }, "page" : "596-602", "title" : "Probiotic supplementation prevents high-fat, overfeeding-induced insulin resistance in human subjects", "type" : "article-journal", "volume" : "113" }, "uris" : [ "http://www.mendeley.com/documents/?uuid=f149bc48-873f-40a9-ad6c-79998cfe0e4e" ] } ], "mendeley" : { "formattedCitation" : "(29)", "plainTextFormattedCitation" : "(29)", "previouslyFormattedCitation" : "(29)" }, "properties" : { "noteIndex" : 8 }, "schema" : "https://github.com/citation-style-language/schema/raw/master/csl-citation.json" }</w:instrText>
      </w:r>
      <w:r w:rsidR="00495362" w:rsidRPr="000E1C62">
        <w:rPr>
          <w:rFonts w:asciiTheme="majorBidi" w:hAnsiTheme="majorBidi" w:cstheme="majorBidi"/>
        </w:rPr>
        <w:fldChar w:fldCharType="separate"/>
      </w:r>
      <w:r w:rsidR="00495362" w:rsidRPr="000E1C62">
        <w:rPr>
          <w:rFonts w:asciiTheme="majorBidi" w:hAnsiTheme="majorBidi" w:cstheme="majorBidi"/>
          <w:noProof/>
        </w:rPr>
        <w:t>(29)</w:t>
      </w:r>
      <w:r w:rsidR="00495362" w:rsidRPr="000E1C62">
        <w:rPr>
          <w:rFonts w:asciiTheme="majorBidi" w:hAnsiTheme="majorBidi" w:cstheme="majorBidi"/>
        </w:rPr>
        <w:fldChar w:fldCharType="end"/>
      </w:r>
      <w:r w:rsidR="004074F3" w:rsidRPr="00495362">
        <w:rPr>
          <w:rFonts w:asciiTheme="majorBidi" w:hAnsiTheme="majorBidi" w:cstheme="majorBidi"/>
        </w:rPr>
        <w:t>.</w:t>
      </w:r>
    </w:p>
    <w:p w14:paraId="10F608EB" w14:textId="0891B5F0" w:rsidR="006F6142" w:rsidRDefault="00EB729A" w:rsidP="00F6013C">
      <w:pPr>
        <w:spacing w:line="480" w:lineRule="auto"/>
        <w:jc w:val="both"/>
        <w:rPr>
          <w:rFonts w:asciiTheme="majorBidi" w:hAnsiTheme="majorBidi" w:cstheme="majorBidi"/>
          <w:i/>
          <w:iCs/>
        </w:rPr>
      </w:pPr>
      <w:r>
        <w:rPr>
          <w:rFonts w:asciiTheme="majorBidi" w:hAnsiTheme="majorBidi" w:cstheme="majorBidi"/>
          <w:i/>
          <w:iCs/>
        </w:rPr>
        <w:lastRenderedPageBreak/>
        <w:t>Study design</w:t>
      </w:r>
      <w:r w:rsidR="00432DF1">
        <w:rPr>
          <w:rFonts w:asciiTheme="majorBidi" w:hAnsiTheme="majorBidi" w:cstheme="majorBidi"/>
          <w:i/>
          <w:iCs/>
        </w:rPr>
        <w:t xml:space="preserve"> </w:t>
      </w:r>
      <w:r w:rsidR="00934C45">
        <w:rPr>
          <w:rFonts w:asciiTheme="majorBidi" w:hAnsiTheme="majorBidi" w:cstheme="majorBidi"/>
          <w:i/>
          <w:iCs/>
        </w:rPr>
        <w:t>and</w:t>
      </w:r>
      <w:r w:rsidR="00432DF1">
        <w:rPr>
          <w:rFonts w:asciiTheme="majorBidi" w:hAnsiTheme="majorBidi" w:cstheme="majorBidi"/>
          <w:i/>
          <w:iCs/>
        </w:rPr>
        <w:t xml:space="preserve"> procedures</w:t>
      </w:r>
    </w:p>
    <w:p w14:paraId="2308619D" w14:textId="47C23AF3" w:rsidR="001B5318" w:rsidRDefault="00BA62E7" w:rsidP="00F6013C">
      <w:pPr>
        <w:spacing w:line="480" w:lineRule="auto"/>
        <w:jc w:val="both"/>
        <w:rPr>
          <w:rFonts w:asciiTheme="majorBidi" w:hAnsiTheme="majorBidi" w:cstheme="majorBidi"/>
        </w:rPr>
      </w:pPr>
      <w:r>
        <w:rPr>
          <w:rFonts w:asciiTheme="majorBidi" w:hAnsiTheme="majorBidi" w:cstheme="majorBidi"/>
        </w:rPr>
        <w:t>T</w:t>
      </w:r>
      <w:r w:rsidR="00B41C5E">
        <w:rPr>
          <w:rFonts w:asciiTheme="majorBidi" w:hAnsiTheme="majorBidi" w:cstheme="majorBidi"/>
        </w:rPr>
        <w:t>he present</w:t>
      </w:r>
      <w:r w:rsidR="001D065A">
        <w:rPr>
          <w:rFonts w:asciiTheme="majorBidi" w:hAnsiTheme="majorBidi" w:cstheme="majorBidi"/>
        </w:rPr>
        <w:t xml:space="preserve"> study</w:t>
      </w:r>
      <w:r>
        <w:rPr>
          <w:rFonts w:asciiTheme="majorBidi" w:hAnsiTheme="majorBidi" w:cstheme="majorBidi"/>
        </w:rPr>
        <w:t xml:space="preserve"> employed </w:t>
      </w:r>
      <w:r w:rsidR="001D065A">
        <w:rPr>
          <w:rFonts w:asciiTheme="majorBidi" w:hAnsiTheme="majorBidi" w:cstheme="majorBidi"/>
        </w:rPr>
        <w:t>a</w:t>
      </w:r>
      <w:r w:rsidR="00D26889">
        <w:rPr>
          <w:rFonts w:asciiTheme="majorBidi" w:hAnsiTheme="majorBidi" w:cstheme="majorBidi"/>
        </w:rPr>
        <w:t xml:space="preserve"> </w:t>
      </w:r>
      <w:r w:rsidR="009C488B">
        <w:rPr>
          <w:rFonts w:asciiTheme="majorBidi" w:hAnsiTheme="majorBidi" w:cstheme="majorBidi"/>
        </w:rPr>
        <w:t>randomised</w:t>
      </w:r>
      <w:r w:rsidR="004A6566">
        <w:rPr>
          <w:rFonts w:asciiTheme="majorBidi" w:hAnsiTheme="majorBidi" w:cstheme="majorBidi"/>
        </w:rPr>
        <w:t>-counterbalanced</w:t>
      </w:r>
      <w:r w:rsidR="009C488B">
        <w:rPr>
          <w:rFonts w:asciiTheme="majorBidi" w:hAnsiTheme="majorBidi" w:cstheme="majorBidi"/>
        </w:rPr>
        <w:t xml:space="preserve"> crossover design</w:t>
      </w:r>
      <w:r w:rsidR="006633DF">
        <w:rPr>
          <w:rFonts w:asciiTheme="majorBidi" w:hAnsiTheme="majorBidi" w:cstheme="majorBidi"/>
        </w:rPr>
        <w:t>,</w:t>
      </w:r>
      <w:r w:rsidR="009C488B">
        <w:rPr>
          <w:rFonts w:asciiTheme="majorBidi" w:hAnsiTheme="majorBidi" w:cstheme="majorBidi"/>
        </w:rPr>
        <w:t xml:space="preserve"> whereby each participant </w:t>
      </w:r>
      <w:r w:rsidR="00A076F0">
        <w:rPr>
          <w:rFonts w:asciiTheme="majorBidi" w:hAnsiTheme="majorBidi" w:cstheme="majorBidi"/>
        </w:rPr>
        <w:t xml:space="preserve">completed two, </w:t>
      </w:r>
      <w:r w:rsidR="00730C2A">
        <w:rPr>
          <w:rFonts w:asciiTheme="majorBidi" w:hAnsiTheme="majorBidi" w:cstheme="majorBidi"/>
        </w:rPr>
        <w:t>seven-day</w:t>
      </w:r>
      <w:r w:rsidR="00A076F0">
        <w:rPr>
          <w:rFonts w:asciiTheme="majorBidi" w:hAnsiTheme="majorBidi" w:cstheme="majorBidi"/>
        </w:rPr>
        <w:t xml:space="preserve"> dietary interventions</w:t>
      </w:r>
      <w:r w:rsidR="0082643E">
        <w:rPr>
          <w:rFonts w:asciiTheme="majorBidi" w:hAnsiTheme="majorBidi" w:cstheme="majorBidi"/>
        </w:rPr>
        <w:t xml:space="preserve"> </w:t>
      </w:r>
      <w:r w:rsidR="00731491">
        <w:rPr>
          <w:rFonts w:asciiTheme="majorBidi" w:hAnsiTheme="majorBidi" w:cstheme="majorBidi"/>
        </w:rPr>
        <w:t>(hyper-energetic, high-fat diet</w:t>
      </w:r>
      <w:r w:rsidR="00C6336A">
        <w:rPr>
          <w:rFonts w:asciiTheme="majorBidi" w:hAnsiTheme="majorBidi" w:cstheme="majorBidi"/>
        </w:rPr>
        <w:t xml:space="preserve"> </w:t>
      </w:r>
      <w:r w:rsidR="00EB2F1E">
        <w:rPr>
          <w:rFonts w:asciiTheme="majorBidi" w:hAnsiTheme="majorBidi" w:cstheme="majorBidi"/>
        </w:rPr>
        <w:t>[</w:t>
      </w:r>
      <w:r w:rsidR="00C6336A">
        <w:rPr>
          <w:rFonts w:asciiTheme="majorBidi" w:hAnsiTheme="majorBidi" w:cstheme="majorBidi"/>
        </w:rPr>
        <w:t>HE-HFD</w:t>
      </w:r>
      <w:r w:rsidR="00EB2F1E">
        <w:rPr>
          <w:rFonts w:asciiTheme="majorBidi" w:hAnsiTheme="majorBidi" w:cstheme="majorBidi"/>
        </w:rPr>
        <w:t>]</w:t>
      </w:r>
      <w:r w:rsidR="00C6336A">
        <w:rPr>
          <w:rFonts w:asciiTheme="majorBidi" w:hAnsiTheme="majorBidi" w:cstheme="majorBidi"/>
        </w:rPr>
        <w:t xml:space="preserve"> and</w:t>
      </w:r>
      <w:r w:rsidR="00034A83">
        <w:rPr>
          <w:rFonts w:asciiTheme="majorBidi" w:hAnsiTheme="majorBidi" w:cstheme="majorBidi"/>
        </w:rPr>
        <w:t xml:space="preserve"> control diet</w:t>
      </w:r>
      <w:r w:rsidR="00C6336A">
        <w:rPr>
          <w:rFonts w:asciiTheme="majorBidi" w:hAnsiTheme="majorBidi" w:cstheme="majorBidi"/>
        </w:rPr>
        <w:t xml:space="preserve">) </w:t>
      </w:r>
      <w:r w:rsidR="0082643E">
        <w:rPr>
          <w:rFonts w:asciiTheme="majorBidi" w:hAnsiTheme="majorBidi" w:cstheme="majorBidi"/>
        </w:rPr>
        <w:t xml:space="preserve">separated by a </w:t>
      </w:r>
      <w:r w:rsidR="00730C2A">
        <w:rPr>
          <w:rFonts w:asciiTheme="majorBidi" w:hAnsiTheme="majorBidi" w:cstheme="majorBidi"/>
        </w:rPr>
        <w:t>three-week washout period</w:t>
      </w:r>
      <w:r w:rsidR="00292C36">
        <w:rPr>
          <w:rFonts w:asciiTheme="majorBidi" w:hAnsiTheme="majorBidi" w:cstheme="majorBidi"/>
        </w:rPr>
        <w:t xml:space="preserve">. </w:t>
      </w:r>
      <w:r w:rsidR="003040A9">
        <w:rPr>
          <w:rFonts w:asciiTheme="majorBidi" w:hAnsiTheme="majorBidi" w:cstheme="majorBidi"/>
        </w:rPr>
        <w:t xml:space="preserve">Figure 1 provides a schematic illustration of the study </w:t>
      </w:r>
      <w:r w:rsidR="00CA3ABB">
        <w:rPr>
          <w:rFonts w:asciiTheme="majorBidi" w:hAnsiTheme="majorBidi" w:cstheme="majorBidi"/>
        </w:rPr>
        <w:t>design and procedures</w:t>
      </w:r>
      <w:r w:rsidR="003040A9">
        <w:rPr>
          <w:rFonts w:asciiTheme="majorBidi" w:hAnsiTheme="majorBidi" w:cstheme="majorBidi"/>
        </w:rPr>
        <w:t>.</w:t>
      </w:r>
    </w:p>
    <w:p w14:paraId="0DB33A7B" w14:textId="43198F2A" w:rsidR="009D324A" w:rsidRDefault="009D324A" w:rsidP="00F6013C">
      <w:pPr>
        <w:spacing w:line="480" w:lineRule="auto"/>
        <w:jc w:val="both"/>
        <w:rPr>
          <w:rFonts w:asciiTheme="majorBidi" w:hAnsiTheme="majorBidi" w:cstheme="majorBidi"/>
        </w:rPr>
      </w:pPr>
    </w:p>
    <w:p w14:paraId="46961CBE" w14:textId="578FF4EC" w:rsidR="009D324A" w:rsidRPr="009D324A" w:rsidRDefault="009D324A" w:rsidP="009D324A">
      <w:pPr>
        <w:spacing w:line="480" w:lineRule="auto"/>
        <w:jc w:val="center"/>
        <w:rPr>
          <w:rFonts w:asciiTheme="majorBidi" w:hAnsiTheme="majorBidi" w:cstheme="majorBidi"/>
          <w:b/>
          <w:i/>
        </w:rPr>
      </w:pPr>
      <w:r>
        <w:rPr>
          <w:rFonts w:asciiTheme="majorBidi" w:hAnsiTheme="majorBidi" w:cstheme="majorBidi"/>
          <w:b/>
          <w:i/>
        </w:rPr>
        <w:t>Insert figure 1</w:t>
      </w:r>
    </w:p>
    <w:p w14:paraId="2793CB87" w14:textId="77777777" w:rsidR="009D324A" w:rsidRDefault="009D324A" w:rsidP="00F6013C">
      <w:pPr>
        <w:spacing w:line="480" w:lineRule="auto"/>
        <w:jc w:val="both"/>
        <w:rPr>
          <w:rFonts w:asciiTheme="majorBidi" w:hAnsiTheme="majorBidi" w:cstheme="majorBidi"/>
        </w:rPr>
      </w:pPr>
    </w:p>
    <w:p w14:paraId="397294C1" w14:textId="5CF1AC1C" w:rsidR="00624727" w:rsidRPr="00624727" w:rsidRDefault="0029445F" w:rsidP="00F6013C">
      <w:pPr>
        <w:spacing w:line="480" w:lineRule="auto"/>
        <w:jc w:val="both"/>
        <w:rPr>
          <w:rFonts w:asciiTheme="majorBidi" w:hAnsiTheme="majorBidi" w:cstheme="majorBidi"/>
        </w:rPr>
      </w:pPr>
      <w:r>
        <w:rPr>
          <w:rFonts w:asciiTheme="majorBidi" w:hAnsiTheme="majorBidi" w:cstheme="majorBidi"/>
        </w:rPr>
        <w:t xml:space="preserve">Within each dietary </w:t>
      </w:r>
      <w:r w:rsidR="009279F5">
        <w:rPr>
          <w:rFonts w:asciiTheme="majorBidi" w:hAnsiTheme="majorBidi" w:cstheme="majorBidi"/>
        </w:rPr>
        <w:t>intervention</w:t>
      </w:r>
      <w:r>
        <w:rPr>
          <w:rFonts w:asciiTheme="majorBidi" w:hAnsiTheme="majorBidi" w:cstheme="majorBidi"/>
        </w:rPr>
        <w:t>, participants attended four laboratory visits</w:t>
      </w:r>
      <w:r w:rsidR="00F05969">
        <w:rPr>
          <w:rFonts w:asciiTheme="majorBidi" w:hAnsiTheme="majorBidi" w:cstheme="majorBidi"/>
        </w:rPr>
        <w:t xml:space="preserve"> which occurred </w:t>
      </w:r>
      <w:r w:rsidR="00FA02F5">
        <w:rPr>
          <w:rFonts w:asciiTheme="majorBidi" w:hAnsiTheme="majorBidi" w:cstheme="majorBidi"/>
        </w:rPr>
        <w:t>on the morning of the first day of each diet</w:t>
      </w:r>
      <w:r w:rsidR="00690F77">
        <w:rPr>
          <w:rFonts w:asciiTheme="majorBidi" w:hAnsiTheme="majorBidi" w:cstheme="majorBidi"/>
        </w:rPr>
        <w:t xml:space="preserve"> </w:t>
      </w:r>
      <w:r w:rsidR="00690F77" w:rsidRPr="007E6B9A">
        <w:rPr>
          <w:rFonts w:asciiTheme="majorBidi" w:hAnsiTheme="majorBidi" w:cstheme="majorBidi"/>
        </w:rPr>
        <w:t>(</w:t>
      </w:r>
      <w:r w:rsidR="003B48BD">
        <w:rPr>
          <w:rFonts w:asciiTheme="majorBidi" w:hAnsiTheme="majorBidi" w:cstheme="majorBidi"/>
        </w:rPr>
        <w:t>pre-diet</w:t>
      </w:r>
      <w:r w:rsidR="00FA02F5">
        <w:rPr>
          <w:rFonts w:asciiTheme="majorBidi" w:hAnsiTheme="majorBidi" w:cstheme="majorBidi"/>
        </w:rPr>
        <w:t xml:space="preserve">), </w:t>
      </w:r>
      <w:r w:rsidR="00416F50">
        <w:rPr>
          <w:rFonts w:asciiTheme="majorBidi" w:hAnsiTheme="majorBidi" w:cstheme="majorBidi"/>
        </w:rPr>
        <w:t xml:space="preserve">and </w:t>
      </w:r>
      <w:r w:rsidR="00B21275">
        <w:rPr>
          <w:rFonts w:asciiTheme="majorBidi" w:hAnsiTheme="majorBidi" w:cstheme="majorBidi"/>
        </w:rPr>
        <w:t xml:space="preserve">subsequently </w:t>
      </w:r>
      <w:r w:rsidR="00416F50">
        <w:rPr>
          <w:rFonts w:asciiTheme="majorBidi" w:hAnsiTheme="majorBidi" w:cstheme="majorBidi"/>
        </w:rPr>
        <w:t>on the morning after one, three and seven</w:t>
      </w:r>
      <w:r w:rsidR="00956305">
        <w:rPr>
          <w:rFonts w:asciiTheme="majorBidi" w:hAnsiTheme="majorBidi" w:cstheme="majorBidi"/>
        </w:rPr>
        <w:t>-</w:t>
      </w:r>
      <w:r w:rsidR="00416F50" w:rsidRPr="000E1C62">
        <w:rPr>
          <w:rFonts w:asciiTheme="majorBidi" w:hAnsiTheme="majorBidi" w:cstheme="majorBidi"/>
        </w:rPr>
        <w:t>day</w:t>
      </w:r>
      <w:r w:rsidR="00956305" w:rsidRPr="000E1C62">
        <w:rPr>
          <w:rFonts w:asciiTheme="majorBidi" w:hAnsiTheme="majorBidi" w:cstheme="majorBidi"/>
        </w:rPr>
        <w:t>s</w:t>
      </w:r>
      <w:r w:rsidR="0037170A" w:rsidRPr="000E1C62">
        <w:rPr>
          <w:rFonts w:asciiTheme="majorBidi" w:hAnsiTheme="majorBidi" w:cstheme="majorBidi"/>
        </w:rPr>
        <w:t xml:space="preserve"> (post-diet)</w:t>
      </w:r>
      <w:r w:rsidR="002F42E3" w:rsidRPr="000E1C62">
        <w:rPr>
          <w:rFonts w:asciiTheme="majorBidi" w:hAnsiTheme="majorBidi" w:cstheme="majorBidi"/>
        </w:rPr>
        <w:t xml:space="preserve"> </w:t>
      </w:r>
      <w:r w:rsidR="00416F50" w:rsidRPr="000E1C62">
        <w:rPr>
          <w:rFonts w:asciiTheme="majorBidi" w:hAnsiTheme="majorBidi" w:cstheme="majorBidi"/>
        </w:rPr>
        <w:t>of each</w:t>
      </w:r>
      <w:r w:rsidR="00416F50">
        <w:rPr>
          <w:rFonts w:asciiTheme="majorBidi" w:hAnsiTheme="majorBidi" w:cstheme="majorBidi"/>
        </w:rPr>
        <w:t xml:space="preserve"> diet. </w:t>
      </w:r>
      <w:r w:rsidR="003C57C7">
        <w:rPr>
          <w:rFonts w:asciiTheme="majorBidi" w:hAnsiTheme="majorBidi" w:cstheme="majorBidi"/>
        </w:rPr>
        <w:t>Participants attended each visit</w:t>
      </w:r>
      <w:r w:rsidR="00660AAA">
        <w:rPr>
          <w:rFonts w:asciiTheme="majorBidi" w:hAnsiTheme="majorBidi" w:cstheme="majorBidi"/>
        </w:rPr>
        <w:t xml:space="preserve"> </w:t>
      </w:r>
      <w:r w:rsidR="0026522C">
        <w:rPr>
          <w:rFonts w:asciiTheme="majorBidi" w:hAnsiTheme="majorBidi" w:cstheme="majorBidi"/>
        </w:rPr>
        <w:t>following an overnight fast (</w:t>
      </w:r>
      <w:r w:rsidR="0026522C">
        <w:rPr>
          <w:rFonts w:ascii="Times New Roman" w:hAnsi="Times New Roman" w:cs="Times New Roman"/>
        </w:rPr>
        <w:t>≥</w:t>
      </w:r>
      <w:r w:rsidR="0026522C">
        <w:rPr>
          <w:rFonts w:asciiTheme="majorBidi" w:hAnsiTheme="majorBidi" w:cstheme="majorBidi"/>
        </w:rPr>
        <w:t xml:space="preserve"> 10 h) and having abstained from caffeine, alcohol and exercise in the prior 24 h</w:t>
      </w:r>
      <w:r w:rsidR="002E2B6F">
        <w:rPr>
          <w:rFonts w:asciiTheme="majorBidi" w:hAnsiTheme="majorBidi" w:cstheme="majorBidi"/>
        </w:rPr>
        <w:t xml:space="preserve">. </w:t>
      </w:r>
      <w:r w:rsidR="00E908A2">
        <w:rPr>
          <w:rFonts w:asciiTheme="majorBidi" w:hAnsiTheme="majorBidi" w:cstheme="majorBidi"/>
        </w:rPr>
        <w:t>During</w:t>
      </w:r>
      <w:r w:rsidR="00286046">
        <w:rPr>
          <w:rFonts w:asciiTheme="majorBidi" w:hAnsiTheme="majorBidi" w:cstheme="majorBidi"/>
        </w:rPr>
        <w:t xml:space="preserve"> each visit, a fasting venous blood sample was obtain</w:t>
      </w:r>
      <w:r w:rsidR="003518A2">
        <w:rPr>
          <w:rFonts w:asciiTheme="majorBidi" w:hAnsiTheme="majorBidi" w:cstheme="majorBidi"/>
        </w:rPr>
        <w:t>ed</w:t>
      </w:r>
      <w:r w:rsidR="00D04D7D">
        <w:rPr>
          <w:rFonts w:asciiTheme="majorBidi" w:hAnsiTheme="majorBidi" w:cstheme="majorBidi"/>
        </w:rPr>
        <w:t xml:space="preserve">. </w:t>
      </w:r>
      <w:r w:rsidR="00BE0AF3">
        <w:rPr>
          <w:rFonts w:asciiTheme="majorBidi" w:hAnsiTheme="majorBidi" w:cstheme="majorBidi"/>
        </w:rPr>
        <w:t xml:space="preserve">At the </w:t>
      </w:r>
      <w:r w:rsidR="003B48BD">
        <w:rPr>
          <w:rFonts w:asciiTheme="majorBidi" w:hAnsiTheme="majorBidi" w:cstheme="majorBidi"/>
        </w:rPr>
        <w:t>pre-</w:t>
      </w:r>
      <w:r w:rsidR="00BE0AF3">
        <w:rPr>
          <w:rFonts w:asciiTheme="majorBidi" w:hAnsiTheme="majorBidi" w:cstheme="majorBidi"/>
        </w:rPr>
        <w:t xml:space="preserve"> </w:t>
      </w:r>
      <w:r w:rsidR="00723D5E">
        <w:rPr>
          <w:rFonts w:asciiTheme="majorBidi" w:hAnsiTheme="majorBidi" w:cstheme="majorBidi"/>
        </w:rPr>
        <w:t xml:space="preserve">and </w:t>
      </w:r>
      <w:r w:rsidR="00BE0AF3">
        <w:rPr>
          <w:rFonts w:asciiTheme="majorBidi" w:hAnsiTheme="majorBidi" w:cstheme="majorBidi"/>
        </w:rPr>
        <w:t>post-</w:t>
      </w:r>
      <w:r w:rsidR="003B48BD">
        <w:rPr>
          <w:rFonts w:asciiTheme="majorBidi" w:hAnsiTheme="majorBidi" w:cstheme="majorBidi"/>
        </w:rPr>
        <w:t>diet</w:t>
      </w:r>
      <w:r w:rsidR="00BE0AF3">
        <w:rPr>
          <w:rFonts w:asciiTheme="majorBidi" w:hAnsiTheme="majorBidi" w:cstheme="majorBidi"/>
        </w:rPr>
        <w:t xml:space="preserve"> visits, </w:t>
      </w:r>
      <w:r w:rsidR="00723D5E">
        <w:rPr>
          <w:rFonts w:asciiTheme="majorBidi" w:hAnsiTheme="majorBidi" w:cstheme="majorBidi"/>
        </w:rPr>
        <w:t>body mass</w:t>
      </w:r>
      <w:r w:rsidR="00BE0AF3">
        <w:rPr>
          <w:rFonts w:asciiTheme="majorBidi" w:hAnsiTheme="majorBidi" w:cstheme="majorBidi"/>
        </w:rPr>
        <w:t xml:space="preserve"> </w:t>
      </w:r>
      <w:r w:rsidR="00886A24">
        <w:rPr>
          <w:rFonts w:asciiTheme="majorBidi" w:hAnsiTheme="majorBidi" w:cstheme="majorBidi"/>
        </w:rPr>
        <w:t>and blood pressure were</w:t>
      </w:r>
      <w:r w:rsidR="00246DFE">
        <w:rPr>
          <w:rFonts w:asciiTheme="majorBidi" w:hAnsiTheme="majorBidi" w:cstheme="majorBidi"/>
        </w:rPr>
        <w:t xml:space="preserve"> assessed</w:t>
      </w:r>
      <w:r w:rsidR="0089435C">
        <w:rPr>
          <w:rFonts w:asciiTheme="majorBidi" w:hAnsiTheme="majorBidi" w:cstheme="majorBidi"/>
        </w:rPr>
        <w:t>;</w:t>
      </w:r>
      <w:r w:rsidR="00BE0AF3">
        <w:rPr>
          <w:rFonts w:asciiTheme="majorBidi" w:hAnsiTheme="majorBidi" w:cstheme="majorBidi"/>
        </w:rPr>
        <w:t xml:space="preserve"> whilst</w:t>
      </w:r>
      <w:r w:rsidR="00F938B9">
        <w:rPr>
          <w:rFonts w:asciiTheme="majorBidi" w:hAnsiTheme="majorBidi" w:cstheme="majorBidi"/>
        </w:rPr>
        <w:t xml:space="preserve"> </w:t>
      </w:r>
      <w:r w:rsidR="00BE0AF3">
        <w:rPr>
          <w:rFonts w:asciiTheme="majorBidi" w:hAnsiTheme="majorBidi" w:cstheme="majorBidi"/>
        </w:rPr>
        <w:t>r</w:t>
      </w:r>
      <w:r w:rsidR="006F763B">
        <w:rPr>
          <w:rFonts w:asciiTheme="majorBidi" w:hAnsiTheme="majorBidi" w:cstheme="majorBidi"/>
        </w:rPr>
        <w:t>esting metabolic rate</w:t>
      </w:r>
      <w:r w:rsidR="00F85DB5">
        <w:rPr>
          <w:rFonts w:asciiTheme="majorBidi" w:hAnsiTheme="majorBidi" w:cstheme="majorBidi"/>
        </w:rPr>
        <w:t xml:space="preserve"> (RMR)</w:t>
      </w:r>
      <w:r w:rsidR="006F763B">
        <w:rPr>
          <w:rFonts w:asciiTheme="majorBidi" w:hAnsiTheme="majorBidi" w:cstheme="majorBidi"/>
        </w:rPr>
        <w:t xml:space="preserve"> and </w:t>
      </w:r>
      <w:r w:rsidR="007E0FF7">
        <w:rPr>
          <w:rFonts w:asciiTheme="majorBidi" w:hAnsiTheme="majorBidi" w:cstheme="majorBidi"/>
        </w:rPr>
        <w:t xml:space="preserve">substrate oxidation </w:t>
      </w:r>
      <w:r w:rsidR="009F4D8B" w:rsidRPr="009242F1">
        <w:rPr>
          <w:rFonts w:asciiTheme="majorBidi" w:hAnsiTheme="majorBidi" w:cstheme="majorBidi"/>
        </w:rPr>
        <w:fldChar w:fldCharType="begin" w:fldLock="1"/>
      </w:r>
      <w:r w:rsidR="00495362">
        <w:rPr>
          <w:rFonts w:asciiTheme="majorBidi" w:hAnsiTheme="majorBidi" w:cstheme="majorBidi"/>
        </w:rPr>
        <w:instrText>ADDIN CSL_CITATION { "citationItems" : [ { "id" : "ITEM-1", "itemData" : { "DOI" : "10.1152/jappl.1983.55.2.628", "ISBN" : "0161-7567 (Print)\\r0161-7567 (Linking)", "ISSN" : "8750-7587", "PMID" : "6618956", "abstract" : "This paper reviews the assumptions involved in calculating rates of carbohydrate and fat oxidation from measurements of O2 consumption, CO2 production, and urinary nitrogen excretion. It is shown that erroneous results are obtained in the presence of metabolic processes such as lipogenesis and gluconeogenesis. The apparent rates calculated under these conditions can, however, be interpreted as net rates of \"utilization.\" Thus the apparent rate of carbohydrate oxidation is the sum of the rates of utilization for oxidation and for lipogenesis minus the rate at which carbohydrate is formed from amino acids. The apparent rate of fat oxidation is the difference between the rates of oxidation and synthesis from carbohydrate, so that the apparently negative rates encountered in patients infused with glucose do quantitatively represent net rates of synthesis. Other processes such as synthesis of ketone bodies or lactate at rates greater than their utilization can also disturb the calculations, but the magnitude of the effect can be estimated from appropriate measurements. Methods of correcting the observed gaseous exchange in these circumstances are given.", "author" : [ { "dropping-particle" : "", "family" : "Frayn", "given" : "K N", "non-dropping-particle" : "", "parse-names" : false, "suffix" : "" } ], "container-title" : "Journal of Applied Physiology", "id" : "ITEM-1", "issue" : "2", "issued" : { "date-parts" : [ [ "1983", "8" ] ] }, "page" : "628-634", "title" : "Calculation of substrate oxidation rates in vivo from gaseous exchange", "type" : "article-journal", "volume" : "55" }, "uris" : [ "http://www.mendeley.com/documents/?uuid=7c2a70d3-6cdd-48bf-82ac-68b02448db14" ] } ], "mendeley" : { "formattedCitation" : "(30)", "plainTextFormattedCitation" : "(30)", "previouslyFormattedCitation" : "(30)" }, "properties" : { "noteIndex" : 8 }, "schema" : "https://github.com/citation-style-language/schema/raw/master/csl-citation.json" }</w:instrText>
      </w:r>
      <w:r w:rsidR="009F4D8B" w:rsidRPr="009242F1">
        <w:rPr>
          <w:rFonts w:asciiTheme="majorBidi" w:hAnsiTheme="majorBidi" w:cstheme="majorBidi"/>
        </w:rPr>
        <w:fldChar w:fldCharType="separate"/>
      </w:r>
      <w:r w:rsidR="00495362" w:rsidRPr="00495362">
        <w:rPr>
          <w:rFonts w:asciiTheme="majorBidi" w:hAnsiTheme="majorBidi" w:cstheme="majorBidi"/>
          <w:noProof/>
        </w:rPr>
        <w:t>(30)</w:t>
      </w:r>
      <w:r w:rsidR="009F4D8B" w:rsidRPr="009242F1">
        <w:rPr>
          <w:rFonts w:asciiTheme="majorBidi" w:hAnsiTheme="majorBidi" w:cstheme="majorBidi"/>
        </w:rPr>
        <w:fldChar w:fldCharType="end"/>
      </w:r>
      <w:r w:rsidR="00DC622B">
        <w:rPr>
          <w:rFonts w:asciiTheme="majorBidi" w:hAnsiTheme="majorBidi" w:cstheme="majorBidi"/>
        </w:rPr>
        <w:t xml:space="preserve"> </w:t>
      </w:r>
      <w:r w:rsidR="007E0FF7">
        <w:rPr>
          <w:rFonts w:asciiTheme="majorBidi" w:hAnsiTheme="majorBidi" w:cstheme="majorBidi"/>
        </w:rPr>
        <w:t xml:space="preserve">were </w:t>
      </w:r>
      <w:r w:rsidR="00701E3C">
        <w:rPr>
          <w:rFonts w:asciiTheme="majorBidi" w:hAnsiTheme="majorBidi" w:cstheme="majorBidi"/>
        </w:rPr>
        <w:t xml:space="preserve">also </w:t>
      </w:r>
      <w:r w:rsidR="007E0FF7">
        <w:rPr>
          <w:rFonts w:asciiTheme="majorBidi" w:hAnsiTheme="majorBidi" w:cstheme="majorBidi"/>
        </w:rPr>
        <w:t>measur</w:t>
      </w:r>
      <w:r w:rsidR="00D05547">
        <w:rPr>
          <w:rFonts w:asciiTheme="majorBidi" w:hAnsiTheme="majorBidi" w:cstheme="majorBidi"/>
        </w:rPr>
        <w:t>ed</w:t>
      </w:r>
      <w:r w:rsidR="007E0FF7">
        <w:rPr>
          <w:rFonts w:asciiTheme="majorBidi" w:hAnsiTheme="majorBidi" w:cstheme="majorBidi"/>
        </w:rPr>
        <w:t xml:space="preserve"> using </w:t>
      </w:r>
      <w:r w:rsidR="00701E3C">
        <w:rPr>
          <w:rFonts w:asciiTheme="majorBidi" w:hAnsiTheme="majorBidi" w:cstheme="majorBidi"/>
        </w:rPr>
        <w:t xml:space="preserve">indirect calorimetry. </w:t>
      </w:r>
      <w:r w:rsidR="00BE0AF3">
        <w:rPr>
          <w:rFonts w:asciiTheme="majorBidi" w:hAnsiTheme="majorBidi" w:cstheme="majorBidi"/>
        </w:rPr>
        <w:t>Furthermore</w:t>
      </w:r>
      <w:r w:rsidR="006A49D5">
        <w:rPr>
          <w:rFonts w:asciiTheme="majorBidi" w:hAnsiTheme="majorBidi" w:cstheme="majorBidi"/>
        </w:rPr>
        <w:t>,</w:t>
      </w:r>
      <w:r w:rsidR="00070076">
        <w:rPr>
          <w:rFonts w:asciiTheme="majorBidi" w:hAnsiTheme="majorBidi" w:cstheme="majorBidi"/>
        </w:rPr>
        <w:t xml:space="preserve"> </w:t>
      </w:r>
      <w:r w:rsidR="00C20024">
        <w:rPr>
          <w:rFonts w:asciiTheme="majorBidi" w:hAnsiTheme="majorBidi" w:cstheme="majorBidi"/>
        </w:rPr>
        <w:t xml:space="preserve">whole-body </w:t>
      </w:r>
      <w:r w:rsidR="00E50FA3">
        <w:rPr>
          <w:rFonts w:asciiTheme="majorBidi" w:hAnsiTheme="majorBidi" w:cstheme="majorBidi"/>
        </w:rPr>
        <w:t xml:space="preserve">insulin </w:t>
      </w:r>
      <w:r w:rsidR="00E50FA3" w:rsidRPr="000E1C62">
        <w:rPr>
          <w:rFonts w:asciiTheme="majorBidi" w:hAnsiTheme="majorBidi" w:cstheme="majorBidi"/>
        </w:rPr>
        <w:t>sensit</w:t>
      </w:r>
      <w:r w:rsidR="00CB721A" w:rsidRPr="000E1C62">
        <w:rPr>
          <w:rFonts w:asciiTheme="majorBidi" w:hAnsiTheme="majorBidi" w:cstheme="majorBidi"/>
        </w:rPr>
        <w:t>ivity</w:t>
      </w:r>
      <w:r w:rsidR="003D4143" w:rsidRPr="000E1C62">
        <w:rPr>
          <w:rFonts w:asciiTheme="majorBidi" w:hAnsiTheme="majorBidi" w:cstheme="majorBidi"/>
        </w:rPr>
        <w:t xml:space="preserve"> was </w:t>
      </w:r>
      <w:r w:rsidR="0022381B" w:rsidRPr="000E1C62">
        <w:rPr>
          <w:rFonts w:asciiTheme="majorBidi" w:hAnsiTheme="majorBidi" w:cstheme="majorBidi"/>
        </w:rPr>
        <w:t xml:space="preserve">assessed </w:t>
      </w:r>
      <w:r w:rsidR="00C20024" w:rsidRPr="000E1C62">
        <w:rPr>
          <w:rFonts w:asciiTheme="majorBidi" w:hAnsiTheme="majorBidi" w:cstheme="majorBidi"/>
        </w:rPr>
        <w:t>using</w:t>
      </w:r>
      <w:r w:rsidR="0022381B" w:rsidRPr="000E1C62">
        <w:rPr>
          <w:rFonts w:asciiTheme="majorBidi" w:hAnsiTheme="majorBidi" w:cstheme="majorBidi"/>
        </w:rPr>
        <w:t xml:space="preserve"> an oral glucose tolerance test</w:t>
      </w:r>
      <w:r w:rsidR="007C69C9" w:rsidRPr="000E1C62">
        <w:rPr>
          <w:rFonts w:asciiTheme="majorBidi" w:hAnsiTheme="majorBidi" w:cstheme="majorBidi"/>
        </w:rPr>
        <w:t xml:space="preserve"> (OGTT</w:t>
      </w:r>
      <w:r w:rsidR="009F4311" w:rsidRPr="000E1C62">
        <w:rPr>
          <w:rFonts w:asciiTheme="majorBidi" w:hAnsiTheme="majorBidi" w:cstheme="majorBidi"/>
        </w:rPr>
        <w:t xml:space="preserve">; </w:t>
      </w:r>
      <w:r w:rsidR="004510BA" w:rsidRPr="000E1C62">
        <w:rPr>
          <w:rFonts w:asciiTheme="majorBidi" w:hAnsiTheme="majorBidi" w:cstheme="majorBidi"/>
        </w:rPr>
        <w:fldChar w:fldCharType="begin" w:fldLock="1"/>
      </w:r>
      <w:r w:rsidR="004510BA" w:rsidRPr="000E1C62">
        <w:rPr>
          <w:rFonts w:asciiTheme="majorBidi" w:hAnsiTheme="majorBidi" w:cstheme="majorBidi"/>
        </w:rPr>
        <w:instrText>ADDIN CSL_CITATION { "citationItems" : [ { "id" : "ITEM-1", "itemData" : { "DOI" : "10.1017/S0007114514004097", "ISSN" : "0007-1145", "abstract" : "The purpose of the present study was to determine whether probiotic supplementation ( Lactobacillus casei Shirota (LcS)) prevents diet-induced insulin resistance in human subjects. A total of seventeen healthy subjects were randomised to either a probiotic ( n 8) or a control ( n 9) group. The probiotic group consumed a LcS-fermented milk drink twice daily for 4 weeks, whereas the control group received no supplementation. Subjects maintained their normal diet for the first 3 weeks of the study, after which they consumed a high-fat (65 % of energy), high-energy (50 % increase in energy intake) diet for 7 d. Whole-body insulin sensitivity was assessed by an oral glucose tolerance test conducted before and after overfeeding. Body mass increased by 0\u00b76 ( se 0\u00b72) kg in the control group ( P &lt; 0\u00b705) and by 0\u00b73 ( se 0\u00b72) kg in the probiotic group ( P &gt;0\u00b705). Fasting plasma glucose concentrations increased following 7 d of overeating (control group: 5\u00b73 ( se 0\u00b71) v . 5\u00b76 ( se 0\u00b72) mmol/l before and after overfeeding, respectively, P &lt; 0\u00b705), whereas fasting serum insulin concentrations were maintained in both groups. Glucose AUC values increased by 10 % (from 817 ( se 45) to 899 ( se 39) mmol/l per 120 min, P &lt; 0\u00b705) and whole-body insulin sensitivity decreased by 27 % (from 5\u00b73 ( se 1\u00b74) to 3\u00b79 ( se 0\u00b79), P &lt; 0\u00b705) in the control group, whereas normal insulin sensitivity was maintained in the probiotic group (4\u00b74 ( se 0\u00b78) and 4\u00b75 ( se 0\u00b79) before and after overeating, respectively ( P &gt;0\u00b705). These results suggest that probiotic supplementation may be useful in the prevention of diet-induced metabolic diseases such as type 2 diabetes.", "author" : [ { "dropping-particle" : "", "family" : "Hulston", "given" : "Carl J.", "non-dropping-particle" : "", "parse-names" : false, "suffix" : "" }, { "dropping-particle" : "", "family" : "Churnside", "given" : "Amelia A.", "non-dropping-particle" : "", "parse-names" : false, "suffix" : "" }, { "dropping-particle" : "", "family" : "Venables", "given" : "Michelle C.", "non-dropping-particle" : "", "parse-names" : false, "suffix" : "" } ], "container-title" : "British Journal of Nutrition", "id" : "ITEM-1", "issue" : "4", "issued" : { "date-parts" : [ [ "2015", "2", "28" ] ] }, "page" : "596-602", "title" : "Probiotic supplementation prevents high-fat, overfeeding-induced insulin resistance in human subjects", "type" : "article-journal", "volume" : "113" }, "uris" : [ "http://www.mendeley.com/documents/?uuid=f149bc48-873f-40a9-ad6c-79998cfe0e4e" ] } ], "mendeley" : { "formattedCitation" : "(29)", "manualFormatting" : "29)", "plainTextFormattedCitation" : "(29)", "previouslyFormattedCitation" : "(29)" }, "properties" : { "noteIndex" : 9 }, "schema" : "https://github.com/citation-style-language/schema/raw/master/csl-citation.json" }</w:instrText>
      </w:r>
      <w:r w:rsidR="004510BA" w:rsidRPr="000E1C62">
        <w:rPr>
          <w:rFonts w:asciiTheme="majorBidi" w:hAnsiTheme="majorBidi" w:cstheme="majorBidi"/>
        </w:rPr>
        <w:fldChar w:fldCharType="separate"/>
      </w:r>
      <w:r w:rsidR="004510BA" w:rsidRPr="000E1C62">
        <w:rPr>
          <w:rFonts w:asciiTheme="majorBidi" w:hAnsiTheme="majorBidi" w:cstheme="majorBidi"/>
          <w:noProof/>
        </w:rPr>
        <w:t>29)</w:t>
      </w:r>
      <w:r w:rsidR="004510BA" w:rsidRPr="000E1C62">
        <w:rPr>
          <w:rFonts w:asciiTheme="majorBidi" w:hAnsiTheme="majorBidi" w:cstheme="majorBidi"/>
        </w:rPr>
        <w:fldChar w:fldCharType="end"/>
      </w:r>
      <w:r w:rsidR="0022381B" w:rsidRPr="000E1C62">
        <w:rPr>
          <w:rFonts w:asciiTheme="majorBidi" w:hAnsiTheme="majorBidi" w:cstheme="majorBidi"/>
        </w:rPr>
        <w:t xml:space="preserve">. </w:t>
      </w:r>
      <w:r w:rsidR="00BA38A7" w:rsidRPr="000E1C62">
        <w:rPr>
          <w:rFonts w:asciiTheme="majorBidi" w:hAnsiTheme="majorBidi" w:cstheme="majorBidi"/>
        </w:rPr>
        <w:t xml:space="preserve">During </w:t>
      </w:r>
      <w:r w:rsidR="00C15952" w:rsidRPr="000E1C62">
        <w:rPr>
          <w:rFonts w:asciiTheme="majorBidi" w:hAnsiTheme="majorBidi" w:cstheme="majorBidi"/>
        </w:rPr>
        <w:t>the OGTT</w:t>
      </w:r>
      <w:r w:rsidR="00BA38A7" w:rsidRPr="000E1C62">
        <w:rPr>
          <w:rFonts w:asciiTheme="majorBidi" w:hAnsiTheme="majorBidi" w:cstheme="majorBidi"/>
        </w:rPr>
        <w:t>, venous blood samples were drawn from a cannula</w:t>
      </w:r>
      <w:r w:rsidR="006D6AF2" w:rsidRPr="000E1C62">
        <w:rPr>
          <w:rFonts w:asciiTheme="majorBidi" w:hAnsiTheme="majorBidi" w:cstheme="majorBidi"/>
        </w:rPr>
        <w:t xml:space="preserve"> inserted into an antecubital vein</w:t>
      </w:r>
      <w:r w:rsidR="00A61D6C" w:rsidRPr="000E1C62">
        <w:rPr>
          <w:rFonts w:asciiTheme="majorBidi" w:hAnsiTheme="majorBidi" w:cstheme="majorBidi"/>
        </w:rPr>
        <w:t xml:space="preserve"> </w:t>
      </w:r>
      <w:r w:rsidR="00822DD5" w:rsidRPr="000E1C62">
        <w:rPr>
          <w:rFonts w:asciiTheme="majorBidi" w:hAnsiTheme="majorBidi" w:cstheme="majorBidi"/>
        </w:rPr>
        <w:t>(21 g</w:t>
      </w:r>
      <w:r w:rsidR="00513C0C" w:rsidRPr="000E1C62">
        <w:rPr>
          <w:rFonts w:asciiTheme="majorBidi" w:hAnsiTheme="majorBidi" w:cstheme="majorBidi"/>
        </w:rPr>
        <w:t>;</w:t>
      </w:r>
      <w:r w:rsidR="00DD0AB1" w:rsidRPr="000E1C62">
        <w:rPr>
          <w:rFonts w:asciiTheme="majorBidi" w:hAnsiTheme="majorBidi" w:cstheme="majorBidi"/>
        </w:rPr>
        <w:t xml:space="preserve"> </w:t>
      </w:r>
      <w:proofErr w:type="spellStart"/>
      <w:r w:rsidR="00DD0AB1" w:rsidRPr="000E1C62">
        <w:rPr>
          <w:rFonts w:asciiTheme="majorBidi" w:hAnsiTheme="majorBidi" w:cstheme="majorBidi"/>
        </w:rPr>
        <w:t>Venflon</w:t>
      </w:r>
      <w:proofErr w:type="spellEnd"/>
      <w:r w:rsidR="00DD0AB1" w:rsidRPr="000E1C62">
        <w:rPr>
          <w:rFonts w:asciiTheme="majorBidi" w:hAnsiTheme="majorBidi" w:cstheme="majorBidi"/>
        </w:rPr>
        <w:t>, Bec</w:t>
      </w:r>
      <w:r w:rsidR="00822DD5" w:rsidRPr="000E1C62">
        <w:rPr>
          <w:rFonts w:asciiTheme="majorBidi" w:hAnsiTheme="majorBidi" w:cstheme="majorBidi"/>
        </w:rPr>
        <w:t xml:space="preserve">ton </w:t>
      </w:r>
      <w:r w:rsidR="00513C0C" w:rsidRPr="000E1C62">
        <w:rPr>
          <w:rFonts w:asciiTheme="majorBidi" w:hAnsiTheme="majorBidi" w:cstheme="majorBidi"/>
        </w:rPr>
        <w:t>Dickinson</w:t>
      </w:r>
      <w:r w:rsidR="00822DD5" w:rsidRPr="000E1C62">
        <w:rPr>
          <w:rFonts w:asciiTheme="majorBidi" w:hAnsiTheme="majorBidi" w:cstheme="majorBidi"/>
        </w:rPr>
        <w:t>,</w:t>
      </w:r>
      <w:r w:rsidR="007D63DA" w:rsidRPr="000E1C62">
        <w:rPr>
          <w:rFonts w:asciiTheme="majorBidi" w:hAnsiTheme="majorBidi" w:cstheme="majorBidi"/>
        </w:rPr>
        <w:t xml:space="preserve"> </w:t>
      </w:r>
      <w:r w:rsidR="00A14C16" w:rsidRPr="000E1C62">
        <w:rPr>
          <w:rFonts w:asciiTheme="majorBidi" w:hAnsiTheme="majorBidi" w:cstheme="majorBidi"/>
        </w:rPr>
        <w:t>Helsingborg,</w:t>
      </w:r>
      <w:r w:rsidR="00513C0C" w:rsidRPr="000E1C62">
        <w:rPr>
          <w:rFonts w:asciiTheme="majorBidi" w:hAnsiTheme="majorBidi" w:cstheme="majorBidi"/>
        </w:rPr>
        <w:t xml:space="preserve"> Sweden)</w:t>
      </w:r>
      <w:r w:rsidR="00822DD5" w:rsidRPr="000E1C62">
        <w:rPr>
          <w:rFonts w:asciiTheme="majorBidi" w:hAnsiTheme="majorBidi" w:cstheme="majorBidi"/>
        </w:rPr>
        <w:t xml:space="preserve"> </w:t>
      </w:r>
      <w:r w:rsidR="00576251" w:rsidRPr="000E1C62">
        <w:rPr>
          <w:rFonts w:asciiTheme="majorBidi" w:hAnsiTheme="majorBidi" w:cstheme="majorBidi"/>
        </w:rPr>
        <w:t>at the following time points:</w:t>
      </w:r>
      <w:r w:rsidR="00CB297C" w:rsidRPr="000E1C62">
        <w:rPr>
          <w:rFonts w:asciiTheme="majorBidi" w:hAnsiTheme="majorBidi" w:cstheme="majorBidi"/>
        </w:rPr>
        <w:t xml:space="preserve"> </w:t>
      </w:r>
      <w:r w:rsidR="00CF48C5" w:rsidRPr="000E1C62">
        <w:rPr>
          <w:rFonts w:asciiTheme="majorBidi" w:hAnsiTheme="majorBidi" w:cstheme="majorBidi"/>
        </w:rPr>
        <w:t>0</w:t>
      </w:r>
      <w:r w:rsidR="00CB297C" w:rsidRPr="000E1C62">
        <w:rPr>
          <w:rFonts w:asciiTheme="majorBidi" w:hAnsiTheme="majorBidi" w:cstheme="majorBidi"/>
        </w:rPr>
        <w:t xml:space="preserve">, </w:t>
      </w:r>
      <w:r w:rsidR="00A61D6C" w:rsidRPr="000E1C62">
        <w:rPr>
          <w:rFonts w:asciiTheme="majorBidi" w:hAnsiTheme="majorBidi" w:cstheme="majorBidi"/>
        </w:rPr>
        <w:t>30, 60, 90</w:t>
      </w:r>
      <w:r w:rsidR="00CB297C" w:rsidRPr="000E1C62">
        <w:rPr>
          <w:rFonts w:asciiTheme="majorBidi" w:hAnsiTheme="majorBidi" w:cstheme="majorBidi"/>
        </w:rPr>
        <w:t xml:space="preserve"> and</w:t>
      </w:r>
      <w:r w:rsidR="00A61D6C" w:rsidRPr="000E1C62">
        <w:rPr>
          <w:rFonts w:asciiTheme="majorBidi" w:hAnsiTheme="majorBidi" w:cstheme="majorBidi"/>
        </w:rPr>
        <w:t xml:space="preserve"> 120 min</w:t>
      </w:r>
      <w:r w:rsidR="008C4946" w:rsidRPr="000E1C62">
        <w:rPr>
          <w:rFonts w:asciiTheme="majorBidi" w:hAnsiTheme="majorBidi" w:cstheme="majorBidi"/>
        </w:rPr>
        <w:t>.</w:t>
      </w:r>
      <w:r w:rsidR="001C0C0E" w:rsidRPr="000E1C62">
        <w:rPr>
          <w:rFonts w:asciiTheme="majorBidi" w:hAnsiTheme="majorBidi" w:cstheme="majorBidi"/>
        </w:rPr>
        <w:t xml:space="preserve"> </w:t>
      </w:r>
      <w:r w:rsidR="002B40F6" w:rsidRPr="000E1C62">
        <w:rPr>
          <w:rFonts w:asciiTheme="majorBidi" w:hAnsiTheme="majorBidi" w:cstheme="majorBidi"/>
        </w:rPr>
        <w:t>Within</w:t>
      </w:r>
      <w:r w:rsidR="00C12D80" w:rsidRPr="000E1C62">
        <w:rPr>
          <w:rFonts w:asciiTheme="majorBidi" w:hAnsiTheme="majorBidi" w:cstheme="majorBidi"/>
        </w:rPr>
        <w:t xml:space="preserve"> each dietary </w:t>
      </w:r>
      <w:r w:rsidR="006C11B4" w:rsidRPr="000E1C62">
        <w:rPr>
          <w:rFonts w:asciiTheme="majorBidi" w:hAnsiTheme="majorBidi" w:cstheme="majorBidi"/>
        </w:rPr>
        <w:t>intervention</w:t>
      </w:r>
      <w:r w:rsidR="00C12D80" w:rsidRPr="000E1C62">
        <w:rPr>
          <w:rFonts w:asciiTheme="majorBidi" w:hAnsiTheme="majorBidi" w:cstheme="majorBidi"/>
        </w:rPr>
        <w:t xml:space="preserve">, </w:t>
      </w:r>
      <w:r w:rsidR="00BD5544" w:rsidRPr="000E1C62">
        <w:rPr>
          <w:rFonts w:asciiTheme="majorBidi" w:hAnsiTheme="majorBidi" w:cstheme="majorBidi"/>
        </w:rPr>
        <w:t xml:space="preserve">participants were </w:t>
      </w:r>
      <w:r w:rsidR="00D05516" w:rsidRPr="000E1C62">
        <w:rPr>
          <w:rFonts w:asciiTheme="majorBidi" w:hAnsiTheme="majorBidi" w:cstheme="majorBidi"/>
        </w:rPr>
        <w:t xml:space="preserve">strictly </w:t>
      </w:r>
      <w:r w:rsidR="00BD5544" w:rsidRPr="000E1C62">
        <w:rPr>
          <w:rFonts w:asciiTheme="majorBidi" w:hAnsiTheme="majorBidi" w:cstheme="majorBidi"/>
        </w:rPr>
        <w:t xml:space="preserve">instructed not to alter their </w:t>
      </w:r>
      <w:r w:rsidR="00A93C60" w:rsidRPr="000E1C62">
        <w:rPr>
          <w:rFonts w:asciiTheme="majorBidi" w:hAnsiTheme="majorBidi" w:cstheme="majorBidi"/>
        </w:rPr>
        <w:t>habitual physical activity levels</w:t>
      </w:r>
      <w:r w:rsidR="00BD5544">
        <w:rPr>
          <w:rFonts w:asciiTheme="majorBidi" w:hAnsiTheme="majorBidi" w:cstheme="majorBidi"/>
        </w:rPr>
        <w:t xml:space="preserve">. </w:t>
      </w:r>
      <w:r w:rsidR="00F17BE0">
        <w:rPr>
          <w:rFonts w:asciiTheme="majorBidi" w:hAnsiTheme="majorBidi" w:cstheme="majorBidi"/>
        </w:rPr>
        <w:t xml:space="preserve">Habitual physical activity and </w:t>
      </w:r>
      <w:r w:rsidR="0055578E">
        <w:rPr>
          <w:rFonts w:asciiTheme="majorBidi" w:hAnsiTheme="majorBidi" w:cstheme="majorBidi"/>
        </w:rPr>
        <w:t>sedentary behaviour</w:t>
      </w:r>
      <w:r w:rsidR="00F17BE0">
        <w:rPr>
          <w:rFonts w:asciiTheme="majorBidi" w:hAnsiTheme="majorBidi" w:cstheme="majorBidi"/>
        </w:rPr>
        <w:t xml:space="preserve"> were measured con</w:t>
      </w:r>
      <w:r w:rsidR="00A61AF1">
        <w:rPr>
          <w:rFonts w:asciiTheme="majorBidi" w:hAnsiTheme="majorBidi" w:cstheme="majorBidi"/>
        </w:rPr>
        <w:t>tinuously</w:t>
      </w:r>
      <w:r w:rsidR="009961DF">
        <w:rPr>
          <w:rFonts w:asciiTheme="majorBidi" w:hAnsiTheme="majorBidi" w:cstheme="majorBidi"/>
        </w:rPr>
        <w:t xml:space="preserve"> throughout</w:t>
      </w:r>
      <w:r w:rsidR="008A1639">
        <w:rPr>
          <w:rFonts w:asciiTheme="majorBidi" w:hAnsiTheme="majorBidi" w:cstheme="majorBidi"/>
        </w:rPr>
        <w:t xml:space="preserve"> each </w:t>
      </w:r>
      <w:r w:rsidR="00B63D50">
        <w:rPr>
          <w:rFonts w:asciiTheme="majorBidi" w:hAnsiTheme="majorBidi" w:cstheme="majorBidi"/>
        </w:rPr>
        <w:t>intervention period</w:t>
      </w:r>
      <w:r w:rsidR="00A61AF1">
        <w:rPr>
          <w:rFonts w:asciiTheme="majorBidi" w:hAnsiTheme="majorBidi" w:cstheme="majorBidi"/>
        </w:rPr>
        <w:t xml:space="preserve"> using </w:t>
      </w:r>
      <w:r w:rsidR="009961DF">
        <w:rPr>
          <w:rFonts w:asciiTheme="majorBidi" w:hAnsiTheme="majorBidi" w:cstheme="majorBidi"/>
        </w:rPr>
        <w:t>an accelerometer and inclinometer</w:t>
      </w:r>
      <w:r w:rsidR="00A61AF1">
        <w:rPr>
          <w:rFonts w:asciiTheme="majorBidi" w:hAnsiTheme="majorBidi" w:cstheme="majorBidi"/>
        </w:rPr>
        <w:t xml:space="preserve"> to </w:t>
      </w:r>
      <w:r w:rsidR="00153B40">
        <w:rPr>
          <w:rFonts w:asciiTheme="majorBidi" w:hAnsiTheme="majorBidi" w:cstheme="majorBidi"/>
        </w:rPr>
        <w:t>assess</w:t>
      </w:r>
      <w:r w:rsidR="00A61AF1">
        <w:rPr>
          <w:rFonts w:asciiTheme="majorBidi" w:hAnsiTheme="majorBidi" w:cstheme="majorBidi"/>
        </w:rPr>
        <w:t xml:space="preserve"> compliance.</w:t>
      </w:r>
    </w:p>
    <w:p w14:paraId="3E5E63F1" w14:textId="535B366D" w:rsidR="008C0942" w:rsidRDefault="006F10B4" w:rsidP="00F6013C">
      <w:pPr>
        <w:spacing w:line="480" w:lineRule="auto"/>
        <w:jc w:val="both"/>
        <w:rPr>
          <w:rFonts w:asciiTheme="majorBidi" w:hAnsiTheme="majorBidi" w:cstheme="majorBidi"/>
          <w:i/>
          <w:iCs/>
        </w:rPr>
      </w:pPr>
      <w:r>
        <w:rPr>
          <w:rFonts w:asciiTheme="majorBidi" w:hAnsiTheme="majorBidi" w:cstheme="majorBidi"/>
          <w:i/>
          <w:iCs/>
        </w:rPr>
        <w:t xml:space="preserve">Dietary </w:t>
      </w:r>
      <w:r w:rsidR="00C035AE">
        <w:rPr>
          <w:rFonts w:asciiTheme="majorBidi" w:hAnsiTheme="majorBidi" w:cstheme="majorBidi"/>
          <w:i/>
          <w:iCs/>
        </w:rPr>
        <w:t>interventions</w:t>
      </w:r>
    </w:p>
    <w:p w14:paraId="328882BF" w14:textId="77777777" w:rsidR="00D735DB" w:rsidRDefault="00117F62" w:rsidP="00912FAF">
      <w:pPr>
        <w:spacing w:after="0" w:line="480" w:lineRule="auto"/>
        <w:jc w:val="both"/>
        <w:rPr>
          <w:rFonts w:asciiTheme="majorBidi" w:hAnsiTheme="majorBidi" w:cstheme="majorBidi"/>
        </w:rPr>
      </w:pPr>
      <w:r>
        <w:rPr>
          <w:rFonts w:asciiTheme="majorBidi" w:hAnsiTheme="majorBidi" w:cstheme="majorBidi"/>
        </w:rPr>
        <w:lastRenderedPageBreak/>
        <w:t xml:space="preserve">The HE-HFD and control diet were </w:t>
      </w:r>
      <w:r w:rsidR="00AD7104">
        <w:rPr>
          <w:rFonts w:asciiTheme="majorBidi" w:hAnsiTheme="majorBidi" w:cstheme="majorBidi"/>
        </w:rPr>
        <w:t>consumed across se</w:t>
      </w:r>
      <w:r w:rsidR="0000679F">
        <w:rPr>
          <w:rFonts w:asciiTheme="majorBidi" w:hAnsiTheme="majorBidi" w:cstheme="majorBidi"/>
        </w:rPr>
        <w:t>ven consecutive days within the</w:t>
      </w:r>
      <w:r w:rsidR="00AD7104">
        <w:rPr>
          <w:rFonts w:asciiTheme="majorBidi" w:hAnsiTheme="majorBidi" w:cstheme="majorBidi"/>
        </w:rPr>
        <w:t xml:space="preserve"> study. </w:t>
      </w:r>
    </w:p>
    <w:p w14:paraId="19F55120" w14:textId="18E0E68C" w:rsidR="009D324A" w:rsidRPr="000E1C62" w:rsidRDefault="009E34B0" w:rsidP="00F6013C">
      <w:pPr>
        <w:spacing w:line="480" w:lineRule="auto"/>
        <w:jc w:val="both"/>
        <w:rPr>
          <w:rFonts w:asciiTheme="majorBidi" w:hAnsiTheme="majorBidi" w:cstheme="majorBidi"/>
        </w:rPr>
      </w:pPr>
      <w:r>
        <w:rPr>
          <w:rFonts w:asciiTheme="majorBidi" w:hAnsiTheme="majorBidi" w:cstheme="majorBidi"/>
        </w:rPr>
        <w:t xml:space="preserve">In the </w:t>
      </w:r>
      <w:r w:rsidRPr="000E1C62">
        <w:rPr>
          <w:rFonts w:asciiTheme="majorBidi" w:hAnsiTheme="majorBidi" w:cstheme="majorBidi"/>
        </w:rPr>
        <w:t>HE-HFD</w:t>
      </w:r>
      <w:r w:rsidR="000114A1" w:rsidRPr="000E1C62">
        <w:rPr>
          <w:rFonts w:asciiTheme="majorBidi" w:hAnsiTheme="majorBidi" w:cstheme="majorBidi"/>
        </w:rPr>
        <w:t>, participants consumed 150% of their estimated daily energy requirement</w:t>
      </w:r>
      <w:r w:rsidR="006C40BF" w:rsidRPr="000E1C62">
        <w:rPr>
          <w:rFonts w:asciiTheme="majorBidi" w:hAnsiTheme="majorBidi" w:cstheme="majorBidi"/>
        </w:rPr>
        <w:t>. Of the total energy content,</w:t>
      </w:r>
      <w:r w:rsidR="004A0FFE" w:rsidRPr="000E1C62">
        <w:rPr>
          <w:rFonts w:asciiTheme="majorBidi" w:hAnsiTheme="majorBidi" w:cstheme="majorBidi"/>
        </w:rPr>
        <w:t xml:space="preserve"> </w:t>
      </w:r>
      <w:r w:rsidR="006C40BF" w:rsidRPr="000E1C62">
        <w:rPr>
          <w:rFonts w:asciiTheme="majorBidi" w:hAnsiTheme="majorBidi" w:cstheme="majorBidi"/>
        </w:rPr>
        <w:t xml:space="preserve">approximately </w:t>
      </w:r>
      <w:r w:rsidR="004A0FFE" w:rsidRPr="000E1C62">
        <w:rPr>
          <w:rFonts w:asciiTheme="majorBidi" w:hAnsiTheme="majorBidi" w:cstheme="majorBidi"/>
        </w:rPr>
        <w:t>65%</w:t>
      </w:r>
      <w:r w:rsidR="001514B4" w:rsidRPr="000E1C62">
        <w:rPr>
          <w:rFonts w:asciiTheme="majorBidi" w:hAnsiTheme="majorBidi" w:cstheme="majorBidi"/>
        </w:rPr>
        <w:t xml:space="preserve"> </w:t>
      </w:r>
      <w:r w:rsidR="006C40BF" w:rsidRPr="000E1C62">
        <w:rPr>
          <w:rFonts w:asciiTheme="majorBidi" w:hAnsiTheme="majorBidi" w:cstheme="majorBidi"/>
        </w:rPr>
        <w:t>was derived from</w:t>
      </w:r>
      <w:r w:rsidR="004A0FFE" w:rsidRPr="000E1C62">
        <w:rPr>
          <w:rFonts w:asciiTheme="majorBidi" w:hAnsiTheme="majorBidi" w:cstheme="majorBidi"/>
        </w:rPr>
        <w:t xml:space="preserve"> </w:t>
      </w:r>
      <w:r w:rsidR="00AF72E8" w:rsidRPr="000E1C62">
        <w:rPr>
          <w:rFonts w:asciiTheme="majorBidi" w:hAnsiTheme="majorBidi" w:cstheme="majorBidi"/>
        </w:rPr>
        <w:t>fat</w:t>
      </w:r>
      <w:r w:rsidR="00E72304" w:rsidRPr="000E1C62">
        <w:rPr>
          <w:rFonts w:asciiTheme="majorBidi" w:hAnsiTheme="majorBidi" w:cstheme="majorBidi"/>
        </w:rPr>
        <w:t xml:space="preserve"> (</w:t>
      </w:r>
      <w:r w:rsidR="003F2E67" w:rsidRPr="000E1C62">
        <w:rPr>
          <w:rFonts w:asciiTheme="majorBidi" w:hAnsiTheme="majorBidi" w:cstheme="majorBidi"/>
        </w:rPr>
        <w:t xml:space="preserve">32% </w:t>
      </w:r>
      <w:r w:rsidR="00944C4B" w:rsidRPr="000E1C62">
        <w:rPr>
          <w:rFonts w:asciiTheme="majorBidi" w:hAnsiTheme="majorBidi" w:cstheme="majorBidi"/>
        </w:rPr>
        <w:t xml:space="preserve">saturated fatty acids (SFA), </w:t>
      </w:r>
      <w:r w:rsidR="002D7317" w:rsidRPr="000E1C62">
        <w:rPr>
          <w:rFonts w:asciiTheme="majorBidi" w:hAnsiTheme="majorBidi" w:cstheme="majorBidi"/>
        </w:rPr>
        <w:t>26% monounsaturated fatty acids (</w:t>
      </w:r>
      <w:r w:rsidR="00156F4C" w:rsidRPr="000E1C62">
        <w:rPr>
          <w:rFonts w:asciiTheme="majorBidi" w:hAnsiTheme="majorBidi" w:cstheme="majorBidi"/>
        </w:rPr>
        <w:t>MUFA) and 8% polyunsaturated fatty acids</w:t>
      </w:r>
      <w:r w:rsidR="004B5A64" w:rsidRPr="000E1C62">
        <w:rPr>
          <w:rFonts w:asciiTheme="majorBidi" w:hAnsiTheme="majorBidi" w:cstheme="majorBidi"/>
        </w:rPr>
        <w:t xml:space="preserve"> (PUFA))</w:t>
      </w:r>
      <w:r w:rsidR="00AF72E8" w:rsidRPr="000E1C62">
        <w:rPr>
          <w:rFonts w:asciiTheme="majorBidi" w:hAnsiTheme="majorBidi" w:cstheme="majorBidi"/>
        </w:rPr>
        <w:t>, 21%</w:t>
      </w:r>
      <w:r w:rsidR="00373490" w:rsidRPr="000E1C62">
        <w:rPr>
          <w:rFonts w:asciiTheme="majorBidi" w:hAnsiTheme="majorBidi" w:cstheme="majorBidi"/>
        </w:rPr>
        <w:t xml:space="preserve"> </w:t>
      </w:r>
      <w:r w:rsidR="006C40BF" w:rsidRPr="000E1C62">
        <w:rPr>
          <w:rFonts w:asciiTheme="majorBidi" w:hAnsiTheme="majorBidi" w:cstheme="majorBidi"/>
        </w:rPr>
        <w:t>was derived from</w:t>
      </w:r>
      <w:r w:rsidR="00AF72E8" w:rsidRPr="000E1C62">
        <w:rPr>
          <w:rFonts w:asciiTheme="majorBidi" w:hAnsiTheme="majorBidi" w:cstheme="majorBidi"/>
        </w:rPr>
        <w:t xml:space="preserve"> carbohydrate and 14%</w:t>
      </w:r>
      <w:r w:rsidR="00373490" w:rsidRPr="000E1C62">
        <w:rPr>
          <w:rFonts w:asciiTheme="majorBidi" w:hAnsiTheme="majorBidi" w:cstheme="majorBidi"/>
        </w:rPr>
        <w:t xml:space="preserve"> </w:t>
      </w:r>
      <w:r w:rsidR="006C40BF" w:rsidRPr="000E1C62">
        <w:rPr>
          <w:rFonts w:asciiTheme="majorBidi" w:hAnsiTheme="majorBidi" w:cstheme="majorBidi"/>
        </w:rPr>
        <w:t>was derived from</w:t>
      </w:r>
      <w:r w:rsidR="00AF72E8" w:rsidRPr="000E1C62">
        <w:rPr>
          <w:rFonts w:asciiTheme="majorBidi" w:hAnsiTheme="majorBidi" w:cstheme="majorBidi"/>
        </w:rPr>
        <w:t xml:space="preserve"> </w:t>
      </w:r>
      <w:r w:rsidR="00A13D52" w:rsidRPr="000E1C62">
        <w:rPr>
          <w:rFonts w:asciiTheme="majorBidi" w:hAnsiTheme="majorBidi" w:cstheme="majorBidi"/>
        </w:rPr>
        <w:t>protein</w:t>
      </w:r>
      <w:r w:rsidR="004B5A64" w:rsidRPr="000E1C62">
        <w:rPr>
          <w:rFonts w:asciiTheme="majorBidi" w:hAnsiTheme="majorBidi" w:cstheme="majorBidi"/>
        </w:rPr>
        <w:t xml:space="preserve"> </w:t>
      </w:r>
      <w:r w:rsidR="006C3A9C" w:rsidRPr="000E1C62">
        <w:rPr>
          <w:rFonts w:asciiTheme="majorBidi" w:hAnsiTheme="majorBidi" w:cstheme="majorBidi"/>
        </w:rPr>
        <w:t>(</w:t>
      </w:r>
      <w:r w:rsidR="00D6345A" w:rsidRPr="000E1C62">
        <w:rPr>
          <w:rFonts w:asciiTheme="majorBidi" w:hAnsiTheme="majorBidi" w:cstheme="majorBidi"/>
        </w:rPr>
        <w:t xml:space="preserve">Table </w:t>
      </w:r>
      <w:r w:rsidR="005409E2" w:rsidRPr="000E1C62">
        <w:rPr>
          <w:rFonts w:asciiTheme="majorBidi" w:hAnsiTheme="majorBidi" w:cstheme="majorBidi"/>
        </w:rPr>
        <w:t>1</w:t>
      </w:r>
      <w:r w:rsidR="006C3A9C" w:rsidRPr="000E1C62">
        <w:rPr>
          <w:rFonts w:asciiTheme="majorBidi" w:hAnsiTheme="majorBidi" w:cstheme="majorBidi"/>
        </w:rPr>
        <w:t>)</w:t>
      </w:r>
      <w:r w:rsidR="00D32B57" w:rsidRPr="000E1C62">
        <w:rPr>
          <w:rFonts w:asciiTheme="majorBidi" w:hAnsiTheme="majorBidi" w:cstheme="majorBidi"/>
        </w:rPr>
        <w:t>.</w:t>
      </w:r>
      <w:r w:rsidR="006F3CE5" w:rsidRPr="000E1C62">
        <w:rPr>
          <w:rFonts w:asciiTheme="majorBidi" w:hAnsiTheme="majorBidi" w:cstheme="majorBidi"/>
        </w:rPr>
        <w:t xml:space="preserve"> An example of </w:t>
      </w:r>
      <w:r w:rsidR="00DF680C" w:rsidRPr="000E1C62">
        <w:rPr>
          <w:rFonts w:asciiTheme="majorBidi" w:hAnsiTheme="majorBidi" w:cstheme="majorBidi"/>
        </w:rPr>
        <w:t xml:space="preserve">the two-day rotating menu </w:t>
      </w:r>
      <w:r w:rsidR="000A73BA" w:rsidRPr="000E1C62">
        <w:rPr>
          <w:rFonts w:asciiTheme="majorBidi" w:hAnsiTheme="majorBidi" w:cstheme="majorBidi"/>
        </w:rPr>
        <w:t>provided to participants during the HE-HFD</w:t>
      </w:r>
      <w:r w:rsidR="009A30D0" w:rsidRPr="000E1C62">
        <w:rPr>
          <w:rFonts w:asciiTheme="majorBidi" w:hAnsiTheme="majorBidi" w:cstheme="majorBidi"/>
        </w:rPr>
        <w:t xml:space="preserve"> can be seen in Supplemental Table 3.</w:t>
      </w:r>
      <w:r w:rsidR="00D32B57" w:rsidRPr="000E1C62">
        <w:rPr>
          <w:rFonts w:asciiTheme="majorBidi" w:hAnsiTheme="majorBidi" w:cstheme="majorBidi"/>
        </w:rPr>
        <w:t xml:space="preserve"> </w:t>
      </w:r>
      <w:r w:rsidR="00447136" w:rsidRPr="000E1C62">
        <w:rPr>
          <w:rFonts w:asciiTheme="majorBidi" w:hAnsiTheme="majorBidi" w:cstheme="majorBidi"/>
        </w:rPr>
        <w:t>Individuals’ dietary energy requirements</w:t>
      </w:r>
      <w:r w:rsidR="00E0097F" w:rsidRPr="000E1C62">
        <w:rPr>
          <w:rFonts w:asciiTheme="majorBidi" w:hAnsiTheme="majorBidi" w:cstheme="majorBidi"/>
        </w:rPr>
        <w:t xml:space="preserve"> </w:t>
      </w:r>
      <w:r w:rsidR="00447136" w:rsidRPr="000E1C62">
        <w:rPr>
          <w:rFonts w:asciiTheme="majorBidi" w:hAnsiTheme="majorBidi" w:cstheme="majorBidi"/>
        </w:rPr>
        <w:t xml:space="preserve">were </w:t>
      </w:r>
      <w:r w:rsidR="00E0097F" w:rsidRPr="000E1C62">
        <w:rPr>
          <w:rFonts w:asciiTheme="majorBidi" w:hAnsiTheme="majorBidi" w:cstheme="majorBidi"/>
        </w:rPr>
        <w:t>calculated</w:t>
      </w:r>
      <w:r w:rsidR="006D3F24" w:rsidRPr="000E1C62">
        <w:rPr>
          <w:rFonts w:asciiTheme="majorBidi" w:hAnsiTheme="majorBidi" w:cstheme="majorBidi"/>
        </w:rPr>
        <w:t xml:space="preserve"> </w:t>
      </w:r>
      <w:r w:rsidR="00B835CB" w:rsidRPr="000E1C62">
        <w:rPr>
          <w:rFonts w:asciiTheme="majorBidi" w:hAnsiTheme="majorBidi" w:cstheme="majorBidi"/>
        </w:rPr>
        <w:t xml:space="preserve">using published equations </w:t>
      </w:r>
      <w:r w:rsidR="009F4D8B" w:rsidRPr="000E1C62">
        <w:rPr>
          <w:rFonts w:asciiTheme="majorBidi" w:hAnsiTheme="majorBidi" w:cstheme="majorBidi"/>
        </w:rPr>
        <w:fldChar w:fldCharType="begin" w:fldLock="1"/>
      </w:r>
      <w:r w:rsidR="00495362" w:rsidRPr="000E1C62">
        <w:rPr>
          <w:rFonts w:asciiTheme="majorBidi" w:hAnsiTheme="majorBidi" w:cstheme="majorBidi"/>
        </w:rPr>
        <w:instrText>ADDIN CSL_CITATION { "citationItems" : [ { "id" : "ITEM-1", "itemData" : { "DOI" : "10.1093/ajcn/51.2.241", "ISSN" : "0002-9165", "author" : [ { "dropping-particle" : "", "family" : "Mifflin", "given" : "M D", "non-dropping-particle" : "", "parse-names" : false, "suffix" : "" }, { "dropping-particle" : "", "family" : "St Jeor", "given" : "S T", "non-dropping-particle" : "", "parse-names" : false, "suffix" : "" }, { "dropping-particle" : "", "family" : "Hill", "given" : "L A", "non-dropping-particle" : "", "parse-names" : false, "suffix" : "" }, { "dropping-particle" : "", "family" : "Scott", "given" : "Barbara J", "non-dropping-particle" : "", "parse-names" : false, "suffix" : "" }, { "dropping-particle" : "", "family" : "Daugherty", "given" : "S A", "non-dropping-particle" : "", "parse-names" : false, "suffix" : "" }, { "dropping-particle" : "", "family" : "Koh", "given" : "Young O", "non-dropping-particle" : "", "parse-names" : false, "suffix" : "" } ], "container-title" : "The American Journal of Clinical Nutrition", "id" : "ITEM-1", "issue" : "2", "issued" : { "date-parts" : [ [ "1990", "2", "1" ] ] }, "page" : "241-247", "title" : "A new predictive equation for resting energy expenditure in healthy individuals", "type" : "article-journal", "volume" : "51" }, "uris" : [ "http://www.mendeley.com/documents/?uuid=aaf36c87-b198-4d8c-8ed3-6335874e3e11" ] } ], "mendeley" : { "formattedCitation" : "(31)", "plainTextFormattedCitation" : "(31)", "previouslyFormattedCitation" : "(31)" }, "properties" : { "noteIndex" : 9 }, "schema" : "https://github.com/citation-style-language/schema/raw/master/csl-citation.json" }</w:instrText>
      </w:r>
      <w:r w:rsidR="009F4D8B" w:rsidRPr="000E1C62">
        <w:rPr>
          <w:rFonts w:asciiTheme="majorBidi" w:hAnsiTheme="majorBidi" w:cstheme="majorBidi"/>
        </w:rPr>
        <w:fldChar w:fldCharType="separate"/>
      </w:r>
      <w:r w:rsidR="00495362" w:rsidRPr="000E1C62">
        <w:rPr>
          <w:rFonts w:asciiTheme="majorBidi" w:hAnsiTheme="majorBidi" w:cstheme="majorBidi"/>
          <w:noProof/>
        </w:rPr>
        <w:t>(31)</w:t>
      </w:r>
      <w:r w:rsidR="009F4D8B" w:rsidRPr="000E1C62">
        <w:rPr>
          <w:rFonts w:asciiTheme="majorBidi" w:hAnsiTheme="majorBidi" w:cstheme="majorBidi"/>
        </w:rPr>
        <w:fldChar w:fldCharType="end"/>
      </w:r>
      <w:r w:rsidR="00C81199" w:rsidRPr="000E1C62">
        <w:rPr>
          <w:rFonts w:asciiTheme="majorBidi" w:hAnsiTheme="majorBidi" w:cstheme="majorBidi"/>
        </w:rPr>
        <w:t xml:space="preserve"> and</w:t>
      </w:r>
      <w:r w:rsidR="00B835CB" w:rsidRPr="000E1C62">
        <w:rPr>
          <w:rFonts w:asciiTheme="majorBidi" w:hAnsiTheme="majorBidi" w:cstheme="majorBidi"/>
        </w:rPr>
        <w:t xml:space="preserve"> </w:t>
      </w:r>
      <w:r w:rsidR="003326AD" w:rsidRPr="000E1C62">
        <w:rPr>
          <w:rFonts w:asciiTheme="majorBidi" w:hAnsiTheme="majorBidi" w:cstheme="majorBidi"/>
        </w:rPr>
        <w:t>subsequently</w:t>
      </w:r>
      <w:r w:rsidR="00AE3B54" w:rsidRPr="000E1C62">
        <w:rPr>
          <w:rFonts w:asciiTheme="majorBidi" w:hAnsiTheme="majorBidi" w:cstheme="majorBidi"/>
        </w:rPr>
        <w:t xml:space="preserve"> multiplied by </w:t>
      </w:r>
      <w:r w:rsidR="00D822F0" w:rsidRPr="000E1C62">
        <w:rPr>
          <w:rFonts w:asciiTheme="majorBidi" w:hAnsiTheme="majorBidi" w:cstheme="majorBidi"/>
        </w:rPr>
        <w:t xml:space="preserve">a physical activity </w:t>
      </w:r>
      <w:r w:rsidR="001D2F6C" w:rsidRPr="000E1C62">
        <w:rPr>
          <w:rFonts w:asciiTheme="majorBidi" w:hAnsiTheme="majorBidi" w:cstheme="majorBidi"/>
        </w:rPr>
        <w:t xml:space="preserve">correction factor </w:t>
      </w:r>
      <w:r w:rsidR="00D822F0" w:rsidRPr="000E1C62">
        <w:rPr>
          <w:rFonts w:asciiTheme="majorBidi" w:hAnsiTheme="majorBidi" w:cstheme="majorBidi"/>
        </w:rPr>
        <w:t xml:space="preserve">of </w:t>
      </w:r>
      <w:r w:rsidR="00E40941" w:rsidRPr="000E1C62">
        <w:rPr>
          <w:rFonts w:asciiTheme="majorBidi" w:hAnsiTheme="majorBidi" w:cstheme="majorBidi"/>
        </w:rPr>
        <w:t>1.7 to</w:t>
      </w:r>
      <w:r w:rsidR="005441EE" w:rsidRPr="000E1C62">
        <w:rPr>
          <w:rFonts w:asciiTheme="majorBidi" w:hAnsiTheme="majorBidi" w:cstheme="majorBidi"/>
        </w:rPr>
        <w:t xml:space="preserve"> account for</w:t>
      </w:r>
      <w:r w:rsidR="006F4676" w:rsidRPr="000E1C62">
        <w:rPr>
          <w:rFonts w:asciiTheme="majorBidi" w:hAnsiTheme="majorBidi" w:cstheme="majorBidi"/>
        </w:rPr>
        <w:t xml:space="preserve"> moderate levels of</w:t>
      </w:r>
      <w:r w:rsidR="005441EE" w:rsidRPr="000E1C62">
        <w:rPr>
          <w:rFonts w:asciiTheme="majorBidi" w:hAnsiTheme="majorBidi" w:cstheme="majorBidi"/>
        </w:rPr>
        <w:t xml:space="preserve"> </w:t>
      </w:r>
      <w:r w:rsidR="007E7BF0" w:rsidRPr="000E1C62">
        <w:rPr>
          <w:rFonts w:asciiTheme="majorBidi" w:hAnsiTheme="majorBidi" w:cstheme="majorBidi"/>
        </w:rPr>
        <w:t xml:space="preserve">habitual </w:t>
      </w:r>
      <w:r w:rsidR="006F4676" w:rsidRPr="000E1C62">
        <w:rPr>
          <w:rFonts w:asciiTheme="majorBidi" w:hAnsiTheme="majorBidi" w:cstheme="majorBidi"/>
        </w:rPr>
        <w:t xml:space="preserve">physical </w:t>
      </w:r>
      <w:r w:rsidR="007E7BF0" w:rsidRPr="000E1C62">
        <w:rPr>
          <w:rFonts w:asciiTheme="majorBidi" w:hAnsiTheme="majorBidi" w:cstheme="majorBidi"/>
        </w:rPr>
        <w:t>activity</w:t>
      </w:r>
      <w:r w:rsidR="006F4676" w:rsidRPr="000E1C62">
        <w:rPr>
          <w:rFonts w:asciiTheme="majorBidi" w:hAnsiTheme="majorBidi" w:cstheme="majorBidi"/>
        </w:rPr>
        <w:t xml:space="preserve"> in males </w:t>
      </w:r>
      <w:r w:rsidR="007B52A5" w:rsidRPr="000E1C62">
        <w:rPr>
          <w:rFonts w:asciiTheme="majorBidi" w:hAnsiTheme="majorBidi" w:cstheme="majorBidi"/>
        </w:rPr>
        <w:fldChar w:fldCharType="begin" w:fldLock="1"/>
      </w:r>
      <w:r w:rsidR="007B52A5" w:rsidRPr="000E1C62">
        <w:rPr>
          <w:rFonts w:asciiTheme="majorBidi" w:hAnsiTheme="majorBidi" w:cstheme="majorBidi"/>
        </w:rPr>
        <w:instrText>ADDIN CSL_CITATION { "citationItems" : [ { "id" : "ITEM-1", "itemData" : { "ISSN" : "03795721", "abstract" : "Since 1949, FAO has convened groups of experts to evaluate current scientific knowledge in order to define the energy requirements of humans and propose dietary energy recommendations for populations. The World Health Organization (WHO) joined this initiative in the early 1950s, and the United Nations University (UNU) in 1981. New scientific knowledge generated in the 20 years since the last consultation was held prompted the assembly of a new expert consultation to make recommendations for energy requirements of populations throughout the life cycle. This publication is the report of that consultation, which took place from 17 to 24 October 2001 at FAO headquarters in Rome. The report is not meant merely to describe the energy expenditure and requirements of population groups. It is intended also to be prescriptive in supporting and maintaining health and good nutrition, defining human energy requirements and proposing dietary energy recommendations for populations. The new concepts and recommendations set forth in the report include: calculation of energy requirements for all ages; modification of the requirements and dietary energy recommendations for infants, older children and adolescents; proposals for different requirements for populations with lifestyles that involve different levels of habitual physical activity; reassessment of energy requirements for adults, based on energy expenditure estimates expressed as multiples of basal metabolic rates; classification and recommendations of physical activity levels; an experimental approach for factorial estimates of the energy needs of pregnancy and lactation; and recommendations for additional dietary energy needs in the two last trimesters of pregnancy. The report is accompanied by a CD-ROM software program and instruction manual on calculating population energy requirements and food needs.", "author" : [ { "dropping-particle" : "", "family" : "Fao", "given" : "Joint", "non-dropping-particle" : "", "parse-names" : false, "suffix" : "" }, { "dropping-particle" : "", "family" : "Consultation", "given" : "U N U Expert", "non-dropping-particle" : "", "parse-names" : false, "suffix" : "" } ], "container-title" : "Food and nutrition bulletin", "id" : "ITEM-1", "issue" : "1", "issued" : { "date-parts" : [ [ "2005" ] ] }, "page" : "166", "title" : "Human energy requirements: report of a joint FAO/ WHO/UNU Expert Consultation.", "type" : "article-journal", "volume" : "26" }, "uris" : [ "http://www.mendeley.com/documents/?uuid=2114235a-782a-44b3-81d2-ec44e73eca15" ] } ], "mendeley" : { "formattedCitation" : "(32)", "plainTextFormattedCitation" : "(32)", "previouslyFormattedCitation" : "(32)" }, "properties" : { "noteIndex" : 10 }, "schema" : "https://github.com/citation-style-language/schema/raw/master/csl-citation.json" }</w:instrText>
      </w:r>
      <w:r w:rsidR="007B52A5" w:rsidRPr="000E1C62">
        <w:rPr>
          <w:rFonts w:asciiTheme="majorBidi" w:hAnsiTheme="majorBidi" w:cstheme="majorBidi"/>
        </w:rPr>
        <w:fldChar w:fldCharType="separate"/>
      </w:r>
      <w:r w:rsidR="007B52A5" w:rsidRPr="000E1C62">
        <w:rPr>
          <w:rFonts w:asciiTheme="majorBidi" w:hAnsiTheme="majorBidi" w:cstheme="majorBidi"/>
          <w:noProof/>
        </w:rPr>
        <w:t>(32)</w:t>
      </w:r>
      <w:r w:rsidR="007B52A5" w:rsidRPr="000E1C62">
        <w:rPr>
          <w:rFonts w:asciiTheme="majorBidi" w:hAnsiTheme="majorBidi" w:cstheme="majorBidi"/>
        </w:rPr>
        <w:fldChar w:fldCharType="end"/>
      </w:r>
      <w:r w:rsidR="004D3A76" w:rsidRPr="000E1C62">
        <w:rPr>
          <w:rFonts w:asciiTheme="majorBidi" w:hAnsiTheme="majorBidi" w:cstheme="majorBidi"/>
        </w:rPr>
        <w:t xml:space="preserve">. </w:t>
      </w:r>
      <w:r w:rsidR="00E40941" w:rsidRPr="000E1C62">
        <w:rPr>
          <w:rFonts w:asciiTheme="majorBidi" w:hAnsiTheme="majorBidi" w:cstheme="majorBidi"/>
        </w:rPr>
        <w:t xml:space="preserve">This value was </w:t>
      </w:r>
      <w:r w:rsidR="00BA255E" w:rsidRPr="000E1C62">
        <w:rPr>
          <w:rFonts w:asciiTheme="majorBidi" w:hAnsiTheme="majorBidi" w:cstheme="majorBidi"/>
        </w:rPr>
        <w:t>additionally</w:t>
      </w:r>
      <w:r w:rsidR="00E40941" w:rsidRPr="000E1C62">
        <w:rPr>
          <w:rFonts w:asciiTheme="majorBidi" w:hAnsiTheme="majorBidi" w:cstheme="majorBidi"/>
        </w:rPr>
        <w:t xml:space="preserve"> multiplied by 1.1 to account for the thermic effect of feeding</w:t>
      </w:r>
      <w:r w:rsidR="00357B41" w:rsidRPr="000E1C62">
        <w:rPr>
          <w:rFonts w:asciiTheme="majorBidi" w:hAnsiTheme="majorBidi" w:cstheme="majorBidi"/>
        </w:rPr>
        <w:t xml:space="preserve"> and then by 1.5 to </w:t>
      </w:r>
      <w:r w:rsidR="00596DC6" w:rsidRPr="000E1C62">
        <w:rPr>
          <w:rFonts w:asciiTheme="majorBidi" w:hAnsiTheme="majorBidi" w:cstheme="majorBidi"/>
        </w:rPr>
        <w:t xml:space="preserve">identify 150% of </w:t>
      </w:r>
      <w:proofErr w:type="gramStart"/>
      <w:r w:rsidR="001C064B" w:rsidRPr="000E1C62">
        <w:rPr>
          <w:rFonts w:asciiTheme="majorBidi" w:hAnsiTheme="majorBidi" w:cstheme="majorBidi"/>
        </w:rPr>
        <w:t>participants’</w:t>
      </w:r>
      <w:proofErr w:type="gramEnd"/>
      <w:r w:rsidR="001C064B" w:rsidRPr="000E1C62">
        <w:rPr>
          <w:rFonts w:asciiTheme="majorBidi" w:hAnsiTheme="majorBidi" w:cstheme="majorBidi"/>
        </w:rPr>
        <w:t xml:space="preserve"> </w:t>
      </w:r>
      <w:r w:rsidR="001722D5" w:rsidRPr="000E1C62">
        <w:rPr>
          <w:rFonts w:asciiTheme="majorBidi" w:hAnsiTheme="majorBidi" w:cstheme="majorBidi"/>
        </w:rPr>
        <w:t xml:space="preserve">estimated </w:t>
      </w:r>
      <w:r w:rsidR="00596DC6" w:rsidRPr="000E1C62">
        <w:rPr>
          <w:rFonts w:asciiTheme="majorBidi" w:hAnsiTheme="majorBidi" w:cstheme="majorBidi"/>
        </w:rPr>
        <w:t>daily energy requirement.</w:t>
      </w:r>
      <w:r w:rsidR="00E40941" w:rsidRPr="000E1C62">
        <w:rPr>
          <w:rFonts w:asciiTheme="majorBidi" w:hAnsiTheme="majorBidi" w:cstheme="majorBidi"/>
        </w:rPr>
        <w:t xml:space="preserve"> </w:t>
      </w:r>
      <w:r w:rsidR="00431BFB" w:rsidRPr="000E1C62">
        <w:rPr>
          <w:rFonts w:asciiTheme="majorBidi" w:hAnsiTheme="majorBidi" w:cstheme="majorBidi"/>
        </w:rPr>
        <w:t xml:space="preserve">Please note that this method of calculating </w:t>
      </w:r>
      <w:r w:rsidR="009D62CF" w:rsidRPr="000E1C62">
        <w:rPr>
          <w:rFonts w:asciiTheme="majorBidi" w:hAnsiTheme="majorBidi" w:cstheme="majorBidi"/>
        </w:rPr>
        <w:t xml:space="preserve">energy requirements during our </w:t>
      </w:r>
      <w:r w:rsidR="00215934" w:rsidRPr="000E1C62">
        <w:rPr>
          <w:rFonts w:asciiTheme="majorBidi" w:hAnsiTheme="majorBidi" w:cstheme="majorBidi"/>
        </w:rPr>
        <w:t>HE-HFD</w:t>
      </w:r>
      <w:r w:rsidR="009D62CF" w:rsidRPr="000E1C62">
        <w:rPr>
          <w:rFonts w:asciiTheme="majorBidi" w:hAnsiTheme="majorBidi" w:cstheme="majorBidi"/>
        </w:rPr>
        <w:t xml:space="preserve"> intervention </w:t>
      </w:r>
      <w:r w:rsidR="003B7A7D" w:rsidRPr="000E1C62">
        <w:rPr>
          <w:rFonts w:asciiTheme="majorBidi" w:hAnsiTheme="majorBidi" w:cstheme="majorBidi"/>
        </w:rPr>
        <w:t xml:space="preserve">produced a higher </w:t>
      </w:r>
      <w:r w:rsidR="00D43255" w:rsidRPr="000E1C62">
        <w:rPr>
          <w:rFonts w:asciiTheme="majorBidi" w:hAnsiTheme="majorBidi" w:cstheme="majorBidi"/>
        </w:rPr>
        <w:t xml:space="preserve">energy intake requirement </w:t>
      </w:r>
      <w:r w:rsidR="00215934" w:rsidRPr="000E1C62">
        <w:rPr>
          <w:rFonts w:asciiTheme="majorBidi" w:hAnsiTheme="majorBidi" w:cstheme="majorBidi"/>
        </w:rPr>
        <w:t xml:space="preserve">than what would have been necessary </w:t>
      </w:r>
      <w:r w:rsidR="00FF4557" w:rsidRPr="000E1C62">
        <w:rPr>
          <w:rFonts w:asciiTheme="majorBidi" w:hAnsiTheme="majorBidi" w:cstheme="majorBidi"/>
        </w:rPr>
        <w:t xml:space="preserve">if requirements were based on </w:t>
      </w:r>
      <w:r w:rsidR="00F4243C" w:rsidRPr="000E1C62">
        <w:rPr>
          <w:rFonts w:asciiTheme="majorBidi" w:hAnsiTheme="majorBidi" w:cstheme="majorBidi"/>
        </w:rPr>
        <w:t xml:space="preserve">participants’ food diaries </w:t>
      </w:r>
      <w:r w:rsidR="005038B9" w:rsidRPr="000E1C62">
        <w:rPr>
          <w:rFonts w:asciiTheme="majorBidi" w:hAnsiTheme="majorBidi" w:cstheme="majorBidi"/>
        </w:rPr>
        <w:t xml:space="preserve">(see Table 1). </w:t>
      </w:r>
    </w:p>
    <w:p w14:paraId="083C2EB6" w14:textId="0B811C12" w:rsidR="00266AA6" w:rsidRDefault="00AF2719" w:rsidP="00F6013C">
      <w:pPr>
        <w:spacing w:line="480" w:lineRule="auto"/>
        <w:jc w:val="both"/>
        <w:rPr>
          <w:rFonts w:asciiTheme="majorBidi" w:hAnsiTheme="majorBidi" w:cstheme="majorBidi"/>
        </w:rPr>
      </w:pPr>
      <w:r w:rsidRPr="000E1C62">
        <w:rPr>
          <w:rFonts w:asciiTheme="majorBidi" w:hAnsiTheme="majorBidi" w:cstheme="majorBidi"/>
        </w:rPr>
        <w:t>Within the HE-HFD, all foods and energy</w:t>
      </w:r>
      <w:r w:rsidR="00AB6535" w:rsidRPr="000E1C62">
        <w:rPr>
          <w:rFonts w:asciiTheme="majorBidi" w:hAnsiTheme="majorBidi" w:cstheme="majorBidi"/>
        </w:rPr>
        <w:t>-</w:t>
      </w:r>
      <w:r w:rsidRPr="000E1C62">
        <w:rPr>
          <w:rFonts w:asciiTheme="majorBidi" w:hAnsiTheme="majorBidi" w:cstheme="majorBidi"/>
        </w:rPr>
        <w:t>containing drinks were p</w:t>
      </w:r>
      <w:r w:rsidR="00E71875" w:rsidRPr="000E1C62">
        <w:rPr>
          <w:rFonts w:asciiTheme="majorBidi" w:hAnsiTheme="majorBidi" w:cstheme="majorBidi"/>
        </w:rPr>
        <w:t>repared by the research team</w:t>
      </w:r>
      <w:r w:rsidR="00FD6F9F" w:rsidRPr="000E1C62">
        <w:rPr>
          <w:rFonts w:asciiTheme="majorBidi" w:hAnsiTheme="majorBidi" w:cstheme="majorBidi"/>
        </w:rPr>
        <w:t xml:space="preserve"> and distributed to the participants.</w:t>
      </w:r>
      <w:r w:rsidR="00E71875" w:rsidRPr="000E1C62">
        <w:rPr>
          <w:rFonts w:asciiTheme="majorBidi" w:hAnsiTheme="majorBidi" w:cstheme="majorBidi"/>
        </w:rPr>
        <w:t xml:space="preserve"> </w:t>
      </w:r>
      <w:r w:rsidR="00F240EE" w:rsidRPr="000E1C62">
        <w:rPr>
          <w:rFonts w:asciiTheme="majorBidi" w:hAnsiTheme="majorBidi" w:cstheme="majorBidi"/>
        </w:rPr>
        <w:t xml:space="preserve">Participants were instructed </w:t>
      </w:r>
      <w:r w:rsidR="000C4A3A" w:rsidRPr="000E1C62">
        <w:rPr>
          <w:rFonts w:asciiTheme="majorBidi" w:hAnsiTheme="majorBidi" w:cstheme="majorBidi"/>
        </w:rPr>
        <w:t xml:space="preserve">to </w:t>
      </w:r>
      <w:r w:rsidR="000E179A" w:rsidRPr="000E1C62">
        <w:rPr>
          <w:rFonts w:asciiTheme="majorBidi" w:hAnsiTheme="majorBidi" w:cstheme="majorBidi"/>
        </w:rPr>
        <w:t>consume all foods provided to them and no</w:t>
      </w:r>
      <w:r w:rsidR="00F240EE" w:rsidRPr="000E1C62">
        <w:rPr>
          <w:rFonts w:asciiTheme="majorBidi" w:hAnsiTheme="majorBidi" w:cstheme="majorBidi"/>
        </w:rPr>
        <w:t xml:space="preserve"> </w:t>
      </w:r>
      <w:r w:rsidR="00FE39ED" w:rsidRPr="000E1C62">
        <w:rPr>
          <w:rFonts w:asciiTheme="majorBidi" w:hAnsiTheme="majorBidi" w:cstheme="majorBidi"/>
        </w:rPr>
        <w:t>additional</w:t>
      </w:r>
      <w:r w:rsidR="00F240EE" w:rsidRPr="000E1C62">
        <w:rPr>
          <w:rFonts w:asciiTheme="majorBidi" w:hAnsiTheme="majorBidi" w:cstheme="majorBidi"/>
        </w:rPr>
        <w:t xml:space="preserve"> energy</w:t>
      </w:r>
      <w:r w:rsidR="00AB6535" w:rsidRPr="000E1C62">
        <w:rPr>
          <w:rFonts w:asciiTheme="majorBidi" w:hAnsiTheme="majorBidi" w:cstheme="majorBidi"/>
        </w:rPr>
        <w:t>-</w:t>
      </w:r>
      <w:r w:rsidR="00F240EE" w:rsidRPr="000E1C62">
        <w:rPr>
          <w:rFonts w:asciiTheme="majorBidi" w:hAnsiTheme="majorBidi" w:cstheme="majorBidi"/>
        </w:rPr>
        <w:t>containing food or drink</w:t>
      </w:r>
      <w:r w:rsidR="00FE39ED" w:rsidRPr="000E1C62">
        <w:rPr>
          <w:rFonts w:asciiTheme="majorBidi" w:hAnsiTheme="majorBidi" w:cstheme="majorBidi"/>
        </w:rPr>
        <w:t>s.</w:t>
      </w:r>
      <w:r w:rsidR="00A75BD4" w:rsidRPr="000E1C62">
        <w:rPr>
          <w:rFonts w:asciiTheme="majorBidi" w:hAnsiTheme="majorBidi" w:cstheme="majorBidi"/>
        </w:rPr>
        <w:t xml:space="preserve"> </w:t>
      </w:r>
      <w:r w:rsidR="005D735F" w:rsidRPr="000E1C62">
        <w:rPr>
          <w:rFonts w:asciiTheme="majorBidi" w:hAnsiTheme="majorBidi" w:cstheme="majorBidi"/>
        </w:rPr>
        <w:t>In the event of any leftover</w:t>
      </w:r>
      <w:r w:rsidR="00FB0963" w:rsidRPr="000E1C62">
        <w:rPr>
          <w:rFonts w:asciiTheme="majorBidi" w:hAnsiTheme="majorBidi" w:cstheme="majorBidi"/>
        </w:rPr>
        <w:t>s</w:t>
      </w:r>
      <w:r w:rsidR="0088023E" w:rsidRPr="000E1C62">
        <w:rPr>
          <w:rFonts w:asciiTheme="majorBidi" w:hAnsiTheme="majorBidi" w:cstheme="majorBidi"/>
        </w:rPr>
        <w:t xml:space="preserve">, participants were told to </w:t>
      </w:r>
      <w:r w:rsidR="00433B71" w:rsidRPr="000E1C62">
        <w:rPr>
          <w:rFonts w:asciiTheme="majorBidi" w:hAnsiTheme="majorBidi" w:cstheme="majorBidi"/>
        </w:rPr>
        <w:t xml:space="preserve">return </w:t>
      </w:r>
      <w:r w:rsidR="00CB3183" w:rsidRPr="000E1C62">
        <w:rPr>
          <w:rFonts w:asciiTheme="majorBidi" w:hAnsiTheme="majorBidi" w:cstheme="majorBidi"/>
        </w:rPr>
        <w:t xml:space="preserve">the food item </w:t>
      </w:r>
      <w:r w:rsidR="00FB0963" w:rsidRPr="000E1C62">
        <w:rPr>
          <w:rFonts w:asciiTheme="majorBidi" w:hAnsiTheme="majorBidi" w:cstheme="majorBidi"/>
        </w:rPr>
        <w:t>so that the research team could account for the discrepancy.</w:t>
      </w:r>
      <w:r w:rsidR="00F240EE" w:rsidRPr="000E1C62">
        <w:rPr>
          <w:rFonts w:asciiTheme="majorBidi" w:hAnsiTheme="majorBidi" w:cstheme="majorBidi"/>
        </w:rPr>
        <w:t xml:space="preserve"> </w:t>
      </w:r>
      <w:r w:rsidR="00FD6F9F" w:rsidRPr="000E1C62">
        <w:rPr>
          <w:rFonts w:asciiTheme="majorBidi" w:hAnsiTheme="majorBidi" w:cstheme="majorBidi"/>
        </w:rPr>
        <w:t>D</w:t>
      </w:r>
      <w:r w:rsidR="009563C8" w:rsidRPr="000E1C62">
        <w:rPr>
          <w:rFonts w:asciiTheme="majorBidi" w:hAnsiTheme="majorBidi" w:cstheme="majorBidi"/>
        </w:rPr>
        <w:t xml:space="preserve">ietary </w:t>
      </w:r>
      <w:r w:rsidR="00A800F3" w:rsidRPr="000E1C62">
        <w:rPr>
          <w:rFonts w:asciiTheme="majorBidi" w:hAnsiTheme="majorBidi" w:cstheme="majorBidi"/>
        </w:rPr>
        <w:t xml:space="preserve">compliance was </w:t>
      </w:r>
      <w:r w:rsidR="007F5A96" w:rsidRPr="000E1C62">
        <w:rPr>
          <w:rFonts w:asciiTheme="majorBidi" w:hAnsiTheme="majorBidi" w:cstheme="majorBidi"/>
        </w:rPr>
        <w:t xml:space="preserve">facilitated by the provision of daily </w:t>
      </w:r>
      <w:r w:rsidR="002B3AC8" w:rsidRPr="000E1C62">
        <w:rPr>
          <w:rFonts w:asciiTheme="majorBidi" w:hAnsiTheme="majorBidi" w:cstheme="majorBidi"/>
        </w:rPr>
        <w:t>menus</w:t>
      </w:r>
      <w:r w:rsidR="00D8523D" w:rsidRPr="000E1C62">
        <w:rPr>
          <w:rFonts w:asciiTheme="majorBidi" w:hAnsiTheme="majorBidi" w:cstheme="majorBidi"/>
        </w:rPr>
        <w:t xml:space="preserve">, </w:t>
      </w:r>
      <w:r w:rsidR="00D51328" w:rsidRPr="000E1C62">
        <w:rPr>
          <w:rFonts w:asciiTheme="majorBidi" w:hAnsiTheme="majorBidi" w:cstheme="majorBidi"/>
        </w:rPr>
        <w:t xml:space="preserve">detailed </w:t>
      </w:r>
      <w:r w:rsidR="007F5A96" w:rsidRPr="000E1C62">
        <w:rPr>
          <w:rFonts w:asciiTheme="majorBidi" w:hAnsiTheme="majorBidi" w:cstheme="majorBidi"/>
        </w:rPr>
        <w:t>cooking guidance</w:t>
      </w:r>
      <w:r w:rsidR="00D8523D" w:rsidRPr="000E1C62">
        <w:rPr>
          <w:rFonts w:asciiTheme="majorBidi" w:hAnsiTheme="majorBidi" w:cstheme="majorBidi"/>
        </w:rPr>
        <w:t xml:space="preserve"> and verbal</w:t>
      </w:r>
      <w:r w:rsidR="00F04DE0" w:rsidRPr="000E1C62">
        <w:rPr>
          <w:rFonts w:asciiTheme="majorBidi" w:hAnsiTheme="majorBidi" w:cstheme="majorBidi"/>
        </w:rPr>
        <w:t xml:space="preserve"> confirmation</w:t>
      </w:r>
      <w:r w:rsidR="007F5A96" w:rsidRPr="000E1C62">
        <w:rPr>
          <w:rFonts w:asciiTheme="majorBidi" w:hAnsiTheme="majorBidi" w:cstheme="majorBidi"/>
        </w:rPr>
        <w:t xml:space="preserve">. </w:t>
      </w:r>
      <w:r w:rsidR="00611F7A" w:rsidRPr="000E1C62">
        <w:rPr>
          <w:rFonts w:asciiTheme="majorBidi" w:hAnsiTheme="majorBidi" w:cstheme="majorBidi"/>
        </w:rPr>
        <w:t>Other than one</w:t>
      </w:r>
      <w:r w:rsidR="0015357B" w:rsidRPr="000E1C62">
        <w:rPr>
          <w:rFonts w:asciiTheme="majorBidi" w:hAnsiTheme="majorBidi" w:cstheme="majorBidi"/>
        </w:rPr>
        <w:t xml:space="preserve"> ham and cheese croissant</w:t>
      </w:r>
      <w:r w:rsidR="009D2E59" w:rsidRPr="000E1C62">
        <w:rPr>
          <w:rFonts w:asciiTheme="majorBidi" w:hAnsiTheme="majorBidi" w:cstheme="majorBidi"/>
        </w:rPr>
        <w:t xml:space="preserve"> which one participant </w:t>
      </w:r>
      <w:r w:rsidR="00537C65" w:rsidRPr="000E1C62">
        <w:rPr>
          <w:rFonts w:asciiTheme="majorBidi" w:hAnsiTheme="majorBidi" w:cstheme="majorBidi"/>
        </w:rPr>
        <w:t>did not eat;</w:t>
      </w:r>
      <w:r w:rsidR="009651B2" w:rsidRPr="000E1C62">
        <w:rPr>
          <w:rFonts w:asciiTheme="majorBidi" w:hAnsiTheme="majorBidi" w:cstheme="majorBidi"/>
        </w:rPr>
        <w:t xml:space="preserve"> participants </w:t>
      </w:r>
      <w:r w:rsidR="00E0185C" w:rsidRPr="000E1C62">
        <w:rPr>
          <w:rFonts w:asciiTheme="majorBidi" w:hAnsiTheme="majorBidi" w:cstheme="majorBidi"/>
        </w:rPr>
        <w:t>reported being</w:t>
      </w:r>
      <w:r w:rsidR="009651B2" w:rsidRPr="000E1C62">
        <w:rPr>
          <w:rFonts w:asciiTheme="majorBidi" w:hAnsiTheme="majorBidi" w:cstheme="majorBidi"/>
        </w:rPr>
        <w:t xml:space="preserve"> fully</w:t>
      </w:r>
      <w:r w:rsidR="009651B2">
        <w:rPr>
          <w:rFonts w:asciiTheme="majorBidi" w:hAnsiTheme="majorBidi" w:cstheme="majorBidi"/>
        </w:rPr>
        <w:t xml:space="preserve"> compliant with the HE-HFD.</w:t>
      </w:r>
    </w:p>
    <w:p w14:paraId="5BFEEE3F" w14:textId="5B2552D9" w:rsidR="000939F3" w:rsidRPr="00F6013C" w:rsidRDefault="009D7B0D" w:rsidP="00F6013C">
      <w:pPr>
        <w:spacing w:line="480" w:lineRule="auto"/>
        <w:jc w:val="both"/>
        <w:rPr>
          <w:rFonts w:asciiTheme="majorBidi" w:hAnsiTheme="majorBidi" w:cstheme="majorBidi"/>
        </w:rPr>
      </w:pPr>
      <w:r>
        <w:rPr>
          <w:rFonts w:asciiTheme="majorBidi" w:hAnsiTheme="majorBidi" w:cstheme="majorBidi"/>
        </w:rPr>
        <w:t xml:space="preserve">Within the control </w:t>
      </w:r>
      <w:r w:rsidR="00CC7360">
        <w:rPr>
          <w:rFonts w:asciiTheme="majorBidi" w:hAnsiTheme="majorBidi" w:cstheme="majorBidi"/>
        </w:rPr>
        <w:t>diet</w:t>
      </w:r>
      <w:r>
        <w:rPr>
          <w:rFonts w:asciiTheme="majorBidi" w:hAnsiTheme="majorBidi" w:cstheme="majorBidi"/>
        </w:rPr>
        <w:t xml:space="preserve">, participants </w:t>
      </w:r>
      <w:r w:rsidR="00247D32">
        <w:rPr>
          <w:rFonts w:asciiTheme="majorBidi" w:hAnsiTheme="majorBidi" w:cstheme="majorBidi"/>
        </w:rPr>
        <w:t xml:space="preserve">were </w:t>
      </w:r>
      <w:r w:rsidR="00C26BFF">
        <w:rPr>
          <w:rFonts w:asciiTheme="majorBidi" w:hAnsiTheme="majorBidi" w:cstheme="majorBidi"/>
        </w:rPr>
        <w:t>told</w:t>
      </w:r>
      <w:r w:rsidR="00247D32">
        <w:rPr>
          <w:rFonts w:asciiTheme="majorBidi" w:hAnsiTheme="majorBidi" w:cstheme="majorBidi"/>
        </w:rPr>
        <w:t xml:space="preserve"> to consume their habitual diet </w:t>
      </w:r>
      <w:r w:rsidR="001B5850">
        <w:rPr>
          <w:rFonts w:asciiTheme="majorBidi" w:hAnsiTheme="majorBidi" w:cstheme="majorBidi"/>
        </w:rPr>
        <w:t>throughout the intervention</w:t>
      </w:r>
      <w:r w:rsidR="00011561">
        <w:rPr>
          <w:rFonts w:asciiTheme="majorBidi" w:hAnsiTheme="majorBidi" w:cstheme="majorBidi"/>
        </w:rPr>
        <w:t xml:space="preserve">. </w:t>
      </w:r>
      <w:r w:rsidR="006D17C7">
        <w:rPr>
          <w:rFonts w:asciiTheme="majorBidi" w:hAnsiTheme="majorBidi" w:cstheme="majorBidi"/>
        </w:rPr>
        <w:t>To assess compliance, participants completed a</w:t>
      </w:r>
      <w:r w:rsidR="00122597">
        <w:rPr>
          <w:rFonts w:asciiTheme="majorBidi" w:hAnsiTheme="majorBidi" w:cstheme="majorBidi"/>
        </w:rPr>
        <w:t xml:space="preserve"> second</w:t>
      </w:r>
      <w:r w:rsidR="006D17C7">
        <w:rPr>
          <w:rFonts w:asciiTheme="majorBidi" w:hAnsiTheme="majorBidi" w:cstheme="majorBidi"/>
        </w:rPr>
        <w:t xml:space="preserve"> three-day weighed</w:t>
      </w:r>
      <w:r w:rsidR="000305DD">
        <w:rPr>
          <w:rFonts w:asciiTheme="majorBidi" w:hAnsiTheme="majorBidi" w:cstheme="majorBidi"/>
        </w:rPr>
        <w:t xml:space="preserve"> food record </w:t>
      </w:r>
      <w:r w:rsidR="006D17C7">
        <w:rPr>
          <w:rFonts w:asciiTheme="majorBidi" w:hAnsiTheme="majorBidi" w:cstheme="majorBidi"/>
        </w:rPr>
        <w:t>(</w:t>
      </w:r>
      <w:r w:rsidR="00572DD4">
        <w:rPr>
          <w:rFonts w:asciiTheme="majorBidi" w:hAnsiTheme="majorBidi" w:cstheme="majorBidi"/>
        </w:rPr>
        <w:t>two-week</w:t>
      </w:r>
      <w:r w:rsidR="006D17C7">
        <w:rPr>
          <w:rFonts w:asciiTheme="majorBidi" w:hAnsiTheme="majorBidi" w:cstheme="majorBidi"/>
        </w:rPr>
        <w:t xml:space="preserve"> days and one weekend day)</w:t>
      </w:r>
      <w:r w:rsidR="003D333F">
        <w:rPr>
          <w:rFonts w:asciiTheme="majorBidi" w:hAnsiTheme="majorBidi" w:cstheme="majorBidi"/>
        </w:rPr>
        <w:t xml:space="preserve"> during the control </w:t>
      </w:r>
      <w:r w:rsidR="00122597">
        <w:rPr>
          <w:rFonts w:asciiTheme="majorBidi" w:hAnsiTheme="majorBidi" w:cstheme="majorBidi"/>
        </w:rPr>
        <w:t>diet</w:t>
      </w:r>
      <w:r w:rsidR="00794BB9">
        <w:rPr>
          <w:rFonts w:asciiTheme="majorBidi" w:hAnsiTheme="majorBidi" w:cstheme="majorBidi"/>
        </w:rPr>
        <w:t>,</w:t>
      </w:r>
      <w:r w:rsidR="006D17C7">
        <w:rPr>
          <w:rFonts w:asciiTheme="majorBidi" w:hAnsiTheme="majorBidi" w:cstheme="majorBidi"/>
        </w:rPr>
        <w:t xml:space="preserve"> which was </w:t>
      </w:r>
      <w:r w:rsidR="00416C85">
        <w:rPr>
          <w:rFonts w:asciiTheme="majorBidi" w:hAnsiTheme="majorBidi" w:cstheme="majorBidi"/>
        </w:rPr>
        <w:t xml:space="preserve">subsequently </w:t>
      </w:r>
      <w:r w:rsidR="00416C85">
        <w:rPr>
          <w:rFonts w:asciiTheme="majorBidi" w:hAnsiTheme="majorBidi" w:cstheme="majorBidi"/>
        </w:rPr>
        <w:lastRenderedPageBreak/>
        <w:t xml:space="preserve">contrasted with </w:t>
      </w:r>
      <w:r w:rsidR="001B5850">
        <w:rPr>
          <w:rFonts w:asciiTheme="majorBidi" w:hAnsiTheme="majorBidi" w:cstheme="majorBidi"/>
        </w:rPr>
        <w:t>the</w:t>
      </w:r>
      <w:r w:rsidR="00416C85">
        <w:rPr>
          <w:rFonts w:asciiTheme="majorBidi" w:hAnsiTheme="majorBidi" w:cstheme="majorBidi"/>
        </w:rPr>
        <w:t xml:space="preserve"> food record completed </w:t>
      </w:r>
      <w:r w:rsidR="00563246">
        <w:rPr>
          <w:rFonts w:asciiTheme="majorBidi" w:hAnsiTheme="majorBidi" w:cstheme="majorBidi"/>
        </w:rPr>
        <w:t>during the</w:t>
      </w:r>
      <w:r w:rsidR="00FE4E5D">
        <w:rPr>
          <w:rFonts w:asciiTheme="majorBidi" w:hAnsiTheme="majorBidi" w:cstheme="majorBidi"/>
        </w:rPr>
        <w:t xml:space="preserve"> </w:t>
      </w:r>
      <w:r w:rsidR="0003213D">
        <w:rPr>
          <w:rFonts w:asciiTheme="majorBidi" w:hAnsiTheme="majorBidi" w:cstheme="majorBidi"/>
        </w:rPr>
        <w:t>baseline (</w:t>
      </w:r>
      <w:r w:rsidR="008F5533">
        <w:rPr>
          <w:rFonts w:asciiTheme="majorBidi" w:hAnsiTheme="majorBidi" w:cstheme="majorBidi"/>
        </w:rPr>
        <w:t>pre-intervention</w:t>
      </w:r>
      <w:r w:rsidR="0003213D">
        <w:rPr>
          <w:rFonts w:asciiTheme="majorBidi" w:hAnsiTheme="majorBidi" w:cstheme="majorBidi"/>
        </w:rPr>
        <w:t>)</w:t>
      </w:r>
      <w:r w:rsidR="00FE4E5D">
        <w:rPr>
          <w:rFonts w:asciiTheme="majorBidi" w:hAnsiTheme="majorBidi" w:cstheme="majorBidi"/>
        </w:rPr>
        <w:t xml:space="preserve"> assessment</w:t>
      </w:r>
      <w:r w:rsidR="00632845">
        <w:rPr>
          <w:rFonts w:asciiTheme="majorBidi" w:hAnsiTheme="majorBidi" w:cstheme="majorBidi"/>
        </w:rPr>
        <w:t xml:space="preserve"> (</w:t>
      </w:r>
      <w:r w:rsidR="00632845" w:rsidRPr="00D6345A">
        <w:rPr>
          <w:rFonts w:asciiTheme="majorBidi" w:hAnsiTheme="majorBidi" w:cstheme="majorBidi"/>
        </w:rPr>
        <w:t xml:space="preserve">Table </w:t>
      </w:r>
      <w:r w:rsidR="005409E2">
        <w:rPr>
          <w:rFonts w:asciiTheme="majorBidi" w:hAnsiTheme="majorBidi" w:cstheme="majorBidi"/>
        </w:rPr>
        <w:t>1</w:t>
      </w:r>
      <w:r w:rsidR="00632845">
        <w:rPr>
          <w:rFonts w:asciiTheme="majorBidi" w:hAnsiTheme="majorBidi" w:cstheme="majorBidi"/>
        </w:rPr>
        <w:t>)</w:t>
      </w:r>
      <w:r w:rsidR="00A65E8B">
        <w:rPr>
          <w:rFonts w:asciiTheme="majorBidi" w:hAnsiTheme="majorBidi" w:cstheme="majorBidi"/>
        </w:rPr>
        <w:t xml:space="preserve">. </w:t>
      </w:r>
    </w:p>
    <w:p w14:paraId="39F4F3BD" w14:textId="1681AC62" w:rsidR="0017089E" w:rsidRDefault="0017089E" w:rsidP="00F6013C">
      <w:pPr>
        <w:spacing w:line="480" w:lineRule="auto"/>
        <w:jc w:val="both"/>
        <w:rPr>
          <w:rFonts w:asciiTheme="majorBidi" w:hAnsiTheme="majorBidi" w:cstheme="majorBidi"/>
          <w:i/>
          <w:iCs/>
        </w:rPr>
      </w:pPr>
      <w:r>
        <w:rPr>
          <w:rFonts w:asciiTheme="majorBidi" w:hAnsiTheme="majorBidi" w:cstheme="majorBidi"/>
          <w:i/>
          <w:iCs/>
        </w:rPr>
        <w:t>Biochemical analys</w:t>
      </w:r>
      <w:r w:rsidR="00B25021">
        <w:rPr>
          <w:rFonts w:asciiTheme="majorBidi" w:hAnsiTheme="majorBidi" w:cstheme="majorBidi"/>
          <w:i/>
          <w:iCs/>
        </w:rPr>
        <w:t>e</w:t>
      </w:r>
      <w:r>
        <w:rPr>
          <w:rFonts w:asciiTheme="majorBidi" w:hAnsiTheme="majorBidi" w:cstheme="majorBidi"/>
          <w:i/>
          <w:iCs/>
        </w:rPr>
        <w:t>s</w:t>
      </w:r>
    </w:p>
    <w:p w14:paraId="1CD30FF9" w14:textId="5A1887AB" w:rsidR="00FA10EC" w:rsidRDefault="00604DCE" w:rsidP="00F6013C">
      <w:pPr>
        <w:spacing w:line="480" w:lineRule="auto"/>
        <w:jc w:val="both"/>
        <w:rPr>
          <w:rFonts w:asciiTheme="majorBidi" w:hAnsiTheme="majorBidi" w:cstheme="majorBidi"/>
          <w:iCs/>
        </w:rPr>
      </w:pPr>
      <w:r>
        <w:rPr>
          <w:rFonts w:asciiTheme="majorBidi" w:hAnsiTheme="majorBidi" w:cstheme="majorBidi"/>
          <w:iCs/>
        </w:rPr>
        <w:t xml:space="preserve">Blood samples were collected into ice-cooled </w:t>
      </w:r>
      <w:r w:rsidR="004376B0">
        <w:rPr>
          <w:rFonts w:asciiTheme="majorBidi" w:hAnsiTheme="majorBidi" w:cstheme="majorBidi"/>
          <w:iCs/>
        </w:rPr>
        <w:t>potassium EDTA</w:t>
      </w:r>
      <w:r w:rsidR="00B54CEF">
        <w:rPr>
          <w:rFonts w:asciiTheme="majorBidi" w:hAnsiTheme="majorBidi" w:cstheme="majorBidi"/>
          <w:iCs/>
        </w:rPr>
        <w:t xml:space="preserve"> and lithium heparin</w:t>
      </w:r>
      <w:r w:rsidR="004376B0">
        <w:rPr>
          <w:rFonts w:asciiTheme="majorBidi" w:hAnsiTheme="majorBidi" w:cstheme="majorBidi"/>
          <w:iCs/>
        </w:rPr>
        <w:t xml:space="preserve"> </w:t>
      </w:r>
      <w:proofErr w:type="spellStart"/>
      <w:r w:rsidR="000F6476">
        <w:rPr>
          <w:rFonts w:asciiTheme="majorBidi" w:hAnsiTheme="majorBidi" w:cstheme="majorBidi"/>
          <w:iCs/>
        </w:rPr>
        <w:t>monovettes</w:t>
      </w:r>
      <w:proofErr w:type="spellEnd"/>
      <w:r w:rsidR="000F6476">
        <w:rPr>
          <w:rFonts w:asciiTheme="majorBidi" w:hAnsiTheme="majorBidi" w:cstheme="majorBidi"/>
          <w:iCs/>
        </w:rPr>
        <w:t xml:space="preserve"> (</w:t>
      </w:r>
      <w:proofErr w:type="spellStart"/>
      <w:r w:rsidR="000F6476">
        <w:rPr>
          <w:rFonts w:asciiTheme="majorBidi" w:hAnsiTheme="majorBidi" w:cstheme="majorBidi"/>
          <w:iCs/>
        </w:rPr>
        <w:t>Sarstedt</w:t>
      </w:r>
      <w:proofErr w:type="spellEnd"/>
      <w:r w:rsidR="000F6476">
        <w:rPr>
          <w:rFonts w:asciiTheme="majorBidi" w:hAnsiTheme="majorBidi" w:cstheme="majorBidi"/>
          <w:iCs/>
        </w:rPr>
        <w:t xml:space="preserve">, Leicester, UK) </w:t>
      </w:r>
      <w:r w:rsidR="00A00C0D">
        <w:rPr>
          <w:rFonts w:asciiTheme="majorBidi" w:hAnsiTheme="majorBidi" w:cstheme="majorBidi"/>
          <w:iCs/>
        </w:rPr>
        <w:t xml:space="preserve">and </w:t>
      </w:r>
      <w:r w:rsidR="00432DF1">
        <w:rPr>
          <w:rFonts w:asciiTheme="majorBidi" w:hAnsiTheme="majorBidi" w:cstheme="majorBidi"/>
          <w:iCs/>
        </w:rPr>
        <w:t>were spun immediately in a refrigerated centrifuge</w:t>
      </w:r>
      <w:r w:rsidR="003379B1">
        <w:rPr>
          <w:rFonts w:asciiTheme="majorBidi" w:hAnsiTheme="majorBidi" w:cstheme="majorBidi"/>
          <w:iCs/>
        </w:rPr>
        <w:t xml:space="preserve"> (Heraeus </w:t>
      </w:r>
      <w:proofErr w:type="spellStart"/>
      <w:r w:rsidR="003379B1">
        <w:rPr>
          <w:rFonts w:asciiTheme="majorBidi" w:hAnsiTheme="majorBidi" w:cstheme="majorBidi"/>
          <w:iCs/>
        </w:rPr>
        <w:t>Labofuge</w:t>
      </w:r>
      <w:proofErr w:type="spellEnd"/>
      <w:r w:rsidR="003379B1">
        <w:rPr>
          <w:rFonts w:asciiTheme="majorBidi" w:hAnsiTheme="majorBidi" w:cstheme="majorBidi"/>
          <w:iCs/>
        </w:rPr>
        <w:t xml:space="preserve"> 400R</w:t>
      </w:r>
      <w:r w:rsidR="00EA7FD4">
        <w:rPr>
          <w:rFonts w:asciiTheme="majorBidi" w:hAnsiTheme="majorBidi" w:cstheme="majorBidi"/>
          <w:iCs/>
        </w:rPr>
        <w:t xml:space="preserve">, Thermo Fisher Scientific, </w:t>
      </w:r>
      <w:r w:rsidR="00486F8A">
        <w:rPr>
          <w:rFonts w:asciiTheme="majorBidi" w:hAnsiTheme="majorBidi" w:cstheme="majorBidi"/>
          <w:iCs/>
        </w:rPr>
        <w:t>Massachusetts, USA</w:t>
      </w:r>
      <w:r w:rsidR="00EA7FD4">
        <w:rPr>
          <w:rFonts w:asciiTheme="majorBidi" w:hAnsiTheme="majorBidi" w:cstheme="majorBidi"/>
          <w:iCs/>
        </w:rPr>
        <w:t>)</w:t>
      </w:r>
      <w:r w:rsidR="00432DF1">
        <w:rPr>
          <w:rFonts w:asciiTheme="majorBidi" w:hAnsiTheme="majorBidi" w:cstheme="majorBidi"/>
          <w:iCs/>
        </w:rPr>
        <w:t xml:space="preserve"> </w:t>
      </w:r>
      <w:r w:rsidR="00387E17">
        <w:rPr>
          <w:rFonts w:asciiTheme="majorBidi" w:hAnsiTheme="majorBidi" w:cstheme="majorBidi"/>
          <w:iCs/>
        </w:rPr>
        <w:t xml:space="preserve">at </w:t>
      </w:r>
      <w:r w:rsidR="00B363E6">
        <w:rPr>
          <w:rFonts w:asciiTheme="majorBidi" w:hAnsiTheme="majorBidi" w:cstheme="majorBidi"/>
          <w:iCs/>
        </w:rPr>
        <w:t>4</w:t>
      </w:r>
      <w:r w:rsidR="00486F8A">
        <w:rPr>
          <w:rFonts w:asciiTheme="majorBidi" w:hAnsiTheme="majorBidi" w:cstheme="majorBidi"/>
          <w:iCs/>
          <w:vertAlign w:val="superscript"/>
        </w:rPr>
        <w:t>°</w:t>
      </w:r>
      <w:r w:rsidR="00B363E6">
        <w:rPr>
          <w:rFonts w:asciiTheme="majorBidi" w:hAnsiTheme="majorBidi" w:cstheme="majorBidi"/>
          <w:iCs/>
        </w:rPr>
        <w:t>C</w:t>
      </w:r>
      <w:r w:rsidR="00A3486C">
        <w:rPr>
          <w:rFonts w:asciiTheme="majorBidi" w:hAnsiTheme="majorBidi" w:cstheme="majorBidi"/>
          <w:iCs/>
        </w:rPr>
        <w:t xml:space="preserve"> for 10 </w:t>
      </w:r>
      <w:r w:rsidR="00B0582D">
        <w:rPr>
          <w:rFonts w:asciiTheme="majorBidi" w:hAnsiTheme="majorBidi" w:cstheme="majorBidi"/>
          <w:iCs/>
        </w:rPr>
        <w:t>min (</w:t>
      </w:r>
      <w:r w:rsidR="00A3486C">
        <w:rPr>
          <w:rFonts w:asciiTheme="majorBidi" w:hAnsiTheme="majorBidi" w:cstheme="majorBidi"/>
          <w:iCs/>
        </w:rPr>
        <w:t>2383 x</w:t>
      </w:r>
      <w:r w:rsidR="00A3486C" w:rsidRPr="008E5C99">
        <w:rPr>
          <w:rFonts w:asciiTheme="majorBidi" w:hAnsiTheme="majorBidi" w:cstheme="majorBidi"/>
          <w:i/>
          <w:iCs/>
        </w:rPr>
        <w:t xml:space="preserve"> g</w:t>
      </w:r>
      <w:r w:rsidR="006C0E5D">
        <w:rPr>
          <w:rFonts w:asciiTheme="majorBidi" w:hAnsiTheme="majorBidi" w:cstheme="majorBidi"/>
        </w:rPr>
        <w:t>)</w:t>
      </w:r>
      <w:r w:rsidR="00B54CEF">
        <w:rPr>
          <w:rFonts w:asciiTheme="majorBidi" w:hAnsiTheme="majorBidi" w:cstheme="majorBidi"/>
          <w:iCs/>
        </w:rPr>
        <w:t xml:space="preserve">. </w:t>
      </w:r>
      <w:r w:rsidR="001867B4">
        <w:rPr>
          <w:rFonts w:asciiTheme="majorBidi" w:hAnsiTheme="majorBidi" w:cstheme="majorBidi"/>
          <w:iCs/>
        </w:rPr>
        <w:t>Plasma</w:t>
      </w:r>
      <w:r w:rsidR="008E5C99">
        <w:rPr>
          <w:rFonts w:asciiTheme="majorBidi" w:hAnsiTheme="majorBidi" w:cstheme="majorBidi"/>
          <w:iCs/>
        </w:rPr>
        <w:t xml:space="preserve"> </w:t>
      </w:r>
      <w:r w:rsidR="005407F6">
        <w:rPr>
          <w:rFonts w:asciiTheme="majorBidi" w:hAnsiTheme="majorBidi" w:cstheme="majorBidi"/>
          <w:iCs/>
        </w:rPr>
        <w:t xml:space="preserve">was </w:t>
      </w:r>
      <w:r w:rsidR="00B54CEF">
        <w:rPr>
          <w:rFonts w:asciiTheme="majorBidi" w:hAnsiTheme="majorBidi" w:cstheme="majorBidi"/>
          <w:iCs/>
        </w:rPr>
        <w:t xml:space="preserve">then </w:t>
      </w:r>
      <w:r w:rsidR="005407F6">
        <w:rPr>
          <w:rFonts w:asciiTheme="majorBidi" w:hAnsiTheme="majorBidi" w:cstheme="majorBidi"/>
          <w:iCs/>
        </w:rPr>
        <w:t>removed and aliquoted for storage at -80</w:t>
      </w:r>
      <w:r w:rsidR="00486F8A">
        <w:rPr>
          <w:rFonts w:asciiTheme="majorBidi" w:hAnsiTheme="majorBidi" w:cstheme="majorBidi"/>
          <w:iCs/>
          <w:vertAlign w:val="superscript"/>
        </w:rPr>
        <w:t>°</w:t>
      </w:r>
      <w:r w:rsidR="005407F6">
        <w:rPr>
          <w:rFonts w:asciiTheme="majorBidi" w:hAnsiTheme="majorBidi" w:cstheme="majorBidi"/>
          <w:iCs/>
        </w:rPr>
        <w:t xml:space="preserve">C. </w:t>
      </w:r>
      <w:r w:rsidR="00B54CEF">
        <w:rPr>
          <w:rFonts w:asciiTheme="majorBidi" w:hAnsiTheme="majorBidi" w:cstheme="majorBidi"/>
          <w:iCs/>
        </w:rPr>
        <w:t>Commercially available enzyme-</w:t>
      </w:r>
      <w:r w:rsidR="00E764C3">
        <w:rPr>
          <w:rFonts w:asciiTheme="majorBidi" w:hAnsiTheme="majorBidi" w:cstheme="majorBidi"/>
          <w:iCs/>
        </w:rPr>
        <w:t xml:space="preserve">linked immunosorbent assays were used to </w:t>
      </w:r>
      <w:r w:rsidR="0023471A">
        <w:rPr>
          <w:rFonts w:asciiTheme="majorBidi" w:hAnsiTheme="majorBidi" w:cstheme="majorBidi"/>
          <w:iCs/>
        </w:rPr>
        <w:t xml:space="preserve">measure </w:t>
      </w:r>
      <w:r w:rsidR="00AD6E93">
        <w:rPr>
          <w:rFonts w:asciiTheme="majorBidi" w:hAnsiTheme="majorBidi" w:cstheme="majorBidi"/>
          <w:iCs/>
        </w:rPr>
        <w:t>plasma</w:t>
      </w:r>
      <w:r w:rsidR="0023471A">
        <w:rPr>
          <w:rFonts w:asciiTheme="majorBidi" w:hAnsiTheme="majorBidi" w:cstheme="majorBidi"/>
          <w:iCs/>
        </w:rPr>
        <w:t xml:space="preserve"> concentrations of </w:t>
      </w:r>
      <w:r w:rsidR="003C4B9C">
        <w:rPr>
          <w:rFonts w:asciiTheme="majorBidi" w:hAnsiTheme="majorBidi" w:cstheme="majorBidi"/>
          <w:iCs/>
        </w:rPr>
        <w:t>FGF21 (R &amp; D Systems, Oxford, UK)</w:t>
      </w:r>
      <w:r w:rsidR="0023471A">
        <w:rPr>
          <w:rFonts w:asciiTheme="majorBidi" w:hAnsiTheme="majorBidi" w:cstheme="majorBidi"/>
          <w:iCs/>
        </w:rPr>
        <w:t>,</w:t>
      </w:r>
      <w:r w:rsidR="003C4B9C" w:rsidRPr="003C4B9C">
        <w:rPr>
          <w:rFonts w:asciiTheme="majorBidi" w:hAnsiTheme="majorBidi" w:cstheme="majorBidi"/>
          <w:iCs/>
        </w:rPr>
        <w:t xml:space="preserve"> </w:t>
      </w:r>
      <w:r w:rsidR="003C4B9C">
        <w:rPr>
          <w:rFonts w:asciiTheme="majorBidi" w:hAnsiTheme="majorBidi" w:cstheme="majorBidi"/>
          <w:iCs/>
        </w:rPr>
        <w:t>LECT2 (</w:t>
      </w:r>
      <w:proofErr w:type="spellStart"/>
      <w:r w:rsidR="003C4B9C">
        <w:rPr>
          <w:rFonts w:asciiTheme="majorBidi" w:hAnsiTheme="majorBidi" w:cstheme="majorBidi"/>
          <w:iCs/>
        </w:rPr>
        <w:t>BioVendor</w:t>
      </w:r>
      <w:proofErr w:type="spellEnd"/>
      <w:r w:rsidR="003C4B9C">
        <w:rPr>
          <w:rFonts w:asciiTheme="majorBidi" w:hAnsiTheme="majorBidi" w:cstheme="majorBidi"/>
          <w:iCs/>
        </w:rPr>
        <w:t>, Brno, Czech Republic)</w:t>
      </w:r>
      <w:r w:rsidR="0023471A">
        <w:rPr>
          <w:rFonts w:asciiTheme="majorBidi" w:hAnsiTheme="majorBidi" w:cstheme="majorBidi"/>
          <w:iCs/>
        </w:rPr>
        <w:t xml:space="preserve"> </w:t>
      </w:r>
      <w:r w:rsidR="0083038E">
        <w:rPr>
          <w:rFonts w:asciiTheme="majorBidi" w:hAnsiTheme="majorBidi" w:cstheme="majorBidi"/>
          <w:iCs/>
        </w:rPr>
        <w:t>,</w:t>
      </w:r>
      <w:r w:rsidR="00F02B49">
        <w:rPr>
          <w:rFonts w:asciiTheme="majorBidi" w:hAnsiTheme="majorBidi" w:cstheme="majorBidi"/>
          <w:iCs/>
        </w:rPr>
        <w:t xml:space="preserve"> fetuin-A</w:t>
      </w:r>
      <w:r w:rsidR="0083038E">
        <w:rPr>
          <w:rFonts w:asciiTheme="majorBidi" w:hAnsiTheme="majorBidi" w:cstheme="majorBidi"/>
          <w:iCs/>
        </w:rPr>
        <w:t xml:space="preserve"> (R</w:t>
      </w:r>
      <w:r w:rsidR="003C4B9C">
        <w:rPr>
          <w:rFonts w:asciiTheme="majorBidi" w:hAnsiTheme="majorBidi" w:cstheme="majorBidi"/>
          <w:iCs/>
        </w:rPr>
        <w:t xml:space="preserve"> </w:t>
      </w:r>
      <w:r w:rsidR="0083038E">
        <w:rPr>
          <w:rFonts w:asciiTheme="majorBidi" w:hAnsiTheme="majorBidi" w:cstheme="majorBidi"/>
          <w:iCs/>
        </w:rPr>
        <w:t>&amp;</w:t>
      </w:r>
      <w:r w:rsidR="003C4B9C">
        <w:rPr>
          <w:rFonts w:asciiTheme="majorBidi" w:hAnsiTheme="majorBidi" w:cstheme="majorBidi"/>
          <w:iCs/>
        </w:rPr>
        <w:t xml:space="preserve"> </w:t>
      </w:r>
      <w:r w:rsidR="0083038E">
        <w:rPr>
          <w:rFonts w:asciiTheme="majorBidi" w:hAnsiTheme="majorBidi" w:cstheme="majorBidi"/>
          <w:iCs/>
        </w:rPr>
        <w:t>D Systems</w:t>
      </w:r>
      <w:r w:rsidR="00AD6E93">
        <w:rPr>
          <w:rFonts w:asciiTheme="majorBidi" w:hAnsiTheme="majorBidi" w:cstheme="majorBidi"/>
          <w:iCs/>
        </w:rPr>
        <w:t>,</w:t>
      </w:r>
      <w:r w:rsidR="00F062C3">
        <w:rPr>
          <w:rFonts w:asciiTheme="majorBidi" w:hAnsiTheme="majorBidi" w:cstheme="majorBidi"/>
          <w:iCs/>
        </w:rPr>
        <w:t xml:space="preserve"> Oxford</w:t>
      </w:r>
      <w:r w:rsidR="00594B41">
        <w:rPr>
          <w:rFonts w:asciiTheme="majorBidi" w:hAnsiTheme="majorBidi" w:cstheme="majorBidi"/>
          <w:iCs/>
        </w:rPr>
        <w:t>,</w:t>
      </w:r>
      <w:r w:rsidR="00F062C3">
        <w:rPr>
          <w:rFonts w:asciiTheme="majorBidi" w:hAnsiTheme="majorBidi" w:cstheme="majorBidi"/>
          <w:iCs/>
        </w:rPr>
        <w:t xml:space="preserve"> UK),</w:t>
      </w:r>
      <w:r w:rsidR="00AD6E93">
        <w:rPr>
          <w:rFonts w:asciiTheme="majorBidi" w:hAnsiTheme="majorBidi" w:cstheme="majorBidi"/>
          <w:iCs/>
        </w:rPr>
        <w:t xml:space="preserve"> </w:t>
      </w:r>
      <w:r w:rsidR="00F02B49">
        <w:rPr>
          <w:rFonts w:asciiTheme="majorBidi" w:hAnsiTheme="majorBidi" w:cstheme="majorBidi"/>
          <w:iCs/>
        </w:rPr>
        <w:t>fetuin-</w:t>
      </w:r>
      <w:r w:rsidR="0097159B">
        <w:rPr>
          <w:rFonts w:asciiTheme="majorBidi" w:hAnsiTheme="majorBidi" w:cstheme="majorBidi"/>
          <w:iCs/>
        </w:rPr>
        <w:t>B</w:t>
      </w:r>
      <w:r w:rsidR="008F22FB">
        <w:rPr>
          <w:rFonts w:asciiTheme="majorBidi" w:hAnsiTheme="majorBidi" w:cstheme="majorBidi"/>
          <w:iCs/>
        </w:rPr>
        <w:t xml:space="preserve"> (</w:t>
      </w:r>
      <w:proofErr w:type="spellStart"/>
      <w:r w:rsidR="008849CE">
        <w:rPr>
          <w:rFonts w:asciiTheme="majorBidi" w:hAnsiTheme="majorBidi" w:cstheme="majorBidi"/>
          <w:iCs/>
        </w:rPr>
        <w:t>BioVendor</w:t>
      </w:r>
      <w:proofErr w:type="spellEnd"/>
      <w:r w:rsidR="008849CE">
        <w:rPr>
          <w:rFonts w:asciiTheme="majorBidi" w:hAnsiTheme="majorBidi" w:cstheme="majorBidi"/>
          <w:iCs/>
        </w:rPr>
        <w:t>, Brno, Czech Republic</w:t>
      </w:r>
      <w:r w:rsidR="008F22FB">
        <w:rPr>
          <w:rFonts w:asciiTheme="majorBidi" w:hAnsiTheme="majorBidi" w:cstheme="majorBidi"/>
          <w:iCs/>
        </w:rPr>
        <w:t>)</w:t>
      </w:r>
      <w:r w:rsidR="00AD6E93">
        <w:rPr>
          <w:rFonts w:asciiTheme="majorBidi" w:hAnsiTheme="majorBidi" w:cstheme="majorBidi"/>
          <w:iCs/>
        </w:rPr>
        <w:t xml:space="preserve"> and insulin</w:t>
      </w:r>
      <w:r w:rsidR="00657110">
        <w:rPr>
          <w:rFonts w:asciiTheme="majorBidi" w:hAnsiTheme="majorBidi" w:cstheme="majorBidi"/>
          <w:iCs/>
        </w:rPr>
        <w:t xml:space="preserve"> (</w:t>
      </w:r>
      <w:proofErr w:type="spellStart"/>
      <w:r w:rsidR="00657110">
        <w:rPr>
          <w:rFonts w:asciiTheme="majorBidi" w:hAnsiTheme="majorBidi" w:cstheme="majorBidi"/>
          <w:iCs/>
        </w:rPr>
        <w:t>Mercodia</w:t>
      </w:r>
      <w:proofErr w:type="spellEnd"/>
      <w:r w:rsidR="00460958">
        <w:rPr>
          <w:rFonts w:asciiTheme="majorBidi" w:hAnsiTheme="majorBidi" w:cstheme="majorBidi"/>
          <w:iCs/>
        </w:rPr>
        <w:t xml:space="preserve"> AB</w:t>
      </w:r>
      <w:r w:rsidR="00657110">
        <w:rPr>
          <w:rFonts w:asciiTheme="majorBidi" w:hAnsiTheme="majorBidi" w:cstheme="majorBidi"/>
          <w:iCs/>
        </w:rPr>
        <w:t>, Uppsala, Sweden)</w:t>
      </w:r>
      <w:r w:rsidR="005942EA">
        <w:rPr>
          <w:rFonts w:asciiTheme="majorBidi" w:hAnsiTheme="majorBidi" w:cstheme="majorBidi"/>
          <w:iCs/>
        </w:rPr>
        <w:t>.</w:t>
      </w:r>
      <w:r w:rsidR="00AD6E93">
        <w:rPr>
          <w:rFonts w:asciiTheme="majorBidi" w:hAnsiTheme="majorBidi" w:cstheme="majorBidi"/>
          <w:iCs/>
        </w:rPr>
        <w:t xml:space="preserve"> </w:t>
      </w:r>
      <w:r w:rsidR="005942EA">
        <w:rPr>
          <w:rFonts w:asciiTheme="majorBidi" w:hAnsiTheme="majorBidi" w:cstheme="majorBidi"/>
          <w:iCs/>
        </w:rPr>
        <w:t>P</w:t>
      </w:r>
      <w:r w:rsidR="00AD6E93">
        <w:rPr>
          <w:rFonts w:asciiTheme="majorBidi" w:hAnsiTheme="majorBidi" w:cstheme="majorBidi"/>
          <w:iCs/>
        </w:rPr>
        <w:t xml:space="preserve">lasma concentrations of full-length SeP </w:t>
      </w:r>
      <w:r w:rsidR="00E52B84">
        <w:rPr>
          <w:rFonts w:asciiTheme="majorBidi" w:hAnsiTheme="majorBidi" w:cstheme="majorBidi"/>
          <w:iCs/>
        </w:rPr>
        <w:t xml:space="preserve">were measured using a sol particle homogenous </w:t>
      </w:r>
      <w:r w:rsidR="008849CE">
        <w:rPr>
          <w:rFonts w:asciiTheme="majorBidi" w:hAnsiTheme="majorBidi" w:cstheme="majorBidi"/>
          <w:iCs/>
        </w:rPr>
        <w:t>immunoassay</w:t>
      </w:r>
      <w:r w:rsidR="00C81199">
        <w:rPr>
          <w:rFonts w:asciiTheme="majorBidi" w:hAnsiTheme="majorBidi" w:cstheme="majorBidi"/>
          <w:iCs/>
        </w:rPr>
        <w:t>,</w:t>
      </w:r>
      <w:r w:rsidR="008849CE">
        <w:rPr>
          <w:rFonts w:asciiTheme="majorBidi" w:hAnsiTheme="majorBidi" w:cstheme="majorBidi"/>
          <w:iCs/>
        </w:rPr>
        <w:t xml:space="preserve"> as previously </w:t>
      </w:r>
      <w:r w:rsidR="008849CE" w:rsidRPr="00CC6BE3">
        <w:rPr>
          <w:rFonts w:asciiTheme="majorBidi" w:hAnsiTheme="majorBidi" w:cstheme="majorBidi"/>
          <w:iCs/>
        </w:rPr>
        <w:t>reported</w:t>
      </w:r>
      <w:r w:rsidR="00E63E0A" w:rsidRPr="00CC6BE3">
        <w:rPr>
          <w:rFonts w:asciiTheme="majorBidi" w:hAnsiTheme="majorBidi" w:cstheme="majorBidi"/>
          <w:iCs/>
        </w:rPr>
        <w:t xml:space="preserve"> </w:t>
      </w:r>
      <w:r w:rsidR="009F4D8B" w:rsidRPr="009242F1">
        <w:rPr>
          <w:rFonts w:asciiTheme="majorBidi" w:hAnsiTheme="majorBidi" w:cstheme="majorBidi"/>
          <w:iCs/>
        </w:rPr>
        <w:fldChar w:fldCharType="begin" w:fldLock="1"/>
      </w:r>
      <w:r w:rsidR="007B52A5">
        <w:rPr>
          <w:rFonts w:asciiTheme="majorBidi" w:hAnsiTheme="majorBidi" w:cstheme="majorBidi"/>
          <w:iCs/>
        </w:rPr>
        <w:instrText>ADDIN CSL_CITATION { "citationItems" : [ { "id" : "ITEM-1", "itemData" : { "DOI" : "10.1002/jcla.21824", "ISBN" : "1098-2825 (Electronic)\\r0887-8013 (Linking)", "ISSN" : "08878013", "PMID" : "25545464", "abstract" : "BACKGROUND Selenoprotein P (SeP), a selenium-rich extracellular glycoprotein, is the primary selenoprotein in the plasma. SeP plays an important role in the maintenance of selenium levels in the peripheral tissues. We developed a new sol particle homogeneous immunoassay (SPIA) for measuring full-length SeP (FL-SeP) levels in the human serum. METHODS We used colloidal gold particles coated with two types of anti-SeP monoclonal antibodies, one recognizing the N-terminal side domain of SeP and the other recognizing the C-terminal side domain. RESULTS The assay range was 0.2-9 mg/l, and the linearity was excellent. The within-day and between-day coefficients of variation ranged from 0.73% to 2.24% and 0.45% to 1.11%, respectively. Serum samples (n = 200) were examined using the newly developed assay system (employing a Model 7070 Hitachi automatic clinical analyzer) and the conventional enzyme-linked immunosorbent assay. These two methods were compared using the Passing-Bablok regression analysis; the resulting regression equation and correlation coefficient were y = 0.940x + 0.165 and r = 0.954, respectively. CONCLUSIONS Our new SPIA assay is a fully automated homogeneous immunoassay that can be used in conjunction with various commercial analyzers. The assay was sensitive, precise, and suitable for clinical measurement of the FL-SeP in the human serum.", "author" : [ { "dropping-particle" : "", "family" : "Tanaka", "given" : "Mutsumi", "non-dropping-particle" : "", "parse-names" : false, "suffix" : "" }, { "dropping-particle" : "", "family" : "Saito", "given" : "Yoshiro", "non-dropping-particle" : "", "parse-names" : false, "suffix" : "" }, { "dropping-particle" : "", "family" : "Misu", "given" : "Hirofumi", "non-dropping-particle" : "", "parse-names" : false, "suffix" : "" }, { "dropping-particle" : "", "family" : "Kato", "given" : "Seiji", "non-dropping-particle" : "", "parse-names" : false, "suffix" : "" }, { "dropping-particle" : "", "family" : "Kita", "given" : "Yuki", "non-dropping-particle" : "", "parse-names" : false, "suffix" : "" }, { "dropping-particle" : "", "family" : "Takeshita", "given" : "Yumie", "non-dropping-particle" : "", "parse-names" : false, "suffix" : "" }, { "dropping-particle" : "", "family" : "Kanamori", "given" : "Takehiro",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"Urabe", "given" : "Takeshi", "non-dropping-particle" : "", "parse-names" : false, "suffix" : "" }, { "dropping-particle" : "", "family" : "Takamura", "given" : "Toshinari", "non-dropping-particle" : "", "parse-names" : false, "suffix" : "" }, { "dropping-particle" : "", "family" : "Kaneko", "given" : "Shuichi", "non-dropping-particle" : "", "parse-names" : false, "suffix" : "" }, { "dropping-particle" : "", "family" : "Takahashi", "given" : "Kazuhiko", "non-dropping-particle" : "", "parse-names" : false, "suffix" : "" }, { "dropping-particle" : "", "family" : "Matsuyama", "given" : "Naoto", "non-dropping-particle" : "", "parse-names" : false, "suffix" : "" } ], "container-title" : "Journal of Clinical Laboratory Analysis", "id" : "ITEM-1", "issue" : "2", "issued" : { "date-parts" : [ [ "2016", "3" ] ] }, "page" : "114-122", "title" : "Development of a Sol Particle Homogeneous Immunoassay for Measuring Full-Length Selenoprotein P in Human Serum", "type" : "article-journal", "volume" : "30" }, "uris" : [ "http://www.mendeley.com/documents/?uuid=80391952-49a2-402d-b68f-8ba4547afa04" ] }, { "id" : "ITEM-2", "itemData" : { "DOI" : "10.1248/bpb.b18-00046", "ISSN" : "0918-6158", "PMID" : "29709922", "abstract" : "\u00a9 2018 The Pharmaceutical Society of Japan. Selenoprotein P (SeP) is a selenium (Se)-rich extracellular protein. SeP is identified as a hepatokine, causing insulin resistance in type 2 diabetes. Thus, the measurement of SeP in serum has received much attention, and several enzyme-linked immunosorbent assay (ELISA) kits for SeP determination are now commercially available. In the present study, we determined the serum SeP levels by our original ELISA and sol particle homogeneous immunoassay (SPIA) methods and also by commercially available kits, and these determinants were compared. We found a kit-dependent correlation of the determinants with our methods. These results suggest that the selection of kit is critical for comparison with our previous reports and for discussing the relationship between the serum SeP levels and disease condition.", "author" : [ { "dropping-particle" : "", "family" : "Saito", "given" : "Yoshiro", "non-dropping-particle" : "", "parse-names" : false, "suffix" : "" }, { "dropping-particle" : "", "family" : "Misu", "given" : "Hirofumi", "non-dropping-particle" : "", "parse-names" : false, "suffix" : "" }, { "dropping-particle" : "", "family" : "Takayama", "given" : "Hiroaki", "non-dropping-particle" : "", "parse-names" : false, "suffix" : "" }, { "dropping-particle" : "", "family" : "Takashima", "given" : "Shin-ichiro", "non-dropping-particle" : "", "parse-names" : false, "suffix" : "" }, { "dropping-particle" : "", "family" : "Usui", "given" : "Soichiro", "non-dropping-particle" : "", "parse-names" : false, "suffix" : "" }, { "dropping-particle" : "", "family" : "Takamura", "given" : "Masayuki", "non-dropping-particle" : "", "parse-names" : false, "suffix" : "" }, { "dropping-particle" : "", "family" : "Kaneko", "given" : "Shuichi", "non-dropping-particle" : "", "parse-names" : false, "suffix" : "" }, { "dropping-particle" : "", "family" : "Takamura", "given" : "Toshinari", "non-dropping-particle" : "", "parse-names" : false, "suffix" : "" }, { "dropping-particle" : "", "family" : "Noguchi", "given" : "Noriko", "non-dropping-particle" : "", "parse-names" : false, "suffix" : "" } ], "container-title" : "Biological and Pharmaceutical Bulletin", "id" : "ITEM-2", "issue" : "5", "issued" : { "date-parts" : [ [ "2018", "5", "1" ] ] }, "page" : "828-832", "title" : "Comparison of Human Selenoprotein P Determinants in Serum between Our Original Methods and Commercially Available Kits", "type" : "article-journal", "volume" : "41" }, "uris" : [ "http://www.mendeley.com/documents/?uuid=5d58d415-6b0c-4db3-9504-d45a4230fe80" ] } ], "mendeley" : { "formattedCitation" : "(33,34)", "plainTextFormattedCitation" : "(33,34)", "previouslyFormattedCitation" : "(33,34)" }, "properties" : { "noteIndex" : 10 }, "schema" : "https://github.com/citation-style-language/schema/raw/master/csl-citation.json" }</w:instrText>
      </w:r>
      <w:r w:rsidR="009F4D8B" w:rsidRPr="009242F1">
        <w:rPr>
          <w:rFonts w:asciiTheme="majorBidi" w:hAnsiTheme="majorBidi" w:cstheme="majorBidi"/>
          <w:iCs/>
        </w:rPr>
        <w:fldChar w:fldCharType="separate"/>
      </w:r>
      <w:r w:rsidR="007B52A5" w:rsidRPr="007B52A5">
        <w:rPr>
          <w:rFonts w:asciiTheme="majorBidi" w:hAnsiTheme="majorBidi" w:cstheme="majorBidi"/>
          <w:iCs/>
          <w:noProof/>
        </w:rPr>
        <w:t>(33,34)</w:t>
      </w:r>
      <w:r w:rsidR="009F4D8B" w:rsidRPr="009242F1">
        <w:rPr>
          <w:rFonts w:asciiTheme="majorBidi" w:hAnsiTheme="majorBidi" w:cstheme="majorBidi"/>
          <w:iCs/>
        </w:rPr>
        <w:fldChar w:fldCharType="end"/>
      </w:r>
      <w:r w:rsidR="003F001A" w:rsidRPr="00CC6BE3">
        <w:rPr>
          <w:rFonts w:asciiTheme="majorBidi" w:hAnsiTheme="majorBidi" w:cstheme="majorBidi"/>
          <w:iCs/>
        </w:rPr>
        <w:t>. The</w:t>
      </w:r>
      <w:r w:rsidR="003F001A">
        <w:rPr>
          <w:rFonts w:asciiTheme="majorBidi" w:hAnsiTheme="majorBidi" w:cstheme="majorBidi"/>
          <w:iCs/>
        </w:rPr>
        <w:t xml:space="preserve"> mean within-batch coefficient</w:t>
      </w:r>
      <w:r w:rsidR="00E34E9A">
        <w:rPr>
          <w:rFonts w:asciiTheme="majorBidi" w:hAnsiTheme="majorBidi" w:cstheme="majorBidi"/>
          <w:iCs/>
        </w:rPr>
        <w:t>s</w:t>
      </w:r>
      <w:r w:rsidR="003F001A">
        <w:rPr>
          <w:rFonts w:asciiTheme="majorBidi" w:hAnsiTheme="majorBidi" w:cstheme="majorBidi"/>
          <w:iCs/>
        </w:rPr>
        <w:t xml:space="preserve"> of variation</w:t>
      </w:r>
      <w:r w:rsidR="00F02B49">
        <w:rPr>
          <w:rFonts w:asciiTheme="majorBidi" w:hAnsiTheme="majorBidi" w:cstheme="majorBidi"/>
          <w:iCs/>
        </w:rPr>
        <w:t xml:space="preserve"> (CV)</w:t>
      </w:r>
      <w:r w:rsidR="003F001A">
        <w:rPr>
          <w:rFonts w:asciiTheme="majorBidi" w:hAnsiTheme="majorBidi" w:cstheme="majorBidi"/>
          <w:iCs/>
        </w:rPr>
        <w:t xml:space="preserve"> for these assays w</w:t>
      </w:r>
      <w:r w:rsidR="00E34E9A">
        <w:rPr>
          <w:rFonts w:asciiTheme="majorBidi" w:hAnsiTheme="majorBidi" w:cstheme="majorBidi"/>
          <w:iCs/>
        </w:rPr>
        <w:t xml:space="preserve">ere as follows: </w:t>
      </w:r>
      <w:r w:rsidR="003C4B9C">
        <w:rPr>
          <w:rFonts w:asciiTheme="majorBidi" w:hAnsiTheme="majorBidi" w:cstheme="majorBidi"/>
          <w:iCs/>
        </w:rPr>
        <w:t xml:space="preserve">FGF21 8.2%, </w:t>
      </w:r>
      <w:r w:rsidR="003C4B9C" w:rsidRPr="003C4B9C">
        <w:rPr>
          <w:rFonts w:asciiTheme="majorBidi" w:hAnsiTheme="majorBidi" w:cstheme="majorBidi"/>
          <w:iCs/>
        </w:rPr>
        <w:t>LECT</w:t>
      </w:r>
      <w:r w:rsidR="003C4B9C">
        <w:rPr>
          <w:rFonts w:asciiTheme="majorBidi" w:hAnsiTheme="majorBidi" w:cstheme="majorBidi"/>
          <w:iCs/>
        </w:rPr>
        <w:t>2 3.7%</w:t>
      </w:r>
      <w:r w:rsidR="00A075EB">
        <w:rPr>
          <w:rFonts w:asciiTheme="majorBidi" w:hAnsiTheme="majorBidi" w:cstheme="majorBidi"/>
          <w:iCs/>
        </w:rPr>
        <w:t xml:space="preserve">, fetuin-A </w:t>
      </w:r>
      <w:r w:rsidR="00DE6407">
        <w:rPr>
          <w:rFonts w:asciiTheme="majorBidi" w:hAnsiTheme="majorBidi" w:cstheme="majorBidi"/>
          <w:iCs/>
        </w:rPr>
        <w:t>4.5%, fetuin-B 2.8%</w:t>
      </w:r>
      <w:r w:rsidR="001867B4">
        <w:rPr>
          <w:rFonts w:asciiTheme="majorBidi" w:hAnsiTheme="majorBidi" w:cstheme="majorBidi"/>
          <w:iCs/>
        </w:rPr>
        <w:t xml:space="preserve">, SeP </w:t>
      </w:r>
      <w:r w:rsidR="00B00F5E">
        <w:rPr>
          <w:rFonts w:asciiTheme="majorBidi" w:hAnsiTheme="majorBidi" w:cstheme="majorBidi"/>
          <w:iCs/>
        </w:rPr>
        <w:t>4</w:t>
      </w:r>
      <w:r w:rsidR="000A1539">
        <w:rPr>
          <w:rFonts w:asciiTheme="majorBidi" w:hAnsiTheme="majorBidi" w:cstheme="majorBidi"/>
          <w:iCs/>
        </w:rPr>
        <w:t>.0</w:t>
      </w:r>
      <w:r w:rsidR="001867B4">
        <w:rPr>
          <w:rFonts w:asciiTheme="majorBidi" w:hAnsiTheme="majorBidi" w:cstheme="majorBidi"/>
          <w:iCs/>
        </w:rPr>
        <w:t>%</w:t>
      </w:r>
      <w:r w:rsidR="0031077F">
        <w:rPr>
          <w:rFonts w:asciiTheme="majorBidi" w:hAnsiTheme="majorBidi" w:cstheme="majorBidi"/>
          <w:iCs/>
        </w:rPr>
        <w:t xml:space="preserve"> and</w:t>
      </w:r>
      <w:r w:rsidR="00DE6407">
        <w:rPr>
          <w:rFonts w:asciiTheme="majorBidi" w:hAnsiTheme="majorBidi" w:cstheme="majorBidi"/>
          <w:iCs/>
        </w:rPr>
        <w:t xml:space="preserve"> </w:t>
      </w:r>
      <w:r w:rsidR="00637625">
        <w:rPr>
          <w:rFonts w:asciiTheme="majorBidi" w:hAnsiTheme="majorBidi" w:cstheme="majorBidi"/>
          <w:iCs/>
        </w:rPr>
        <w:t>insulin 6.</w:t>
      </w:r>
      <w:r w:rsidR="00385F5A">
        <w:rPr>
          <w:rFonts w:asciiTheme="majorBidi" w:hAnsiTheme="majorBidi" w:cstheme="majorBidi"/>
          <w:iCs/>
        </w:rPr>
        <w:t>5</w:t>
      </w:r>
      <w:r w:rsidR="00637625">
        <w:rPr>
          <w:rFonts w:asciiTheme="majorBidi" w:hAnsiTheme="majorBidi" w:cstheme="majorBidi"/>
          <w:iCs/>
        </w:rPr>
        <w:t>%</w:t>
      </w:r>
      <w:r w:rsidR="003F001A">
        <w:rPr>
          <w:rFonts w:asciiTheme="majorBidi" w:hAnsiTheme="majorBidi" w:cstheme="majorBidi"/>
          <w:iCs/>
        </w:rPr>
        <w:t>.</w:t>
      </w:r>
      <w:r w:rsidR="0097159B">
        <w:rPr>
          <w:rFonts w:asciiTheme="majorBidi" w:hAnsiTheme="majorBidi" w:cstheme="majorBidi"/>
          <w:iCs/>
        </w:rPr>
        <w:t xml:space="preserve"> </w:t>
      </w:r>
      <w:r w:rsidR="00093726">
        <w:rPr>
          <w:rFonts w:asciiTheme="majorBidi" w:hAnsiTheme="majorBidi" w:cstheme="majorBidi"/>
          <w:iCs/>
        </w:rPr>
        <w:t xml:space="preserve">Circulating concentrations of </w:t>
      </w:r>
      <w:r w:rsidR="00D13DD2">
        <w:rPr>
          <w:rFonts w:asciiTheme="majorBidi" w:hAnsiTheme="majorBidi" w:cstheme="majorBidi"/>
          <w:iCs/>
        </w:rPr>
        <w:t>non-esterified fatty acids (</w:t>
      </w:r>
      <w:r w:rsidR="00093726">
        <w:rPr>
          <w:rFonts w:asciiTheme="majorBidi" w:hAnsiTheme="majorBidi" w:cstheme="majorBidi"/>
          <w:iCs/>
        </w:rPr>
        <w:t>NEFA</w:t>
      </w:r>
      <w:r w:rsidR="00D13DD2">
        <w:rPr>
          <w:rFonts w:asciiTheme="majorBidi" w:hAnsiTheme="majorBidi" w:cstheme="majorBidi"/>
          <w:iCs/>
        </w:rPr>
        <w:t>)</w:t>
      </w:r>
      <w:r w:rsidR="00093726">
        <w:rPr>
          <w:rFonts w:asciiTheme="majorBidi" w:hAnsiTheme="majorBidi" w:cstheme="majorBidi"/>
          <w:iCs/>
        </w:rPr>
        <w:t>, triacylglycerol</w:t>
      </w:r>
      <w:r w:rsidR="00C22369">
        <w:rPr>
          <w:rFonts w:asciiTheme="majorBidi" w:hAnsiTheme="majorBidi" w:cstheme="majorBidi"/>
          <w:iCs/>
        </w:rPr>
        <w:t xml:space="preserve"> (TAG), glucose, </w:t>
      </w:r>
      <w:r w:rsidR="000D2227">
        <w:rPr>
          <w:rFonts w:asciiTheme="majorBidi" w:hAnsiTheme="majorBidi" w:cstheme="majorBidi"/>
          <w:iCs/>
        </w:rPr>
        <w:t>alanine aminotransferase</w:t>
      </w:r>
      <w:r w:rsidR="00631DCB">
        <w:rPr>
          <w:rFonts w:asciiTheme="majorBidi" w:hAnsiTheme="majorBidi" w:cstheme="majorBidi"/>
          <w:iCs/>
        </w:rPr>
        <w:t xml:space="preserve"> </w:t>
      </w:r>
      <w:r w:rsidR="00C22369">
        <w:rPr>
          <w:rFonts w:asciiTheme="majorBidi" w:hAnsiTheme="majorBidi" w:cstheme="majorBidi"/>
          <w:iCs/>
        </w:rPr>
        <w:t>(A</w:t>
      </w:r>
      <w:r w:rsidR="000D2227">
        <w:rPr>
          <w:rFonts w:asciiTheme="majorBidi" w:hAnsiTheme="majorBidi" w:cstheme="majorBidi"/>
          <w:iCs/>
        </w:rPr>
        <w:t>LT</w:t>
      </w:r>
      <w:r w:rsidR="00631DCB">
        <w:rPr>
          <w:rFonts w:asciiTheme="majorBidi" w:hAnsiTheme="majorBidi" w:cstheme="majorBidi"/>
          <w:iCs/>
        </w:rPr>
        <w:t>), aspartate aminotransferase</w:t>
      </w:r>
      <w:r w:rsidR="00C22369">
        <w:rPr>
          <w:rFonts w:asciiTheme="majorBidi" w:hAnsiTheme="majorBidi" w:cstheme="majorBidi"/>
          <w:iCs/>
        </w:rPr>
        <w:t xml:space="preserve"> </w:t>
      </w:r>
      <w:r w:rsidR="00631DCB">
        <w:rPr>
          <w:rFonts w:asciiTheme="majorBidi" w:hAnsiTheme="majorBidi" w:cstheme="majorBidi"/>
          <w:iCs/>
        </w:rPr>
        <w:t>(</w:t>
      </w:r>
      <w:r w:rsidR="00C22369">
        <w:rPr>
          <w:rFonts w:asciiTheme="majorBidi" w:hAnsiTheme="majorBidi" w:cstheme="majorBidi"/>
          <w:iCs/>
        </w:rPr>
        <w:t>A</w:t>
      </w:r>
      <w:r w:rsidR="000D2227">
        <w:rPr>
          <w:rFonts w:asciiTheme="majorBidi" w:hAnsiTheme="majorBidi" w:cstheme="majorBidi"/>
          <w:iCs/>
        </w:rPr>
        <w:t>S</w:t>
      </w:r>
      <w:r w:rsidR="00C22369">
        <w:rPr>
          <w:rFonts w:asciiTheme="majorBidi" w:hAnsiTheme="majorBidi" w:cstheme="majorBidi"/>
          <w:iCs/>
        </w:rPr>
        <w:t>T)</w:t>
      </w:r>
      <w:r w:rsidR="00355B06">
        <w:rPr>
          <w:rFonts w:asciiTheme="majorBidi" w:hAnsiTheme="majorBidi" w:cstheme="majorBidi"/>
          <w:iCs/>
        </w:rPr>
        <w:t xml:space="preserve"> and gamma-</w:t>
      </w:r>
      <w:proofErr w:type="spellStart"/>
      <w:r w:rsidR="00355B06">
        <w:rPr>
          <w:rFonts w:asciiTheme="majorBidi" w:hAnsiTheme="majorBidi" w:cstheme="majorBidi"/>
          <w:iCs/>
        </w:rPr>
        <w:t>glutamyl</w:t>
      </w:r>
      <w:r w:rsidR="000D2227">
        <w:rPr>
          <w:rFonts w:asciiTheme="majorBidi" w:hAnsiTheme="majorBidi" w:cstheme="majorBidi"/>
          <w:iCs/>
        </w:rPr>
        <w:t>transferase</w:t>
      </w:r>
      <w:proofErr w:type="spellEnd"/>
      <w:r w:rsidR="000D2227">
        <w:rPr>
          <w:rFonts w:asciiTheme="majorBidi" w:hAnsiTheme="majorBidi" w:cstheme="majorBidi"/>
          <w:iCs/>
        </w:rPr>
        <w:t xml:space="preserve"> </w:t>
      </w:r>
      <w:r w:rsidR="00355B06">
        <w:rPr>
          <w:rFonts w:asciiTheme="majorBidi" w:hAnsiTheme="majorBidi" w:cstheme="majorBidi"/>
          <w:iCs/>
        </w:rPr>
        <w:t>(GGT) were analysed by enz</w:t>
      </w:r>
      <w:r w:rsidR="001913C2">
        <w:rPr>
          <w:rFonts w:asciiTheme="majorBidi" w:hAnsiTheme="majorBidi" w:cstheme="majorBidi"/>
          <w:iCs/>
        </w:rPr>
        <w:t>ymatic</w:t>
      </w:r>
      <w:r w:rsidR="007F4EE3">
        <w:rPr>
          <w:rFonts w:asciiTheme="majorBidi" w:hAnsiTheme="majorBidi" w:cstheme="majorBidi"/>
          <w:iCs/>
        </w:rPr>
        <w:t>,</w:t>
      </w:r>
      <w:r w:rsidR="001913C2">
        <w:rPr>
          <w:rFonts w:asciiTheme="majorBidi" w:hAnsiTheme="majorBidi" w:cstheme="majorBidi"/>
          <w:iCs/>
        </w:rPr>
        <w:t xml:space="preserve"> colorimetric methods using a bench</w:t>
      </w:r>
      <w:r w:rsidR="007F4EE3">
        <w:rPr>
          <w:rFonts w:asciiTheme="majorBidi" w:hAnsiTheme="majorBidi" w:cstheme="majorBidi"/>
          <w:iCs/>
        </w:rPr>
        <w:t>-</w:t>
      </w:r>
      <w:r w:rsidR="001913C2">
        <w:rPr>
          <w:rFonts w:asciiTheme="majorBidi" w:hAnsiTheme="majorBidi" w:cstheme="majorBidi"/>
          <w:iCs/>
        </w:rPr>
        <w:t>top analyser (</w:t>
      </w:r>
      <w:proofErr w:type="spellStart"/>
      <w:r w:rsidR="001913C2">
        <w:rPr>
          <w:rFonts w:asciiTheme="majorBidi" w:hAnsiTheme="majorBidi" w:cstheme="majorBidi"/>
          <w:iCs/>
        </w:rPr>
        <w:t>Pentra</w:t>
      </w:r>
      <w:proofErr w:type="spellEnd"/>
      <w:r w:rsidR="001913C2">
        <w:rPr>
          <w:rFonts w:asciiTheme="majorBidi" w:hAnsiTheme="majorBidi" w:cstheme="majorBidi"/>
          <w:iCs/>
        </w:rPr>
        <w:t xml:space="preserve"> 400, </w:t>
      </w:r>
      <w:r w:rsidR="002D5F40">
        <w:rPr>
          <w:rFonts w:asciiTheme="majorBidi" w:hAnsiTheme="majorBidi" w:cstheme="majorBidi"/>
          <w:iCs/>
        </w:rPr>
        <w:t>Horiba Medical</w:t>
      </w:r>
      <w:r w:rsidR="00B125C6">
        <w:rPr>
          <w:rFonts w:asciiTheme="majorBidi" w:hAnsiTheme="majorBidi" w:cstheme="majorBidi"/>
          <w:iCs/>
        </w:rPr>
        <w:t xml:space="preserve">, Montpellier, </w:t>
      </w:r>
      <w:r w:rsidR="00D9479A">
        <w:rPr>
          <w:rFonts w:asciiTheme="majorBidi" w:hAnsiTheme="majorBidi" w:cstheme="majorBidi"/>
          <w:iCs/>
        </w:rPr>
        <w:t xml:space="preserve">France; </w:t>
      </w:r>
      <w:r w:rsidR="00231400">
        <w:rPr>
          <w:rFonts w:asciiTheme="majorBidi" w:hAnsiTheme="majorBidi" w:cstheme="majorBidi"/>
          <w:iCs/>
        </w:rPr>
        <w:t xml:space="preserve">all </w:t>
      </w:r>
      <w:r w:rsidR="00D9479A">
        <w:rPr>
          <w:rFonts w:asciiTheme="majorBidi" w:hAnsiTheme="majorBidi" w:cstheme="majorBidi"/>
          <w:iCs/>
        </w:rPr>
        <w:t>within-batch CV</w:t>
      </w:r>
      <w:r w:rsidR="00231400">
        <w:rPr>
          <w:rFonts w:asciiTheme="majorBidi" w:hAnsiTheme="majorBidi" w:cstheme="majorBidi"/>
          <w:iCs/>
        </w:rPr>
        <w:t xml:space="preserve"> ≤ </w:t>
      </w:r>
      <w:r w:rsidR="00494E84">
        <w:rPr>
          <w:rFonts w:asciiTheme="majorBidi" w:hAnsiTheme="majorBidi" w:cstheme="majorBidi"/>
          <w:iCs/>
        </w:rPr>
        <w:t>5.0</w:t>
      </w:r>
      <w:r w:rsidR="00231400">
        <w:rPr>
          <w:rFonts w:asciiTheme="majorBidi" w:hAnsiTheme="majorBidi" w:cstheme="majorBidi"/>
          <w:iCs/>
        </w:rPr>
        <w:t xml:space="preserve">%). </w:t>
      </w:r>
      <w:r w:rsidR="00F472CA">
        <w:rPr>
          <w:rFonts w:asciiTheme="majorBidi" w:hAnsiTheme="majorBidi" w:cstheme="majorBidi"/>
          <w:iCs/>
        </w:rPr>
        <w:t xml:space="preserve">Insulin resistance was assessed by </w:t>
      </w:r>
      <w:r w:rsidR="008951DD">
        <w:rPr>
          <w:rFonts w:asciiTheme="majorBidi" w:hAnsiTheme="majorBidi" w:cstheme="majorBidi"/>
          <w:iCs/>
        </w:rPr>
        <w:t>the homeosta</w:t>
      </w:r>
      <w:r w:rsidR="001419AA">
        <w:rPr>
          <w:rFonts w:asciiTheme="majorBidi" w:hAnsiTheme="majorBidi" w:cstheme="majorBidi"/>
          <w:iCs/>
        </w:rPr>
        <w:t>t</w:t>
      </w:r>
      <w:r w:rsidR="008951DD">
        <w:rPr>
          <w:rFonts w:asciiTheme="majorBidi" w:hAnsiTheme="majorBidi" w:cstheme="majorBidi"/>
          <w:iCs/>
        </w:rPr>
        <w:t>i</w:t>
      </w:r>
      <w:r w:rsidR="001419AA">
        <w:rPr>
          <w:rFonts w:asciiTheme="majorBidi" w:hAnsiTheme="majorBidi" w:cstheme="majorBidi"/>
          <w:iCs/>
        </w:rPr>
        <w:t>c</w:t>
      </w:r>
      <w:r w:rsidR="008951DD">
        <w:rPr>
          <w:rFonts w:asciiTheme="majorBidi" w:hAnsiTheme="majorBidi" w:cstheme="majorBidi"/>
          <w:iCs/>
        </w:rPr>
        <w:t xml:space="preserve"> model assessment of insulin resistance (</w:t>
      </w:r>
      <w:r w:rsidR="00F472CA">
        <w:rPr>
          <w:rFonts w:asciiTheme="majorBidi" w:hAnsiTheme="majorBidi" w:cstheme="majorBidi"/>
          <w:iCs/>
        </w:rPr>
        <w:t>HOMA-I</w:t>
      </w:r>
      <w:r w:rsidR="008951DD">
        <w:rPr>
          <w:rFonts w:asciiTheme="majorBidi" w:hAnsiTheme="majorBidi" w:cstheme="majorBidi"/>
          <w:iCs/>
        </w:rPr>
        <w:t xml:space="preserve">R; </w:t>
      </w:r>
      <w:r w:rsidR="009F4D8B" w:rsidRPr="009242F1">
        <w:rPr>
          <w:rFonts w:asciiTheme="majorBidi" w:hAnsiTheme="majorBidi" w:cstheme="majorBidi"/>
          <w:iCs/>
        </w:rPr>
        <w:fldChar w:fldCharType="begin" w:fldLock="1"/>
      </w:r>
      <w:r w:rsidR="007B52A5">
        <w:rPr>
          <w:rFonts w:asciiTheme="majorBidi" w:hAnsiTheme="majorBidi" w:cstheme="majorBidi"/>
          <w:iCs/>
        </w:rPr>
        <w:instrText>ADDIN CSL_CITATION { "citationItems" : [ { "id" : "ITEM-1", "itemData" : { "DOI" : "10.1007/BF00280883", "ISBN" : "0012-186X (Print)", "ISSN" : "0012-186X", "PMID" : "3899825", "abstract" : "The steady-state basal plasma glucose and insulin concentrations are determined by their interaction in a feedback loop. A computer-solved model has been used to predict the homeostatic concentrations which arise from varying degrees beta-cell deficiency and insulin resistance. Comparison of a patient's fasting values with the model's predictions allows a quantitative assessment of the contributions of insulin resistance and deficient beta-cell function to the fasting hyperglycaemia (homeostasis model assessment, HOMA). The accuracy and precision of the estimate have been determined by comparison with independent measures of insulin resistance and beta-cell function using hyperglycaemic and euglycaemic clamps and an intravenous glucose tolerance test. The estimate of insulin resistance obtained by homeostasis model assessment correlated with estimates obtained by use of the euglycaemic clamp (Rs = 0.88, p less than 0.0001), the fasting insulin concentration (Rs = 0.81, p less than 0.0001), and the hyperglycaemic clamp, (Rs = 0.69, p less than 0.01). There was no correlation with any aspect of insulin-receptor binding. The estimate of deficient beta-cell function obtained by homeostasis model assessment correlated with that derived using the hyperglycaemic clamp (Rs = 0.61, p less than 0.01) and with the estimate from the intravenous glucose tolerance test (Rs = 0.64, p less than 0.05). The low precision of the estimates from the model (coefficients of variation: 31% for insulin resistance and 32% for beta-cell deficit) limits its use, but the correlation of the model's estimates with patient data accords with the hypothesis that basal glucose and insulin interactions are largely determined by a simple feed back loop.", "author" : [ { "dropping-particle" : "", "family" : "Matthews", "given" : "D. R.", "non-dropping-particle" : "", "parse-names" : false, "suffix" : "" }, { "dropping-particle" : "", "family" : "Hosker", "given" : "J. P.", "non-dropping-particle" : "", "parse-names" : false, "suffix" : "" }, { "dropping-particle" : "", "family" : "Rudenski", "given" : "A. S.", "non-dropping-particle" : "", "parse-names" : false, "suffix" : "" }, { "dropping-particle" : "", "family" : "Naylor", "given" : "B. A.", "non-dropping-particle" : "", "parse-names" : false, "suffix" : "" }, { "dropping-particle" : "", "family" : "Treacher", "given" : "D. F.", "non-dropping-particle" : "", "parse-names" : false, "suffix" : "" }, { "dropping-particle" : "", "family" : "Turner", "given" : "R. C.", "non-dropping-particle" : "", "parse-names" : false, "suffix" : "" } ], "container-title" : "Diabetologia", "id" : "ITEM-1", "issue" : "7", "issued" : { "date-parts" : [ [ "1985", "7" ] ] }, "page" : "412-419", "title" : "Homeostasis model assessment: insulin resistance and ?-cell function from fasting plasma glucose and insulin concentrations in man", "type" : "article-journal", "volume" : "28" }, "uris" : [ "http://www.mendeley.com/documents/?uuid=e06834d0-3dd7-4b3c-88fa-256bcfe70a80" ] } ], "mendeley" : { "formattedCitation" : "(35)", "manualFormatting" : "32)", "plainTextFormattedCitation" : "(35)", "previouslyFormattedCitation" : "(35)" }, "properties" : { "noteIndex" : 11 }, "schema" : "https://github.com/citation-style-language/schema/raw/master/csl-citation.json" }</w:instrText>
      </w:r>
      <w:r w:rsidR="009F4D8B" w:rsidRPr="009242F1">
        <w:rPr>
          <w:rFonts w:asciiTheme="majorBidi" w:hAnsiTheme="majorBidi" w:cstheme="majorBidi"/>
          <w:iCs/>
        </w:rPr>
        <w:fldChar w:fldCharType="separate"/>
      </w:r>
      <w:r w:rsidR="00D377E6" w:rsidRPr="00D377E6">
        <w:rPr>
          <w:rFonts w:asciiTheme="majorBidi" w:hAnsiTheme="majorBidi" w:cstheme="majorBidi"/>
          <w:iCs/>
          <w:noProof/>
        </w:rPr>
        <w:t>3</w:t>
      </w:r>
      <w:r w:rsidR="0011004E">
        <w:rPr>
          <w:rFonts w:asciiTheme="majorBidi" w:hAnsiTheme="majorBidi" w:cstheme="majorBidi"/>
          <w:iCs/>
          <w:noProof/>
        </w:rPr>
        <w:t>5</w:t>
      </w:r>
      <w:r w:rsidR="00D377E6" w:rsidRPr="00D377E6">
        <w:rPr>
          <w:rFonts w:asciiTheme="majorBidi" w:hAnsiTheme="majorBidi" w:cstheme="majorBidi"/>
          <w:iCs/>
          <w:noProof/>
        </w:rPr>
        <w:t>)</w:t>
      </w:r>
      <w:r w:rsidR="009F4D8B" w:rsidRPr="009242F1">
        <w:rPr>
          <w:rFonts w:asciiTheme="majorBidi" w:hAnsiTheme="majorBidi" w:cstheme="majorBidi"/>
          <w:iCs/>
        </w:rPr>
        <w:fldChar w:fldCharType="end"/>
      </w:r>
      <w:r w:rsidR="00397AEE">
        <w:rPr>
          <w:rFonts w:asciiTheme="majorBidi" w:hAnsiTheme="majorBidi" w:cstheme="majorBidi"/>
          <w:iCs/>
        </w:rPr>
        <w:t xml:space="preserve">, </w:t>
      </w:r>
      <w:r w:rsidR="00A1734A">
        <w:rPr>
          <w:rFonts w:asciiTheme="majorBidi" w:hAnsiTheme="majorBidi" w:cstheme="majorBidi"/>
          <w:iCs/>
        </w:rPr>
        <w:t xml:space="preserve">adipose tissue </w:t>
      </w:r>
      <w:r w:rsidR="000F6E1F">
        <w:rPr>
          <w:rFonts w:asciiTheme="majorBidi" w:hAnsiTheme="majorBidi" w:cstheme="majorBidi"/>
          <w:iCs/>
        </w:rPr>
        <w:t>insulin resistance index</w:t>
      </w:r>
      <w:r w:rsidR="00C21578">
        <w:rPr>
          <w:rFonts w:asciiTheme="majorBidi" w:hAnsiTheme="majorBidi" w:cstheme="majorBidi"/>
          <w:iCs/>
        </w:rPr>
        <w:t xml:space="preserve"> (</w:t>
      </w:r>
      <w:r w:rsidR="000F6E1F">
        <w:rPr>
          <w:rFonts w:asciiTheme="majorBidi" w:hAnsiTheme="majorBidi" w:cstheme="majorBidi"/>
          <w:iCs/>
        </w:rPr>
        <w:t>Adipo-IR</w:t>
      </w:r>
      <w:r w:rsidR="0081469A">
        <w:rPr>
          <w:rFonts w:asciiTheme="majorBidi" w:hAnsiTheme="majorBidi" w:cstheme="majorBidi"/>
          <w:iCs/>
        </w:rPr>
        <w:t xml:space="preserve">; </w:t>
      </w:r>
      <w:r w:rsidR="009F4D8B" w:rsidRPr="009242F1">
        <w:rPr>
          <w:rFonts w:asciiTheme="majorBidi" w:hAnsiTheme="majorBidi" w:cstheme="majorBidi"/>
          <w:iCs/>
        </w:rPr>
        <w:fldChar w:fldCharType="begin" w:fldLock="1"/>
      </w:r>
      <w:r w:rsidR="007B52A5">
        <w:rPr>
          <w:rFonts w:asciiTheme="majorBidi" w:hAnsiTheme="majorBidi" w:cstheme="majorBidi"/>
          <w:iCs/>
        </w:rPr>
        <w:instrText>ADDIN CSL_CITATION { "citationItems" : [ { "id" : "ITEM-1", "itemData" : { "DOI" : "10.1053/j.gastro.2007.04.068", "ISBN" : "0016-5085 (Print)\\n0016-5085 (Linking)", "ISSN" : "00165085", "PMID" : "17681171", "abstract" : "Background &amp; Aims: Abdominal fat accumulation (visceral/hepatic) has been associated with hepatic insulin resistance (IR) in obesity and type 2 diabetes (T2DM). We examined the relationship between visceral/hepatic fat accumulation and hepatic IR/accelerated gluconeogenesis (GNG). Methods: In 14 normal glucose tolerant (NGT) (body mass index [BMI] = 25 \u00b1 1 kg/m2) and 43 T2DM (24 nonobese, BMI = 26 \u00b1 1; 19 obese, BMI = 32 \u00b1 1 kg/m2) subjects, we measured endogenous (hepatic) glucose production (3-3H-glucose) and GNG (2H2O) in the basal state and during 240 pmol/m2/min euglycemic-hyperinsulinemic clamp, and liver (LF) subcutaneous (SAT)/visceral (VAT) fat content by magnetic resonance spectroscopy/magnetic resonance imaging. Results: LF was increased in lean T2DM compared with lean NGT (18% \u00b1 3% vs 9% \u00b1 2%, P &lt; .03), but was similar in lean T2DM and obese T2DM (18% \u00b1 3% vs 22% \u00b1 3%; P = NS). Both VAT and SAT increased progressively from lean NGT to lean T2DM to obese T2DM. T2DM had increased basal endogenous glucose production (EGP) (NGT, 15.1 \u00b1 0.5; lean T2DM, 16.3 \u00b1 0.4; obese T2DM, 17.2 \u00b1 0.6 \u03bcmol/min/kgffm; P = .02) and basal GNG flux (NGT, 8.6 \u00b1 0.4; lean T2DM, 9.6 \u00b1 0.4; obese T2DM, 11.1 \u00b1 0.6 \u03bcmol/min/kgffm; P = .02). Basal hepatic IR index (EGP \u00d7 fasting plasma insulin) was increased in T2DM (NGT, 816 \u00b1 54; lean T2DM, 1252 \u00b1 164; obese T2DM, 1810 \u00b1 210; P = .007). In T2DM, after accounting for age, sex, and BMI, both LF and VAT, but not SAT, were correlated significantly (P &lt; .05) with basal hepatic IR and residual EGP during insulin clamp. Basal percentage of GNG and GNG flux were correlated positively with VAT (P &lt; .05), but not with LF. LF, but not VAT, was correlated with fasting insulin, insulin-stimulated glucose disposal, and impaired FFA suppression by insulin (all P &lt; .05). Conclusions: Abdominal adiposity significantly affects both lipid (FFA) and glucose metabolism. Excess VAT primarily increases GNG flux. Both VAT and LF are associated with hepatic IR. \u00a9 2007 AGA Institute.", "author" : [ { "dropping-particle" : "", "family" : "Gastaldelli", "given" : "Amalia", "non-dropping-particle" : "", "parse-names" : false, "suffix" : "" }, { "dropping-particle" : "", "family" : "Cusi", "given" : "Kenneth", "non-dropping-particle" : "", "parse-names" : false, "suffix" : "" }, { "dropping-particle" : "", "family" : "Pettiti", "given" : "Maura", "non-dropping-particle" : "", "parse-names" : false, "suffix" : "" }, { "dropping-particle" : "", "family" : "Hardies", "given" : "Jean", "non-dropping-particle" : "", "parse-names" : false, "suffix" : "" }, { "dropping-particle" : "", "family" : "Miyazaki", "given" : "Yoshinori", "non-dropping-particle" : "", "parse-names" : false, "suffix" : "" }, { "dropping-particle" : "", "family" : "Berria", "given" : "Rachele", "non-dropping-particle" : "", "parse-names" : false, "suffix" : "" }, { "dropping-particle" : "", "family" : "Buzzigoli", "given" : "Emma", "non-dropping-particle" : "", "parse-names" : false, "suffix" : "" }, { "dropping-particle" : "", "family" : "Sironi", "given" : "Anna Maria", "non-dropping-particle" : "", "parse-names" : false, "suffix" : "" }, { "dropping-particle" : "", "family" : "Cersosimo", "given" : "Eugenio", "non-dropping-particle" : "", "parse-names" : false, "suffix" : "" }, { "dropping-particle" : "", "family" : "Ferrannini", "given" : "Ele", "non-dropping-particle" : "", "parse-names" : false, "suffix" : "" }, { "dropping-particle" : "", "family" : "DeFronzo", "given" : "Ralph A.", "non-dropping-particle" : "", "parse-names" : false, "suffix" : "" } ], "container-title" : "Gastroenterology", "id" : "ITEM-1", "issue" : "2", "issued" : { "date-parts" : [ [ "2007", "8" ] ] }, "page" : "496-506", "title" : "Relationship Between Hepatic/Visceral Fat and Hepatic Insulin Resistance in Nondiabetic and Type 2 Diabetic Subjects", "type" : "article-journal", "volume" : "133" }, "uris" : [ "http://www.mendeley.com/documents/?uuid=d3aa8386-03b0-42dc-8ef0-a1b3aaef8b29" ] } ], "mendeley" : { "formattedCitation" : "(36)", "manualFormatting" : "33)", "plainTextFormattedCitation" : "(36)", "previouslyFormattedCitation" : "(36)" }, "properties" : { "noteIndex" : 11 }, "schema" : "https://github.com/citation-style-language/schema/raw/master/csl-citation.json" }</w:instrText>
      </w:r>
      <w:r w:rsidR="009F4D8B" w:rsidRPr="009242F1">
        <w:rPr>
          <w:rFonts w:asciiTheme="majorBidi" w:hAnsiTheme="majorBidi" w:cstheme="majorBidi"/>
          <w:iCs/>
        </w:rPr>
        <w:fldChar w:fldCharType="separate"/>
      </w:r>
      <w:r w:rsidR="00D377E6" w:rsidRPr="00D377E6">
        <w:rPr>
          <w:rFonts w:asciiTheme="majorBidi" w:hAnsiTheme="majorBidi" w:cstheme="majorBidi"/>
          <w:iCs/>
          <w:noProof/>
        </w:rPr>
        <w:t>3</w:t>
      </w:r>
      <w:r w:rsidR="0011004E">
        <w:rPr>
          <w:rFonts w:asciiTheme="majorBidi" w:hAnsiTheme="majorBidi" w:cstheme="majorBidi"/>
          <w:iCs/>
          <w:noProof/>
        </w:rPr>
        <w:t>6</w:t>
      </w:r>
      <w:r w:rsidR="00D377E6" w:rsidRPr="00D377E6">
        <w:rPr>
          <w:rFonts w:asciiTheme="majorBidi" w:hAnsiTheme="majorBidi" w:cstheme="majorBidi"/>
          <w:iCs/>
          <w:noProof/>
        </w:rPr>
        <w:t>)</w:t>
      </w:r>
      <w:r w:rsidR="009F4D8B" w:rsidRPr="009242F1">
        <w:rPr>
          <w:rFonts w:asciiTheme="majorBidi" w:hAnsiTheme="majorBidi" w:cstheme="majorBidi"/>
          <w:iCs/>
        </w:rPr>
        <w:fldChar w:fldCharType="end"/>
      </w:r>
      <w:r w:rsidR="00397AEE">
        <w:rPr>
          <w:rFonts w:asciiTheme="majorBidi" w:hAnsiTheme="majorBidi" w:cstheme="majorBidi"/>
          <w:iCs/>
        </w:rPr>
        <w:t xml:space="preserve"> and the Matsuda</w:t>
      </w:r>
      <w:r w:rsidR="00B36747">
        <w:rPr>
          <w:rFonts w:asciiTheme="majorBidi" w:hAnsiTheme="majorBidi" w:cstheme="majorBidi"/>
          <w:iCs/>
        </w:rPr>
        <w:t xml:space="preserve"> Insulin Sensitivity</w:t>
      </w:r>
      <w:r w:rsidR="00397AEE">
        <w:rPr>
          <w:rFonts w:asciiTheme="majorBidi" w:hAnsiTheme="majorBidi" w:cstheme="majorBidi"/>
          <w:iCs/>
        </w:rPr>
        <w:t xml:space="preserve"> Index</w:t>
      </w:r>
      <w:r w:rsidR="00F472CA">
        <w:rPr>
          <w:rFonts w:asciiTheme="majorBidi" w:hAnsiTheme="majorBidi" w:cstheme="majorBidi"/>
          <w:iCs/>
        </w:rPr>
        <w:t xml:space="preserve"> </w:t>
      </w:r>
      <w:r w:rsidR="00C21578">
        <w:rPr>
          <w:rFonts w:asciiTheme="majorBidi" w:hAnsiTheme="majorBidi" w:cstheme="majorBidi"/>
          <w:iCs/>
        </w:rPr>
        <w:t>(</w:t>
      </w:r>
      <w:r w:rsidR="00B36747">
        <w:rPr>
          <w:rFonts w:asciiTheme="majorBidi" w:hAnsiTheme="majorBidi" w:cstheme="majorBidi"/>
          <w:iCs/>
        </w:rPr>
        <w:t xml:space="preserve">ISI; </w:t>
      </w:r>
      <w:r w:rsidR="009F4D8B" w:rsidRPr="009242F1">
        <w:rPr>
          <w:rFonts w:asciiTheme="majorBidi" w:hAnsiTheme="majorBidi" w:cstheme="majorBidi"/>
          <w:iCs/>
        </w:rPr>
        <w:fldChar w:fldCharType="begin" w:fldLock="1"/>
      </w:r>
      <w:r w:rsidR="007B52A5">
        <w:rPr>
          <w:rFonts w:asciiTheme="majorBidi" w:hAnsiTheme="majorBidi" w:cstheme="majorBidi"/>
          <w:iCs/>
        </w:rPr>
        <w:instrText>ADDIN CSL_CITATION { "citationItems" : [ { "id" : "ITEM-1", "itemData" : { "DOI" : "10.2337/diacare.22.9.1462", "ISBN" : "0149-5992 (Print)", "ISSN" : "0149-5992", "PMID" : "10480510", "abstract" : "O B J E C T I V E\u2014 Several methods have been proposed to evaluate insulin sensitivity from the data obtained from the oral glucose tolerance test (OGTT). However, the validity of these indices has not been rigorously evaluated by comparing them with the direct measurement of insulin sensitivity obtained with the euglycemic insulin clamp technique. In this study, we com- p a re various insulin sensitivity indices derived from the OGTT with whole-body insulin sen- sitivity measured by the euglycemic insulin clamp technique. RESEARCH DESIGN AND METHODS\u2014 In this study, 153 subjects (66 men and 87 women, aged 18\u201371 years, BMI 20\u201365 kg/m2) with varying degrees of glucose tolerance (62 subjects with normal glucose tolerance, 31 subjects with impaired glucose tolerance, and 60 subjects with type 2 diabetes) were studied. After a 10-h overnight fast, all subjects underw e n t , in random ord e r, a 75-g OGTT and a euglycemic insulin clamp, which was perf o rmed with the infusion of [3-3H]glucose. The indices of insulin sensitivity derived from OGTT data and the euglycemic insulin clamp were compared by correlation analysis. R E S U LT S\u2014 The mean plasma glucose concentration divided by the mean plasma insulin concentration during the OGTT displayed no correlation with the rate of whole-body glucose disposal during the euglycemic insulin clamp (r = \ue0320.02, NS). From the OGTT, we developed an index of whole-body insulin sensitivity (10,000/square root of [fasting glucose \ue033 f a s t i n g insulin] \ue033[mean glucose \ue033mean insulin during OGTT]), which is highly correlated (r = 0.73, P\ue02c0.0001) with the rate of whole-body glucose disposal during the euglycemic insulin clamp. C O N C L U S I O N S\u2014 P revious methods used to derive an index of insulin sensitivity from the OGTT have relied on the ratio of plasma glucose to insulin concentration during the OGTT. Our results demonstrate the limitations of such an approach. We have derived a novel estimate of insulin sensitivity that is simple to calculate and provides a reasonable approximation of whole-body insulin sensitivity from the OGTT.", "author" : [ { "dropping-particle" : "", "family" : "Matsuda", "given" : "MM", "non-dropping-particle" : "", "parse-names" : false, "suffix" : "" }, { "dropping-particle" : "", "family" : "DeFronzo", "given" : "R. A.", "non-dropping-particle" : "", "parse-names" : false, "suffix" : "" } ], "container-title" : "Diabetes Care", "id" : "ITEM-1", "issue" : "9", "issued" : { "date-parts" : [ [ "1999", "9", "1" ] ] }, "page" : "1462-1470", "title" : "Insulin sensitivity indices obtained from oral glucose tolerance testing: comparison with the euglycemic insulin clamp", "type" : "article-journal", "volume" : "22" }, "uris" : [ "http://www.mendeley.com/documents/?uuid=c5ce6954-efce-4ccf-bf88-60c81eca2140" ] } ], "mendeley" : { "formattedCitation" : "(37)", "manualFormatting" : "34)", "plainTextFormattedCitation" : "(37)", "previouslyFormattedCitation" : "(37)" }, "properties" : { "noteIndex" : 11 }, "schema" : "https://github.com/citation-style-language/schema/raw/master/csl-citation.json" }</w:instrText>
      </w:r>
      <w:r w:rsidR="009F4D8B" w:rsidRPr="009242F1">
        <w:rPr>
          <w:rFonts w:asciiTheme="majorBidi" w:hAnsiTheme="majorBidi" w:cstheme="majorBidi"/>
          <w:iCs/>
        </w:rPr>
        <w:fldChar w:fldCharType="separate"/>
      </w:r>
      <w:r w:rsidR="00D377E6" w:rsidRPr="00D377E6">
        <w:rPr>
          <w:rFonts w:asciiTheme="majorBidi" w:hAnsiTheme="majorBidi" w:cstheme="majorBidi"/>
          <w:iCs/>
          <w:noProof/>
        </w:rPr>
        <w:t>3</w:t>
      </w:r>
      <w:r w:rsidR="0011004E">
        <w:rPr>
          <w:rFonts w:asciiTheme="majorBidi" w:hAnsiTheme="majorBidi" w:cstheme="majorBidi"/>
          <w:iCs/>
          <w:noProof/>
        </w:rPr>
        <w:t>7</w:t>
      </w:r>
      <w:r w:rsidR="00D377E6" w:rsidRPr="00D377E6">
        <w:rPr>
          <w:rFonts w:asciiTheme="majorBidi" w:hAnsiTheme="majorBidi" w:cstheme="majorBidi"/>
          <w:iCs/>
          <w:noProof/>
        </w:rPr>
        <w:t>)</w:t>
      </w:r>
      <w:r w:rsidR="009F4D8B" w:rsidRPr="009242F1">
        <w:rPr>
          <w:rFonts w:asciiTheme="majorBidi" w:hAnsiTheme="majorBidi" w:cstheme="majorBidi"/>
          <w:iCs/>
        </w:rPr>
        <w:fldChar w:fldCharType="end"/>
      </w:r>
      <w:r w:rsidR="00C81199">
        <w:rPr>
          <w:rFonts w:asciiTheme="majorBidi" w:hAnsiTheme="majorBidi" w:cstheme="majorBidi"/>
          <w:iCs/>
        </w:rPr>
        <w:t>,</w:t>
      </w:r>
      <w:r w:rsidR="00C21578">
        <w:rPr>
          <w:rFonts w:asciiTheme="majorBidi" w:hAnsiTheme="majorBidi" w:cstheme="majorBidi"/>
          <w:iCs/>
        </w:rPr>
        <w:t xml:space="preserve"> </w:t>
      </w:r>
      <w:r w:rsidR="00F472CA">
        <w:rPr>
          <w:rFonts w:asciiTheme="majorBidi" w:hAnsiTheme="majorBidi" w:cstheme="majorBidi"/>
          <w:iCs/>
        </w:rPr>
        <w:t>as previously described</w:t>
      </w:r>
      <w:r w:rsidR="00C21578">
        <w:rPr>
          <w:rFonts w:asciiTheme="majorBidi" w:hAnsiTheme="majorBidi" w:cstheme="majorBidi"/>
          <w:iCs/>
        </w:rPr>
        <w:t xml:space="preserve">. </w:t>
      </w:r>
    </w:p>
    <w:p w14:paraId="1D5EF14B" w14:textId="270FEABA" w:rsidR="00605F5C" w:rsidRPr="00176381" w:rsidRDefault="00605F5C" w:rsidP="00F6013C">
      <w:pPr>
        <w:spacing w:line="480" w:lineRule="auto"/>
        <w:jc w:val="both"/>
        <w:rPr>
          <w:rFonts w:asciiTheme="majorBidi" w:hAnsiTheme="majorBidi" w:cstheme="majorBidi"/>
          <w:iCs/>
        </w:rPr>
      </w:pPr>
      <w:r w:rsidRPr="00176381">
        <w:rPr>
          <w:rFonts w:asciiTheme="majorBidi" w:hAnsiTheme="majorBidi" w:cstheme="majorBidi"/>
          <w:i/>
          <w:iCs/>
        </w:rPr>
        <w:t>Sample size calculation</w:t>
      </w:r>
    </w:p>
    <w:p w14:paraId="28AC9845" w14:textId="10901592" w:rsidR="00605F5C" w:rsidRPr="00605F5C" w:rsidRDefault="003C6B7D" w:rsidP="00F6013C">
      <w:pPr>
        <w:spacing w:line="480" w:lineRule="auto"/>
        <w:jc w:val="both"/>
        <w:rPr>
          <w:rFonts w:asciiTheme="majorBidi" w:hAnsiTheme="majorBidi" w:cstheme="majorBidi"/>
          <w:iCs/>
        </w:rPr>
      </w:pPr>
      <w:r w:rsidRPr="00176381">
        <w:rPr>
          <w:rFonts w:asciiTheme="majorBidi" w:hAnsiTheme="majorBidi" w:cstheme="majorBidi"/>
          <w:iCs/>
        </w:rPr>
        <w:t xml:space="preserve">FGF21 was </w:t>
      </w:r>
      <w:r w:rsidRPr="00176381">
        <w:rPr>
          <w:rFonts w:asciiTheme="majorBidi" w:hAnsiTheme="majorBidi" w:cstheme="majorBidi"/>
          <w:i/>
          <w:iCs/>
        </w:rPr>
        <w:t xml:space="preserve">a </w:t>
      </w:r>
      <w:r w:rsidR="002633C4" w:rsidRPr="00176381">
        <w:rPr>
          <w:rFonts w:asciiTheme="majorBidi" w:hAnsiTheme="majorBidi" w:cstheme="majorBidi"/>
          <w:i/>
          <w:iCs/>
        </w:rPr>
        <w:t xml:space="preserve">priori </w:t>
      </w:r>
      <w:r w:rsidR="002633C4" w:rsidRPr="00176381">
        <w:rPr>
          <w:rFonts w:asciiTheme="majorBidi" w:hAnsiTheme="majorBidi" w:cstheme="majorBidi"/>
          <w:iCs/>
        </w:rPr>
        <w:t xml:space="preserve">the primary hepatokine of interest, given </w:t>
      </w:r>
      <w:r w:rsidR="00903F79" w:rsidRPr="00176381">
        <w:rPr>
          <w:rFonts w:asciiTheme="majorBidi" w:hAnsiTheme="majorBidi" w:cstheme="majorBidi"/>
          <w:iCs/>
        </w:rPr>
        <w:t xml:space="preserve">that our previous pilot </w:t>
      </w:r>
      <w:r w:rsidR="00EE0F2B" w:rsidRPr="00176381">
        <w:rPr>
          <w:rFonts w:asciiTheme="majorBidi" w:hAnsiTheme="majorBidi" w:cstheme="majorBidi"/>
          <w:iCs/>
        </w:rPr>
        <w:t xml:space="preserve">experiments suggested that FGF21 </w:t>
      </w:r>
      <w:r w:rsidR="007F6F2C" w:rsidRPr="00176381">
        <w:rPr>
          <w:rFonts w:asciiTheme="majorBidi" w:hAnsiTheme="majorBidi" w:cstheme="majorBidi"/>
          <w:iCs/>
        </w:rPr>
        <w:t>is</w:t>
      </w:r>
      <w:r w:rsidR="00EE0F2B" w:rsidRPr="00176381">
        <w:rPr>
          <w:rFonts w:asciiTheme="majorBidi" w:hAnsiTheme="majorBidi" w:cstheme="majorBidi"/>
          <w:iCs/>
        </w:rPr>
        <w:t xml:space="preserve"> acutely responsive to overnutrition</w:t>
      </w:r>
      <w:r w:rsidR="00057418" w:rsidRPr="00176381">
        <w:rPr>
          <w:rFonts w:asciiTheme="majorBidi" w:hAnsiTheme="majorBidi" w:cstheme="majorBidi"/>
          <w:iCs/>
        </w:rPr>
        <w:t xml:space="preserve"> </w:t>
      </w:r>
      <w:r w:rsidR="00057418" w:rsidRPr="00176381">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"10.1080/02640414.2018.1521633", "ISSN" : "0264-0414", "abstract" : "Fibroblast growth factor 21 (FGF21), fetuin-A and follistatin have been identified as hepatokines which are modulated by energy balance and obesity-related conditions (Meex and Watt, 2017, Nature Reviews Endocrinology, 13, 509-520). Recent research suggests that hepatokines may be regulated by acute changes in nutritional status through means such as fasting and overnutrition, with potential to counteract or contribute to associated perturbations in metabolic homeostasis. One-week of high-fat overfeeding (HFO) increases liver fat and impairs insulin sensitivity and glycaemic control in healthy humans. The present study investigated the effects of 1 and 7 d of HFO on circulating hepatokine concentrations. The study comprises of secondary data analysis on blood samples collected from two previous HFO experiments (1 d paper, Parry et al., 2017, Nutrients, 9, 818; 7 d paper under review). Following institutional ethical approval, 26 healthy males were recruited equally to one of two dietary interventions (1 d: age, 23 \u00b1 2 years; BMI, 26.0 \u00b1 3.3; 7 d: age, 25 \u00b1 4 years; BMI, 25.3 \u00b1 2.0) (mean \u00b1 SD). Participants underwent an oral glucose tolerance test (OGTT) immediately before and after either 1 d (1DAY; +78% excess energy above estimated daily requirement, 68% fat) or 7 d (7DAY; +50% excess energy, 65% fat) of HFO. A standard OGTT (75 g glucose) was performed during 1DAY, whilst 7DAY utilised a modified OGTT (50 g glucose and 15 g protein). Fasting plasma FGF21, fetuin-A, follistatin, glucose and serum insulin were assessed before each OGTT, whilst postprandial glycaemic control was assessed using the area under the time-concentration curve (AUC) for circulating glucose and insulin throughout the OGTTs. Plasma FGF21 was elevated by 55% following 1DAY (ES = 0.64; P &lt; 0.05), whilst plasma fetuin-A tended to increase after 7DAY (ES = 0.40; P = 0.089). In contrast, plasma follistatin was unchanged following either intervention (P &gt; 0.05). Fasting plasma glucose and serum insulin were increased after 7DAY (ES \u2265 0.63; P &lt; 0.05), but 1DAY had no effect (P &gt; 0.05). Postprandial glycaemic control was impaired following both diets, demonstrated by an increase in glucose and insulin AUC (1DAY: ES \u2265 0.52, P &lt; 0.05; 7DAY: ES \u2265 0.81, P &lt; 0.05). In conclusion, alongside impairments in glycaemic control, circulating FGF21 is acutely elevated following 1 d of HFO, however this response appears to be diminished after 7 d. Conversely, fetuin-A may be increased after 7 d of H\u2026", "author" : [ { "dropping-particle" : "", "family" : "Willis", "given" : "Scott A", "non-dropping-particle" : "", "parse-names" : false, "suffix" : "" }, { "dropping-particle" : "", "family" : "King", "given" : "James A", "non-dropping-particle" : "", "parse-names" : false, "suffix" : "" }, { "dropping-particle" : "", "family" : "Parry", "given" : "Si\u00f4n A", "non-dropping-particle" : "", "parse-names" : false, "suffix" : "" }, { "dropping-particle" : "", "family" : "Woods", "given" : "Rachel M", "non-dropping-particle" : "", "parse-names" : false, "suffix" : "" }, { "dropping-particle" : "", "family" : "Sargeant", "given" : "Jack A", "non-dropping-particle" : "", "parse-names" : false, "suffix" : "" }, { "dropping-particle" : "", "family" : "Hulston", "given" : "Carl J", "non-dropping-particle" : "", "parse-names" : false, "suffix" : "" } ], "container-title" : "BASES Conference 2018 \u2013 Programme and Abstracts", "id" : "ITEM-1", "issue" : "sup1", "issued" : { "date-parts" : [ [ "2018", "11" ] ] }, "page" : "60", "publisher" : "Journal of Sports Sciences", "publisher-place" : "Harrogate", "title" : "The effect of acute, high-fat overfeeding on circulating hepatokine concentrations", "type" : "paper-conference", "volume" : "36" }, "uris" : [ "http://www.mendeley.com/documents/?uuid=b14fbdc1-6cca-4a95-869a-0e0f811f81d8" ] } ], "mendeley" : { "formattedCitation" : "(27)", "plainTextFormattedCitation" : "(27)", "previouslyFormattedCitation" : "(27)" }, "properties" : { "noteIndex" : 6 }, "schema" : "https://github.com/citation-style-language/schema/raw/master/csl-citation.json" }</w:instrText>
      </w:r>
      <w:r w:rsidR="00057418" w:rsidRPr="00176381">
        <w:rPr>
          <w:rFonts w:asciiTheme="majorBidi" w:hAnsiTheme="majorBidi" w:cstheme="majorBidi"/>
        </w:rPr>
        <w:fldChar w:fldCharType="separate"/>
      </w:r>
      <w:r w:rsidR="00D377E6" w:rsidRPr="00D377E6">
        <w:rPr>
          <w:rFonts w:asciiTheme="majorBidi" w:hAnsiTheme="majorBidi" w:cstheme="majorBidi"/>
          <w:noProof/>
        </w:rPr>
        <w:t>(27)</w:t>
      </w:r>
      <w:r w:rsidR="00057418" w:rsidRPr="00176381">
        <w:rPr>
          <w:rFonts w:asciiTheme="majorBidi" w:hAnsiTheme="majorBidi" w:cstheme="majorBidi"/>
        </w:rPr>
        <w:fldChar w:fldCharType="end"/>
      </w:r>
      <w:r w:rsidR="00EE0F2B" w:rsidRPr="00176381">
        <w:rPr>
          <w:rFonts w:asciiTheme="majorBidi" w:hAnsiTheme="majorBidi" w:cstheme="majorBidi"/>
          <w:iCs/>
        </w:rPr>
        <w:t xml:space="preserve">. </w:t>
      </w:r>
      <w:r w:rsidR="000E2CA4" w:rsidRPr="00176381">
        <w:rPr>
          <w:rFonts w:asciiTheme="majorBidi" w:hAnsiTheme="majorBidi" w:cstheme="majorBidi"/>
          <w:iCs/>
        </w:rPr>
        <w:t xml:space="preserve">Based on </w:t>
      </w:r>
      <w:r w:rsidR="00EE0F2B" w:rsidRPr="00176381">
        <w:rPr>
          <w:rFonts w:asciiTheme="majorBidi" w:hAnsiTheme="majorBidi" w:cstheme="majorBidi"/>
          <w:iCs/>
        </w:rPr>
        <w:t>these</w:t>
      </w:r>
      <w:r w:rsidR="000E2CA4" w:rsidRPr="00176381">
        <w:rPr>
          <w:rFonts w:asciiTheme="majorBidi" w:hAnsiTheme="majorBidi" w:cstheme="majorBidi"/>
          <w:iCs/>
        </w:rPr>
        <w:t xml:space="preserve"> </w:t>
      </w:r>
      <w:r w:rsidR="000E2CA4" w:rsidRPr="00176381">
        <w:rPr>
          <w:rFonts w:asciiTheme="majorBidi" w:hAnsiTheme="majorBidi" w:cstheme="majorBidi"/>
          <w:iCs/>
        </w:rPr>
        <w:lastRenderedPageBreak/>
        <w:t xml:space="preserve">data, </w:t>
      </w:r>
      <w:r w:rsidR="00412763" w:rsidRPr="00176381">
        <w:rPr>
          <w:rFonts w:asciiTheme="majorBidi" w:hAnsiTheme="majorBidi" w:cstheme="majorBidi"/>
          <w:iCs/>
        </w:rPr>
        <w:t>we observed a 5</w:t>
      </w:r>
      <w:r w:rsidR="00EA167C" w:rsidRPr="00176381">
        <w:rPr>
          <w:rFonts w:asciiTheme="majorBidi" w:hAnsiTheme="majorBidi" w:cstheme="majorBidi"/>
          <w:iCs/>
        </w:rPr>
        <w:t>5</w:t>
      </w:r>
      <w:r w:rsidR="00412763" w:rsidRPr="00176381">
        <w:rPr>
          <w:rFonts w:asciiTheme="majorBidi" w:hAnsiTheme="majorBidi" w:cstheme="majorBidi"/>
          <w:iCs/>
        </w:rPr>
        <w:t xml:space="preserve">% increase in FGF21 </w:t>
      </w:r>
      <w:r w:rsidR="0073673A" w:rsidRPr="00176381">
        <w:rPr>
          <w:rFonts w:asciiTheme="majorBidi" w:hAnsiTheme="majorBidi" w:cstheme="majorBidi"/>
          <w:iCs/>
        </w:rPr>
        <w:t xml:space="preserve">after just one day of </w:t>
      </w:r>
      <w:r w:rsidR="00CF7E08" w:rsidRPr="00176381">
        <w:rPr>
          <w:rFonts w:asciiTheme="majorBidi" w:hAnsiTheme="majorBidi" w:cstheme="majorBidi"/>
          <w:iCs/>
        </w:rPr>
        <w:t>high-fat overfeeding</w:t>
      </w:r>
      <w:r w:rsidR="00057418" w:rsidRPr="00176381">
        <w:rPr>
          <w:rFonts w:asciiTheme="majorBidi" w:hAnsiTheme="majorBidi" w:cstheme="majorBidi"/>
          <w:iCs/>
        </w:rPr>
        <w:t xml:space="preserve"> </w:t>
      </w:r>
      <w:r w:rsidR="00057418" w:rsidRPr="00176381">
        <w:rPr>
          <w:rFonts w:asciiTheme="majorBidi" w:hAnsiTheme="majorBidi" w:cstheme="majorBidi"/>
        </w:rPr>
        <w:fldChar w:fldCharType="begin" w:fldLock="1"/>
      </w:r>
      <w:r w:rsidR="004E386F">
        <w:rPr>
          <w:rFonts w:asciiTheme="majorBidi" w:hAnsiTheme="majorBidi" w:cstheme="majorBidi"/>
        </w:rPr>
        <w:instrText>ADDIN CSL_CITATION { "citationItems" : [ { "id" : "ITEM-1", "itemData" : { "DOI" : "10.1080/02640414.2018.1521633", "ISSN" : "0264-0414", "abstract" : "Fibroblast growth factor 21 (FGF21), fetuin-A and follistatin have been identified as hepatokines which are modulated by energy balance and obesity-related conditions (Meex and Watt, 2017, Nature Reviews Endocrinology, 13, 509-520). Recent research suggests that hepatokines may be regulated by acute changes in nutritional status through means such as fasting and overnutrition, with potential to counteract or contribute to associated perturbations in metabolic homeostasis. One-week of high-fat overfeeding (HFO) increases liver fat and impairs insulin sensitivity and glycaemic control in healthy humans. The present study investigated the effects of 1 and 7 d of HFO on circulating hepatokine concentrations. The study comprises of secondary data analysis on blood samples collected from two previous HFO experiments (1 d paper, Parry et al., 2017, Nutrients, 9, 818; 7 d paper under review). Following institutional ethical approval, 26 healthy males were recruited equally to one of two dietary interventions (1 d: age, 23 \u00b1 2 years; BMI, 26.0 \u00b1 3.3; 7 d: age, 25 \u00b1 4 years; BMI, 25.3 \u00b1 2.0) (mean \u00b1 SD). Participants underwent an oral glucose tolerance test (OGTT) immediately before and after either 1 d (1DAY; +78% excess energy above estimated daily requirement, 68% fat) or 7 d (7DAY; +50% excess energy, 65% fat) of HFO. A standard OGTT (75 g glucose) was performed during 1DAY, whilst 7DAY utilised a modified OGTT (50 g glucose and 15 g protein). Fasting plasma FGF21, fetuin-A, follistatin, glucose and serum insulin were assessed before each OGTT, whilst postprandial glycaemic control was assessed using the area under the time-concentration curve (AUC) for circulating glucose and insulin throughout the OGTTs. Plasma FGF21 was elevated by 55% following 1DAY (ES = 0.64; P &lt; 0.05), whilst plasma fetuin-A tended to increase after 7DAY (ES = 0.40; P = 0.089). In contrast, plasma follistatin was unchanged following either intervention (P &gt; 0.05). Fasting plasma glucose and serum insulin were increased after 7DAY (ES \u2265 0.63; P &lt; 0.05), but 1DAY had no effect (P &gt; 0.05). Postprandial glycaemic control was impaired following both diets, demonstrated by an increase in glucose and insulin AUC (1DAY: ES \u2265 0.52, P &lt; 0.05; 7DAY: ES \u2265 0.81, P &lt; 0.05). In conclusion, alongside impairments in glycaemic control, circulating FGF21 is acutely elevated following 1 d of HFO, however this response appears to be diminished after 7 d. Conversely, fetuin-A may be increased after 7 d of H\u2026", "author" : [ { "dropping-particle" : "", "family" : "Willis", "given" : "Scott A", "non-dropping-particle" : "", "parse-names" : false, "suffix" : "" }, { "dropping-particle" : "", "family" : "King", "given" : "James A", "non-dropping-particle" : "", "parse-names" : false, "suffix" : "" }, { "dropping-particle" : "", "family" : "Parry", "given" : "Si\u00f4n A", "non-dropping-particle" : "", "parse-names" : false, "suffix" : "" }, { "dropping-particle" : "", "family" : "Woods", "given" : "Rachel M", "non-dropping-particle" : "", "parse-names" : false, "suffix" : "" }, { "dropping-particle" : "", "family" : "Sargeant", "given" : "Jack A", "non-dropping-particle" : "", "parse-names" : false, "suffix" : "" }, { "dropping-particle" : "", "family" : "Hulston", "given" : "Carl J", "non-dropping-particle" : "", "parse-names" : false, "suffix" : "" } ], "container-title" : "BASES Conference 2018 \u2013 Programme and Abstracts", "id" : "ITEM-1", "issue" : "sup1", "issued" : { "date-parts" : [ [ "2018", "11" ] ] }, "page" : "60", "publisher" : "Journal of Sports Sciences", "publisher-place" : "Harrogate", "title" : "The effect of acute, high-fat overfeeding on circulating hepatokine concentrations", "type" : "paper-conference", "volume" : "36" }, "uris" : [ "http://www.mendeley.com/documents/?uuid=b14fbdc1-6cca-4a95-869a-0e0f811f81d8" ] } ], "mendeley" : { "formattedCitation" : "(27)", "plainTextFormattedCitation" : "(27)", "previouslyFormattedCitation" : "(27)" }, "properties" : { "noteIndex" : 6 }, "schema" : "https://github.com/citation-style-language/schema/raw/master/csl-citation.json" }</w:instrText>
      </w:r>
      <w:r w:rsidR="00057418" w:rsidRPr="00176381">
        <w:rPr>
          <w:rFonts w:asciiTheme="majorBidi" w:hAnsiTheme="majorBidi" w:cstheme="majorBidi"/>
        </w:rPr>
        <w:fldChar w:fldCharType="separate"/>
      </w:r>
      <w:r w:rsidR="00D377E6" w:rsidRPr="00D377E6">
        <w:rPr>
          <w:rFonts w:asciiTheme="majorBidi" w:hAnsiTheme="majorBidi" w:cstheme="majorBidi"/>
          <w:noProof/>
        </w:rPr>
        <w:t>(27)</w:t>
      </w:r>
      <w:r w:rsidR="00057418" w:rsidRPr="00176381">
        <w:rPr>
          <w:rFonts w:asciiTheme="majorBidi" w:hAnsiTheme="majorBidi" w:cstheme="majorBidi"/>
        </w:rPr>
        <w:fldChar w:fldCharType="end"/>
      </w:r>
      <w:r w:rsidR="00CF7E08" w:rsidRPr="00176381">
        <w:rPr>
          <w:rFonts w:asciiTheme="majorBidi" w:hAnsiTheme="majorBidi" w:cstheme="majorBidi"/>
          <w:iCs/>
        </w:rPr>
        <w:t>. Therefore, assuming a 5</w:t>
      </w:r>
      <w:r w:rsidR="00EA167C" w:rsidRPr="00176381">
        <w:rPr>
          <w:rFonts w:asciiTheme="majorBidi" w:hAnsiTheme="majorBidi" w:cstheme="majorBidi"/>
          <w:iCs/>
        </w:rPr>
        <w:t>5</w:t>
      </w:r>
      <w:r w:rsidR="00CF7E08" w:rsidRPr="00176381">
        <w:rPr>
          <w:rFonts w:asciiTheme="majorBidi" w:hAnsiTheme="majorBidi" w:cstheme="majorBidi"/>
          <w:iCs/>
        </w:rPr>
        <w:t xml:space="preserve">% increase in </w:t>
      </w:r>
      <w:r w:rsidR="009F1E4F" w:rsidRPr="00176381">
        <w:rPr>
          <w:rFonts w:asciiTheme="majorBidi" w:hAnsiTheme="majorBidi" w:cstheme="majorBidi"/>
          <w:iCs/>
        </w:rPr>
        <w:t xml:space="preserve">FGF21 </w:t>
      </w:r>
      <w:proofErr w:type="gramStart"/>
      <w:r w:rsidR="009F1E4F" w:rsidRPr="00176381">
        <w:rPr>
          <w:rFonts w:asciiTheme="majorBidi" w:hAnsiTheme="majorBidi" w:cstheme="majorBidi"/>
          <w:iCs/>
        </w:rPr>
        <w:t xml:space="preserve">during the course </w:t>
      </w:r>
      <w:r w:rsidR="00DC18C3" w:rsidRPr="00176381">
        <w:rPr>
          <w:rFonts w:asciiTheme="majorBidi" w:hAnsiTheme="majorBidi" w:cstheme="majorBidi"/>
          <w:iCs/>
        </w:rPr>
        <w:t>of</w:t>
      </w:r>
      <w:proofErr w:type="gramEnd"/>
      <w:r w:rsidR="00DC18C3" w:rsidRPr="00176381">
        <w:rPr>
          <w:rFonts w:asciiTheme="majorBidi" w:hAnsiTheme="majorBidi" w:cstheme="majorBidi"/>
          <w:iCs/>
        </w:rPr>
        <w:t xml:space="preserve"> the HE-HFD compared to control</w:t>
      </w:r>
      <w:r w:rsidR="00E953A1" w:rsidRPr="00176381">
        <w:rPr>
          <w:rFonts w:asciiTheme="majorBidi" w:hAnsiTheme="majorBidi" w:cstheme="majorBidi"/>
          <w:iCs/>
        </w:rPr>
        <w:t>, a standardised difference of 1, an intra-individual correlation of 0.5</w:t>
      </w:r>
      <w:r w:rsidR="00202ACF" w:rsidRPr="00176381">
        <w:rPr>
          <w:rFonts w:asciiTheme="majorBidi" w:hAnsiTheme="majorBidi" w:cstheme="majorBidi"/>
          <w:iCs/>
        </w:rPr>
        <w:t xml:space="preserve">, power of 80% and significance level of 0.05, we required at least 10 people to finish the </w:t>
      </w:r>
      <w:r w:rsidR="004D07A2" w:rsidRPr="00176381">
        <w:rPr>
          <w:rFonts w:asciiTheme="majorBidi" w:hAnsiTheme="majorBidi" w:cstheme="majorBidi"/>
          <w:iCs/>
        </w:rPr>
        <w:t xml:space="preserve">present study. </w:t>
      </w:r>
      <w:r w:rsidR="00555820" w:rsidRPr="00176381">
        <w:rPr>
          <w:rFonts w:asciiTheme="majorBidi" w:hAnsiTheme="majorBidi" w:cstheme="majorBidi"/>
          <w:iCs/>
        </w:rPr>
        <w:t>Twelve</w:t>
      </w:r>
      <w:r w:rsidR="0047183E" w:rsidRPr="00176381">
        <w:rPr>
          <w:rFonts w:asciiTheme="majorBidi" w:hAnsiTheme="majorBidi" w:cstheme="majorBidi"/>
          <w:iCs/>
        </w:rPr>
        <w:t xml:space="preserve"> participants were therefore recruited to allow for </w:t>
      </w:r>
      <w:r w:rsidR="006B455A" w:rsidRPr="00176381">
        <w:rPr>
          <w:rFonts w:asciiTheme="majorBidi" w:hAnsiTheme="majorBidi" w:cstheme="majorBidi"/>
          <w:iCs/>
        </w:rPr>
        <w:t xml:space="preserve">possible </w:t>
      </w:r>
      <w:r w:rsidR="0047183E" w:rsidRPr="00176381">
        <w:rPr>
          <w:rFonts w:asciiTheme="majorBidi" w:hAnsiTheme="majorBidi" w:cstheme="majorBidi"/>
          <w:iCs/>
        </w:rPr>
        <w:t>drop-out.</w:t>
      </w:r>
    </w:p>
    <w:p w14:paraId="240B8496" w14:textId="3BFE83E4" w:rsidR="0017089E" w:rsidRDefault="0017089E" w:rsidP="00912FAF">
      <w:pPr>
        <w:spacing w:line="480" w:lineRule="auto"/>
        <w:jc w:val="both"/>
        <w:rPr>
          <w:rFonts w:asciiTheme="majorBidi" w:hAnsiTheme="majorBidi" w:cstheme="majorBidi"/>
          <w:i/>
          <w:iCs/>
        </w:rPr>
      </w:pPr>
      <w:r w:rsidRPr="00484830">
        <w:rPr>
          <w:rFonts w:asciiTheme="majorBidi" w:hAnsiTheme="majorBidi" w:cstheme="majorBidi"/>
          <w:i/>
          <w:iCs/>
        </w:rPr>
        <w:t>Statistical analys</w:t>
      </w:r>
      <w:r w:rsidR="00F07761" w:rsidRPr="00484830">
        <w:rPr>
          <w:rFonts w:asciiTheme="majorBidi" w:hAnsiTheme="majorBidi" w:cstheme="majorBidi"/>
          <w:i/>
          <w:iCs/>
        </w:rPr>
        <w:t>e</w:t>
      </w:r>
      <w:r w:rsidRPr="00484830">
        <w:rPr>
          <w:rFonts w:asciiTheme="majorBidi" w:hAnsiTheme="majorBidi" w:cstheme="majorBidi"/>
          <w:i/>
          <w:iCs/>
        </w:rPr>
        <w:t>s</w:t>
      </w:r>
    </w:p>
    <w:p w14:paraId="70312CC8" w14:textId="4B05E984" w:rsidR="00F6013C" w:rsidRPr="00FF2B99" w:rsidRDefault="008E4135" w:rsidP="006635EF">
      <w:pPr>
        <w:spacing w:line="480" w:lineRule="auto"/>
        <w:jc w:val="both"/>
        <w:rPr>
          <w:rFonts w:asciiTheme="majorBidi" w:hAnsiTheme="majorBidi" w:cstheme="majorBidi"/>
        </w:rPr>
      </w:pPr>
      <w:r w:rsidRPr="008E4135">
        <w:rPr>
          <w:rFonts w:asciiTheme="majorBidi" w:hAnsiTheme="majorBidi" w:cstheme="majorBidi"/>
        </w:rPr>
        <w:t xml:space="preserve">All accelerometer and inclinometer data were analysed using </w:t>
      </w:r>
      <w:proofErr w:type="spellStart"/>
      <w:r w:rsidRPr="008E4135">
        <w:rPr>
          <w:rFonts w:asciiTheme="majorBidi" w:hAnsiTheme="majorBidi" w:cstheme="majorBidi"/>
        </w:rPr>
        <w:t>ActiLife</w:t>
      </w:r>
      <w:proofErr w:type="spellEnd"/>
      <w:r w:rsidRPr="008E4135">
        <w:rPr>
          <w:rFonts w:asciiTheme="majorBidi" w:hAnsiTheme="majorBidi" w:cstheme="majorBidi"/>
        </w:rPr>
        <w:t xml:space="preserve"> (version 6.13.3, </w:t>
      </w:r>
      <w:proofErr w:type="spellStart"/>
      <w:r w:rsidRPr="008E4135">
        <w:rPr>
          <w:rFonts w:asciiTheme="majorBidi" w:hAnsiTheme="majorBidi" w:cstheme="majorBidi"/>
        </w:rPr>
        <w:t>ActiGraph</w:t>
      </w:r>
      <w:proofErr w:type="spellEnd"/>
      <w:r w:rsidRPr="008E4135">
        <w:rPr>
          <w:rFonts w:asciiTheme="majorBidi" w:hAnsiTheme="majorBidi" w:cstheme="majorBidi"/>
        </w:rPr>
        <w:t xml:space="preserve"> Corp, Pensacola, USA) and activPAL3</w:t>
      </w:r>
      <w:r w:rsidRPr="008E4135">
        <w:rPr>
          <w:rFonts w:asciiTheme="majorBidi" w:hAnsiTheme="majorBidi" w:cstheme="majorBidi"/>
          <w:vertAlign w:val="superscript"/>
        </w:rPr>
        <w:t>TM</w:t>
      </w:r>
      <w:r w:rsidRPr="008E4135">
        <w:rPr>
          <w:rFonts w:asciiTheme="majorBidi" w:hAnsiTheme="majorBidi" w:cstheme="majorBidi"/>
        </w:rPr>
        <w:t xml:space="preserve"> software (version 7.2.32, PAL Technologies Ltd, Glasgow, UK), respectively</w:t>
      </w:r>
      <w:r w:rsidR="0003559F">
        <w:rPr>
          <w:rFonts w:asciiTheme="majorBidi" w:hAnsiTheme="majorBidi" w:cstheme="majorBidi"/>
        </w:rPr>
        <w:t>. These data</w:t>
      </w:r>
      <w:r w:rsidRPr="008E4135">
        <w:rPr>
          <w:rFonts w:asciiTheme="majorBidi" w:hAnsiTheme="majorBidi" w:cstheme="majorBidi"/>
        </w:rPr>
        <w:t xml:space="preserve"> are presented as absolute minutes per day for sedentary behaviour, light </w:t>
      </w:r>
      <w:r w:rsidRPr="008E0D11">
        <w:rPr>
          <w:rFonts w:asciiTheme="majorBidi" w:hAnsiTheme="majorBidi" w:cstheme="majorBidi"/>
        </w:rPr>
        <w:t xml:space="preserve">and moderate-vigorous physical activity (MVPA), as well as percentages of wear </w:t>
      </w:r>
      <w:r w:rsidRPr="000E1C62">
        <w:rPr>
          <w:rFonts w:asciiTheme="majorBidi" w:hAnsiTheme="majorBidi" w:cstheme="majorBidi"/>
        </w:rPr>
        <w:t>time</w:t>
      </w:r>
      <w:r w:rsidR="00541B59" w:rsidRPr="000E1C62">
        <w:rPr>
          <w:rFonts w:asciiTheme="majorBidi" w:hAnsiTheme="majorBidi" w:cstheme="majorBidi"/>
        </w:rPr>
        <w:t xml:space="preserve"> (Supplementa</w:t>
      </w:r>
      <w:r w:rsidR="00A7461E" w:rsidRPr="000E1C62">
        <w:rPr>
          <w:rFonts w:asciiTheme="majorBidi" w:hAnsiTheme="majorBidi" w:cstheme="majorBidi"/>
        </w:rPr>
        <w:t>l</w:t>
      </w:r>
      <w:r w:rsidR="00541B59" w:rsidRPr="000E1C62">
        <w:rPr>
          <w:rFonts w:asciiTheme="majorBidi" w:hAnsiTheme="majorBidi" w:cstheme="majorBidi"/>
        </w:rPr>
        <w:t xml:space="preserve"> Table 1</w:t>
      </w:r>
      <w:r w:rsidR="00D47604" w:rsidRPr="000E1C62">
        <w:rPr>
          <w:rFonts w:asciiTheme="majorBidi" w:hAnsiTheme="majorBidi" w:cstheme="majorBidi"/>
        </w:rPr>
        <w:t>)</w:t>
      </w:r>
      <w:r w:rsidRPr="000E1C62">
        <w:rPr>
          <w:rFonts w:asciiTheme="majorBidi" w:hAnsiTheme="majorBidi" w:cstheme="majorBidi"/>
        </w:rPr>
        <w:t xml:space="preserve">. </w:t>
      </w:r>
      <w:r w:rsidR="009B7125" w:rsidRPr="000E1C62">
        <w:rPr>
          <w:rFonts w:asciiTheme="majorBidi" w:hAnsiTheme="majorBidi" w:cstheme="majorBidi"/>
        </w:rPr>
        <w:t>The primary outcome of the study was FGF21, with the other assessed hepatokines (LECT2</w:t>
      </w:r>
      <w:r w:rsidR="00F40B3C" w:rsidRPr="000E1C62">
        <w:rPr>
          <w:rFonts w:asciiTheme="majorBidi" w:hAnsiTheme="majorBidi" w:cstheme="majorBidi"/>
        </w:rPr>
        <w:t>, fetuin-A, fetuin-B and SeP) assigned as key secondary outcomes of interest</w:t>
      </w:r>
      <w:r w:rsidR="007F1261" w:rsidRPr="000E1C62">
        <w:rPr>
          <w:rFonts w:asciiTheme="majorBidi" w:hAnsiTheme="majorBidi" w:cstheme="majorBidi"/>
        </w:rPr>
        <w:t>. Additional secondary outcomes were changes in anthropometry</w:t>
      </w:r>
      <w:r w:rsidR="008775A2" w:rsidRPr="000E1C62">
        <w:rPr>
          <w:rFonts w:asciiTheme="majorBidi" w:hAnsiTheme="majorBidi" w:cstheme="majorBidi"/>
        </w:rPr>
        <w:t>, metabolic rate, plasma metabolites (</w:t>
      </w:r>
      <w:r w:rsidR="007B3895" w:rsidRPr="000E1C62">
        <w:rPr>
          <w:rFonts w:asciiTheme="majorBidi" w:hAnsiTheme="majorBidi" w:cstheme="majorBidi"/>
        </w:rPr>
        <w:t>glucose, insulin, NEFA, TAG, ALT, AST and GGT) and indices of insulin resistance</w:t>
      </w:r>
      <w:r w:rsidR="00FF2B99" w:rsidRPr="000E1C62">
        <w:rPr>
          <w:rFonts w:asciiTheme="majorBidi" w:hAnsiTheme="majorBidi" w:cstheme="majorBidi"/>
        </w:rPr>
        <w:t xml:space="preserve"> (HOMA-IR, Adipo-IR and the Matsuda ISI). </w:t>
      </w:r>
      <w:r w:rsidR="00B93CF5" w:rsidRPr="000E1C62">
        <w:rPr>
          <w:rFonts w:asciiTheme="majorBidi" w:hAnsiTheme="majorBidi" w:cstheme="majorBidi"/>
          <w:iCs/>
        </w:rPr>
        <w:t>Statistical analys</w:t>
      </w:r>
      <w:r w:rsidR="00F07761" w:rsidRPr="000E1C62">
        <w:rPr>
          <w:rFonts w:asciiTheme="majorBidi" w:hAnsiTheme="majorBidi" w:cstheme="majorBidi"/>
          <w:iCs/>
        </w:rPr>
        <w:t>e</w:t>
      </w:r>
      <w:r w:rsidR="00B93CF5" w:rsidRPr="000E1C62">
        <w:rPr>
          <w:rFonts w:asciiTheme="majorBidi" w:hAnsiTheme="majorBidi" w:cstheme="majorBidi"/>
          <w:iCs/>
        </w:rPr>
        <w:t>s w</w:t>
      </w:r>
      <w:r w:rsidR="00F07761" w:rsidRPr="000E1C62">
        <w:rPr>
          <w:rFonts w:asciiTheme="majorBidi" w:hAnsiTheme="majorBidi" w:cstheme="majorBidi"/>
          <w:iCs/>
        </w:rPr>
        <w:t>ere</w:t>
      </w:r>
      <w:r w:rsidR="00B93CF5" w:rsidRPr="000E1C62">
        <w:rPr>
          <w:rFonts w:asciiTheme="majorBidi" w:hAnsiTheme="majorBidi" w:cstheme="majorBidi"/>
          <w:iCs/>
        </w:rPr>
        <w:t xml:space="preserve"> performed </w:t>
      </w:r>
      <w:r w:rsidR="00180A7F" w:rsidRPr="000E1C62">
        <w:rPr>
          <w:rFonts w:asciiTheme="majorBidi" w:hAnsiTheme="majorBidi" w:cstheme="majorBidi"/>
          <w:iCs/>
        </w:rPr>
        <w:t>using</w:t>
      </w:r>
      <w:r w:rsidR="00B93CF5" w:rsidRPr="000E1C62">
        <w:rPr>
          <w:rFonts w:asciiTheme="majorBidi" w:hAnsiTheme="majorBidi" w:cstheme="majorBidi"/>
          <w:iCs/>
        </w:rPr>
        <w:t xml:space="preserve"> commercially available software </w:t>
      </w:r>
      <w:r w:rsidR="00542D52" w:rsidRPr="000E1C62">
        <w:rPr>
          <w:rFonts w:asciiTheme="majorBidi" w:hAnsiTheme="majorBidi" w:cstheme="majorBidi"/>
          <w:iCs/>
        </w:rPr>
        <w:t>(SPSS version 24.0, SPSS Inc.,</w:t>
      </w:r>
      <w:r w:rsidR="00F244FC" w:rsidRPr="000E1C62">
        <w:rPr>
          <w:rFonts w:asciiTheme="majorBidi" w:hAnsiTheme="majorBidi" w:cstheme="majorBidi"/>
          <w:iCs/>
        </w:rPr>
        <w:t xml:space="preserve"> Illinois,</w:t>
      </w:r>
      <w:r w:rsidR="00542D52" w:rsidRPr="000E1C62">
        <w:rPr>
          <w:rFonts w:asciiTheme="majorBidi" w:hAnsiTheme="majorBidi" w:cstheme="majorBidi"/>
          <w:iCs/>
        </w:rPr>
        <w:t xml:space="preserve"> U</w:t>
      </w:r>
      <w:r w:rsidR="00F244FC" w:rsidRPr="000E1C62">
        <w:rPr>
          <w:rFonts w:asciiTheme="majorBidi" w:hAnsiTheme="majorBidi" w:cstheme="majorBidi"/>
          <w:iCs/>
        </w:rPr>
        <w:t>SA</w:t>
      </w:r>
      <w:r w:rsidR="00542D52" w:rsidRPr="000E1C62">
        <w:rPr>
          <w:rFonts w:asciiTheme="majorBidi" w:hAnsiTheme="majorBidi" w:cstheme="majorBidi"/>
          <w:iCs/>
        </w:rPr>
        <w:t xml:space="preserve">). </w:t>
      </w:r>
      <w:r w:rsidR="00B45ED9" w:rsidRPr="000E1C62">
        <w:rPr>
          <w:rFonts w:asciiTheme="majorBidi" w:hAnsiTheme="majorBidi" w:cstheme="majorBidi"/>
          <w:iCs/>
        </w:rPr>
        <w:t>Total a</w:t>
      </w:r>
      <w:r w:rsidR="0055463D" w:rsidRPr="000E1C62">
        <w:rPr>
          <w:rFonts w:asciiTheme="majorBidi" w:hAnsiTheme="majorBidi" w:cstheme="majorBidi"/>
          <w:iCs/>
        </w:rPr>
        <w:t xml:space="preserve">rea under the curve (AUC) values for glucose and insulin during OGTTs were calculated using the trapezoidal method. </w:t>
      </w:r>
      <w:r w:rsidR="00D56443" w:rsidRPr="000E1C62">
        <w:rPr>
          <w:rFonts w:asciiTheme="majorBidi" w:hAnsiTheme="majorBidi" w:cstheme="majorBidi"/>
          <w:iCs/>
        </w:rPr>
        <w:t>Norma</w:t>
      </w:r>
      <w:r w:rsidR="00660B2C" w:rsidRPr="000E1C62">
        <w:rPr>
          <w:rFonts w:asciiTheme="majorBidi" w:hAnsiTheme="majorBidi" w:cstheme="majorBidi"/>
          <w:iCs/>
        </w:rPr>
        <w:t xml:space="preserve">lity of </w:t>
      </w:r>
      <w:r w:rsidR="00410286" w:rsidRPr="000E1C62">
        <w:rPr>
          <w:rFonts w:asciiTheme="majorBidi" w:hAnsiTheme="majorBidi" w:cstheme="majorBidi"/>
          <w:iCs/>
        </w:rPr>
        <w:t xml:space="preserve">distribution for </w:t>
      </w:r>
      <w:r w:rsidR="00660B2C" w:rsidRPr="000E1C62">
        <w:rPr>
          <w:rFonts w:asciiTheme="majorBidi" w:hAnsiTheme="majorBidi" w:cstheme="majorBidi"/>
          <w:iCs/>
        </w:rPr>
        <w:t xml:space="preserve">all data </w:t>
      </w:r>
      <w:r w:rsidR="00F91A5E" w:rsidRPr="000E1C62">
        <w:rPr>
          <w:rFonts w:asciiTheme="majorBidi" w:hAnsiTheme="majorBidi" w:cstheme="majorBidi"/>
          <w:iCs/>
        </w:rPr>
        <w:t>were</w:t>
      </w:r>
      <w:r w:rsidR="00660B2C" w:rsidRPr="000E1C62">
        <w:rPr>
          <w:rFonts w:asciiTheme="majorBidi" w:hAnsiTheme="majorBidi" w:cstheme="majorBidi"/>
          <w:iCs/>
        </w:rPr>
        <w:t xml:space="preserve"> assessed using </w:t>
      </w:r>
      <w:r w:rsidR="002E5519" w:rsidRPr="000E1C62">
        <w:rPr>
          <w:rFonts w:asciiTheme="majorBidi" w:hAnsiTheme="majorBidi" w:cstheme="majorBidi"/>
          <w:iCs/>
        </w:rPr>
        <w:t>the Shapiro-Wilk</w:t>
      </w:r>
      <w:r w:rsidR="004C1493" w:rsidRPr="000E1C62">
        <w:rPr>
          <w:rFonts w:asciiTheme="majorBidi" w:hAnsiTheme="majorBidi" w:cstheme="majorBidi"/>
          <w:iCs/>
        </w:rPr>
        <w:t xml:space="preserve"> test</w:t>
      </w:r>
      <w:r w:rsidR="007F38E8" w:rsidRPr="000E1C62">
        <w:rPr>
          <w:rFonts w:asciiTheme="majorBidi" w:hAnsiTheme="majorBidi" w:cstheme="majorBidi"/>
          <w:iCs/>
        </w:rPr>
        <w:t xml:space="preserve">. </w:t>
      </w:r>
      <w:r w:rsidR="006A4C70" w:rsidRPr="000E1C62">
        <w:rPr>
          <w:rFonts w:asciiTheme="majorBidi" w:hAnsiTheme="majorBidi" w:cstheme="majorBidi"/>
          <w:iCs/>
        </w:rPr>
        <w:t>Resting metabolic rate</w:t>
      </w:r>
      <w:r w:rsidR="006D0F24" w:rsidRPr="000E1C62">
        <w:rPr>
          <w:rFonts w:asciiTheme="majorBidi" w:hAnsiTheme="majorBidi" w:cstheme="majorBidi"/>
          <w:iCs/>
        </w:rPr>
        <w:t xml:space="preserve">, AST, GGT, Adipo-IR and </w:t>
      </w:r>
      <w:r w:rsidR="00DC0CC0" w:rsidRPr="000E1C62">
        <w:rPr>
          <w:rFonts w:asciiTheme="majorBidi" w:hAnsiTheme="majorBidi" w:cstheme="majorBidi"/>
          <w:iCs/>
        </w:rPr>
        <w:t xml:space="preserve">the </w:t>
      </w:r>
      <w:r w:rsidR="006D0F24" w:rsidRPr="000E1C62">
        <w:rPr>
          <w:rFonts w:asciiTheme="majorBidi" w:hAnsiTheme="majorBidi" w:cstheme="majorBidi"/>
          <w:iCs/>
        </w:rPr>
        <w:t>M</w:t>
      </w:r>
      <w:r w:rsidR="00DC0CC0" w:rsidRPr="000E1C62">
        <w:rPr>
          <w:rFonts w:asciiTheme="majorBidi" w:hAnsiTheme="majorBidi" w:cstheme="majorBidi"/>
          <w:iCs/>
        </w:rPr>
        <w:t xml:space="preserve">atsuda ISI </w:t>
      </w:r>
      <w:r w:rsidR="004C1493" w:rsidRPr="000E1C62">
        <w:rPr>
          <w:rFonts w:asciiTheme="majorBidi" w:hAnsiTheme="majorBidi" w:cstheme="majorBidi"/>
          <w:iCs/>
        </w:rPr>
        <w:t xml:space="preserve">were not </w:t>
      </w:r>
      <w:r w:rsidR="00352768" w:rsidRPr="000E1C62">
        <w:rPr>
          <w:rFonts w:asciiTheme="majorBidi" w:hAnsiTheme="majorBidi" w:cstheme="majorBidi"/>
          <w:iCs/>
        </w:rPr>
        <w:t xml:space="preserve">normally distributed </w:t>
      </w:r>
      <w:r w:rsidR="00B42253" w:rsidRPr="000E1C62">
        <w:rPr>
          <w:rFonts w:asciiTheme="majorBidi" w:hAnsiTheme="majorBidi" w:cstheme="majorBidi"/>
          <w:iCs/>
        </w:rPr>
        <w:t xml:space="preserve">and </w:t>
      </w:r>
      <w:r w:rsidR="00352768" w:rsidRPr="000E1C62">
        <w:rPr>
          <w:rFonts w:asciiTheme="majorBidi" w:hAnsiTheme="majorBidi" w:cstheme="majorBidi"/>
          <w:iCs/>
        </w:rPr>
        <w:t>were</w:t>
      </w:r>
      <w:r w:rsidR="00B42253" w:rsidRPr="000E1C62">
        <w:rPr>
          <w:rFonts w:asciiTheme="majorBidi" w:hAnsiTheme="majorBidi" w:cstheme="majorBidi"/>
          <w:iCs/>
        </w:rPr>
        <w:t xml:space="preserve"> subsequently</w:t>
      </w:r>
      <w:r w:rsidR="00352768" w:rsidRPr="000E1C62">
        <w:rPr>
          <w:rFonts w:asciiTheme="majorBidi" w:hAnsiTheme="majorBidi" w:cstheme="majorBidi"/>
          <w:iCs/>
        </w:rPr>
        <w:t xml:space="preserve"> log transformed prior to analysis.</w:t>
      </w:r>
      <w:r w:rsidR="00485E7B" w:rsidRPr="000E1C62">
        <w:rPr>
          <w:rFonts w:asciiTheme="majorBidi" w:hAnsiTheme="majorBidi" w:cstheme="majorBidi"/>
          <w:iCs/>
        </w:rPr>
        <w:t xml:space="preserve"> </w:t>
      </w:r>
      <w:r w:rsidR="003E0117" w:rsidRPr="000E1C62">
        <w:rPr>
          <w:rFonts w:asciiTheme="majorBidi" w:hAnsiTheme="majorBidi" w:cstheme="majorBidi"/>
          <w:iCs/>
        </w:rPr>
        <w:t xml:space="preserve">Normality of </w:t>
      </w:r>
      <w:r w:rsidR="0039596C" w:rsidRPr="000E1C62">
        <w:rPr>
          <w:rFonts w:asciiTheme="majorBidi" w:hAnsiTheme="majorBidi" w:cstheme="majorBidi"/>
          <w:iCs/>
        </w:rPr>
        <w:t xml:space="preserve">distribution for </w:t>
      </w:r>
      <w:r w:rsidR="003E0117" w:rsidRPr="000E1C62">
        <w:rPr>
          <w:rFonts w:asciiTheme="majorBidi" w:hAnsiTheme="majorBidi" w:cstheme="majorBidi"/>
          <w:iCs/>
        </w:rPr>
        <w:t>the</w:t>
      </w:r>
      <w:r w:rsidR="00B42253" w:rsidRPr="000E1C62">
        <w:rPr>
          <w:rFonts w:asciiTheme="majorBidi" w:hAnsiTheme="majorBidi" w:cstheme="majorBidi"/>
          <w:iCs/>
        </w:rPr>
        <w:t>se</w:t>
      </w:r>
      <w:r w:rsidR="00D945DC" w:rsidRPr="000E1C62">
        <w:rPr>
          <w:rFonts w:asciiTheme="majorBidi" w:hAnsiTheme="majorBidi" w:cstheme="majorBidi"/>
          <w:iCs/>
        </w:rPr>
        <w:t xml:space="preserve"> data were then re-assessed</w:t>
      </w:r>
      <w:r w:rsidR="0039596C" w:rsidRPr="000E1C62">
        <w:rPr>
          <w:rFonts w:asciiTheme="majorBidi" w:hAnsiTheme="majorBidi" w:cstheme="majorBidi"/>
          <w:iCs/>
        </w:rPr>
        <w:t xml:space="preserve"> and confirmed</w:t>
      </w:r>
      <w:r w:rsidR="00131A08" w:rsidRPr="000E1C62">
        <w:rPr>
          <w:rFonts w:asciiTheme="majorBidi" w:hAnsiTheme="majorBidi" w:cstheme="majorBidi"/>
          <w:iCs/>
        </w:rPr>
        <w:t>.</w:t>
      </w:r>
      <w:r w:rsidR="00352768" w:rsidRPr="000E1C62">
        <w:rPr>
          <w:rFonts w:asciiTheme="majorBidi" w:hAnsiTheme="majorBidi" w:cstheme="majorBidi"/>
          <w:iCs/>
        </w:rPr>
        <w:t xml:space="preserve"> </w:t>
      </w:r>
      <w:r w:rsidR="00621291" w:rsidRPr="000E1C62">
        <w:rPr>
          <w:rFonts w:asciiTheme="majorBidi" w:hAnsiTheme="majorBidi" w:cstheme="majorBidi"/>
          <w:iCs/>
        </w:rPr>
        <w:t xml:space="preserve">Paired </w:t>
      </w:r>
      <w:r w:rsidR="00621291" w:rsidRPr="000E1C62">
        <w:rPr>
          <w:rFonts w:asciiTheme="majorBidi" w:hAnsiTheme="majorBidi" w:cstheme="majorBidi"/>
          <w:i/>
          <w:iCs/>
        </w:rPr>
        <w:t>t</w:t>
      </w:r>
      <w:r w:rsidR="00621291" w:rsidRPr="000E1C62">
        <w:rPr>
          <w:rFonts w:asciiTheme="majorBidi" w:hAnsiTheme="majorBidi" w:cstheme="majorBidi"/>
          <w:iCs/>
        </w:rPr>
        <w:t>-tests were used to compare</w:t>
      </w:r>
      <w:r w:rsidR="00CE7118" w:rsidRPr="000E1C62">
        <w:rPr>
          <w:rFonts w:asciiTheme="majorBidi" w:hAnsiTheme="majorBidi" w:cstheme="majorBidi"/>
          <w:iCs/>
        </w:rPr>
        <w:t xml:space="preserve"> pre-diet</w:t>
      </w:r>
      <w:r w:rsidR="00621291" w:rsidRPr="000E1C62">
        <w:rPr>
          <w:rFonts w:asciiTheme="majorBidi" w:hAnsiTheme="majorBidi" w:cstheme="majorBidi"/>
          <w:iCs/>
        </w:rPr>
        <w:t xml:space="preserve"> differences </w:t>
      </w:r>
      <w:r w:rsidR="00CE7118" w:rsidRPr="000E1C62">
        <w:rPr>
          <w:rFonts w:asciiTheme="majorBidi" w:hAnsiTheme="majorBidi" w:cstheme="majorBidi"/>
          <w:iCs/>
        </w:rPr>
        <w:t xml:space="preserve">in </w:t>
      </w:r>
      <w:r w:rsidR="00621291" w:rsidRPr="000E1C62">
        <w:rPr>
          <w:rFonts w:asciiTheme="majorBidi" w:hAnsiTheme="majorBidi" w:cstheme="majorBidi"/>
          <w:iCs/>
        </w:rPr>
        <w:t xml:space="preserve">study variables between the two dietary interventions. </w:t>
      </w:r>
      <w:r w:rsidR="00775DBF" w:rsidRPr="000E1C62">
        <w:rPr>
          <w:rFonts w:asciiTheme="majorBidi" w:hAnsiTheme="majorBidi" w:cstheme="majorBidi"/>
          <w:iCs/>
        </w:rPr>
        <w:t xml:space="preserve">Differences </w:t>
      </w:r>
      <w:r w:rsidR="003734C3" w:rsidRPr="000E1C62">
        <w:rPr>
          <w:rFonts w:asciiTheme="majorBidi" w:hAnsiTheme="majorBidi" w:cstheme="majorBidi"/>
          <w:iCs/>
        </w:rPr>
        <w:t>in dietary intake, composition and phy</w:t>
      </w:r>
      <w:r w:rsidR="005D7A1E" w:rsidRPr="000E1C62">
        <w:rPr>
          <w:rFonts w:asciiTheme="majorBidi" w:hAnsiTheme="majorBidi" w:cstheme="majorBidi"/>
          <w:iCs/>
        </w:rPr>
        <w:t xml:space="preserve">sical activity levels </w:t>
      </w:r>
      <w:r w:rsidR="00561599" w:rsidRPr="000E1C62">
        <w:rPr>
          <w:rFonts w:asciiTheme="majorBidi" w:hAnsiTheme="majorBidi" w:cstheme="majorBidi"/>
          <w:iCs/>
        </w:rPr>
        <w:t>at baseline and during the</w:t>
      </w:r>
      <w:r w:rsidR="005D7A1E" w:rsidRPr="000E1C62">
        <w:rPr>
          <w:rFonts w:asciiTheme="majorBidi" w:hAnsiTheme="majorBidi" w:cstheme="majorBidi"/>
          <w:iCs/>
        </w:rPr>
        <w:t xml:space="preserve"> control diet and HE-HFD</w:t>
      </w:r>
      <w:r w:rsidR="00682C04" w:rsidRPr="000E1C62">
        <w:rPr>
          <w:rFonts w:asciiTheme="majorBidi" w:hAnsiTheme="majorBidi" w:cstheme="majorBidi"/>
          <w:iCs/>
        </w:rPr>
        <w:t xml:space="preserve"> were assessed using a one-w</w:t>
      </w:r>
      <w:r w:rsidR="00682C04">
        <w:rPr>
          <w:rFonts w:asciiTheme="majorBidi" w:hAnsiTheme="majorBidi" w:cstheme="majorBidi"/>
          <w:iCs/>
        </w:rPr>
        <w:t>ay repeated</w:t>
      </w:r>
      <w:r w:rsidR="004353BA">
        <w:rPr>
          <w:rFonts w:asciiTheme="majorBidi" w:hAnsiTheme="majorBidi" w:cstheme="majorBidi"/>
          <w:iCs/>
        </w:rPr>
        <w:t>-</w:t>
      </w:r>
      <w:r w:rsidR="00682C04">
        <w:rPr>
          <w:rFonts w:asciiTheme="majorBidi" w:hAnsiTheme="majorBidi" w:cstheme="majorBidi"/>
          <w:iCs/>
        </w:rPr>
        <w:t>measures analysis of variance (ANOVA)</w:t>
      </w:r>
      <w:r w:rsidR="009665E4">
        <w:rPr>
          <w:rFonts w:asciiTheme="majorBidi" w:hAnsiTheme="majorBidi" w:cstheme="majorBidi"/>
          <w:iCs/>
        </w:rPr>
        <w:t xml:space="preserve"> </w:t>
      </w:r>
      <w:r w:rsidR="00CC525C">
        <w:rPr>
          <w:rFonts w:asciiTheme="majorBidi" w:hAnsiTheme="majorBidi" w:cstheme="majorBidi"/>
          <w:iCs/>
        </w:rPr>
        <w:t>with</w:t>
      </w:r>
      <w:r w:rsidR="009665E4">
        <w:rPr>
          <w:rFonts w:asciiTheme="majorBidi" w:hAnsiTheme="majorBidi" w:cstheme="majorBidi"/>
          <w:iCs/>
        </w:rPr>
        <w:t xml:space="preserve"> subsequent pairwise </w:t>
      </w:r>
      <w:r w:rsidR="00CC525C" w:rsidRPr="000E1C62">
        <w:rPr>
          <w:rFonts w:asciiTheme="majorBidi" w:hAnsiTheme="majorBidi" w:cstheme="majorBidi"/>
          <w:iCs/>
        </w:rPr>
        <w:t xml:space="preserve">comparisons. </w:t>
      </w:r>
      <w:r w:rsidR="002734FC" w:rsidRPr="000E1C62">
        <w:rPr>
          <w:rFonts w:asciiTheme="majorBidi" w:hAnsiTheme="majorBidi" w:cstheme="majorBidi"/>
          <w:iCs/>
        </w:rPr>
        <w:t>Two-</w:t>
      </w:r>
      <w:r w:rsidR="0026580A" w:rsidRPr="000E1C62">
        <w:rPr>
          <w:rFonts w:asciiTheme="majorBidi" w:hAnsiTheme="majorBidi" w:cstheme="majorBidi"/>
          <w:iCs/>
        </w:rPr>
        <w:t xml:space="preserve">way </w:t>
      </w:r>
      <w:r w:rsidR="0026580A" w:rsidRPr="000E1C62">
        <w:rPr>
          <w:rFonts w:asciiTheme="majorBidi" w:hAnsiTheme="majorBidi" w:cstheme="majorBidi"/>
          <w:iCs/>
        </w:rPr>
        <w:lastRenderedPageBreak/>
        <w:t>repeated-measures ANOVA (within-participant factors</w:t>
      </w:r>
      <w:r w:rsidR="00A35026" w:rsidRPr="000E1C62">
        <w:rPr>
          <w:rFonts w:asciiTheme="majorBidi" w:hAnsiTheme="majorBidi" w:cstheme="majorBidi"/>
          <w:iCs/>
        </w:rPr>
        <w:t>: diet [control, HE-HFD] and time</w:t>
      </w:r>
      <w:r w:rsidR="00D9459A" w:rsidRPr="000E1C62">
        <w:rPr>
          <w:rFonts w:asciiTheme="majorBidi" w:hAnsiTheme="majorBidi" w:cstheme="majorBidi"/>
          <w:iCs/>
        </w:rPr>
        <w:t xml:space="preserve"> [pre-diet</w:t>
      </w:r>
      <w:r w:rsidR="00E22FE5" w:rsidRPr="000E1C62">
        <w:rPr>
          <w:rFonts w:asciiTheme="majorBidi" w:hAnsiTheme="majorBidi" w:cstheme="majorBidi"/>
          <w:iCs/>
        </w:rPr>
        <w:t>, 1 d, 3 d and 7 d</w:t>
      </w:r>
      <w:r w:rsidR="00C40086" w:rsidRPr="000E1C62">
        <w:rPr>
          <w:rFonts w:asciiTheme="majorBidi" w:hAnsiTheme="majorBidi" w:cstheme="majorBidi"/>
          <w:iCs/>
        </w:rPr>
        <w:t>])</w:t>
      </w:r>
      <w:r w:rsidR="00EC4E6A" w:rsidRPr="000E1C62">
        <w:rPr>
          <w:rFonts w:asciiTheme="majorBidi" w:hAnsiTheme="majorBidi" w:cstheme="majorBidi"/>
          <w:iCs/>
        </w:rPr>
        <w:t xml:space="preserve"> was used to </w:t>
      </w:r>
      <w:r w:rsidR="009A3B6F" w:rsidRPr="000E1C62">
        <w:rPr>
          <w:rFonts w:asciiTheme="majorBidi" w:hAnsiTheme="majorBidi" w:cstheme="majorBidi"/>
          <w:iCs/>
        </w:rPr>
        <w:t>examine differences in circulating proteins, metabolites, HOMA-IR and Adipo-IR</w:t>
      </w:r>
      <w:r w:rsidR="0053370C" w:rsidRPr="000E1C62">
        <w:rPr>
          <w:rFonts w:asciiTheme="majorBidi" w:hAnsiTheme="majorBidi" w:cstheme="majorBidi"/>
          <w:iCs/>
        </w:rPr>
        <w:t xml:space="preserve"> between the two diets across the seven</w:t>
      </w:r>
      <w:r w:rsidR="00852A52" w:rsidRPr="000E1C62">
        <w:rPr>
          <w:rFonts w:asciiTheme="majorBidi" w:hAnsiTheme="majorBidi" w:cstheme="majorBidi"/>
          <w:iCs/>
        </w:rPr>
        <w:t>-day interventions</w:t>
      </w:r>
      <w:r w:rsidR="00642AB0" w:rsidRPr="000E1C62">
        <w:rPr>
          <w:rFonts w:asciiTheme="majorBidi" w:hAnsiTheme="majorBidi" w:cstheme="majorBidi"/>
          <w:iCs/>
        </w:rPr>
        <w:t>. Two-way repeated-measures ANOVA (within-participant factors: diet [control, HE-HFD</w:t>
      </w:r>
      <w:r w:rsidR="00BD07F4" w:rsidRPr="000E1C62">
        <w:rPr>
          <w:rFonts w:asciiTheme="majorBidi" w:hAnsiTheme="majorBidi" w:cstheme="majorBidi"/>
          <w:iCs/>
        </w:rPr>
        <w:t xml:space="preserve">] </w:t>
      </w:r>
      <w:r w:rsidR="00B149CD" w:rsidRPr="000E1C62">
        <w:rPr>
          <w:rFonts w:asciiTheme="majorBidi" w:hAnsiTheme="majorBidi" w:cstheme="majorBidi"/>
          <w:iCs/>
        </w:rPr>
        <w:t>and time [pre-diet, 7 d]</w:t>
      </w:r>
      <w:r w:rsidR="001D5C49" w:rsidRPr="000E1C62">
        <w:rPr>
          <w:rFonts w:asciiTheme="majorBidi" w:hAnsiTheme="majorBidi" w:cstheme="majorBidi"/>
          <w:iCs/>
        </w:rPr>
        <w:t xml:space="preserve">) were also used to analyse the variables that were only assessed during the pre-diet and </w:t>
      </w:r>
      <w:r w:rsidR="002E0F7B" w:rsidRPr="000E1C62">
        <w:rPr>
          <w:rFonts w:asciiTheme="majorBidi" w:hAnsiTheme="majorBidi" w:cstheme="majorBidi"/>
          <w:iCs/>
        </w:rPr>
        <w:t xml:space="preserve">7 d </w:t>
      </w:r>
      <w:r w:rsidR="0007120A" w:rsidRPr="000E1C62">
        <w:rPr>
          <w:rFonts w:asciiTheme="majorBidi" w:hAnsiTheme="majorBidi" w:cstheme="majorBidi"/>
          <w:iCs/>
        </w:rPr>
        <w:t>time periods (</w:t>
      </w:r>
      <w:r w:rsidR="00073504" w:rsidRPr="000E1C62">
        <w:rPr>
          <w:rFonts w:asciiTheme="majorBidi" w:hAnsiTheme="majorBidi" w:cstheme="majorBidi"/>
          <w:iCs/>
        </w:rPr>
        <w:t xml:space="preserve">glucose AUC, insulin AUC, Matsuda ISI and anthropometric </w:t>
      </w:r>
      <w:r w:rsidR="000C33BE" w:rsidRPr="000E1C62">
        <w:rPr>
          <w:rFonts w:asciiTheme="majorBidi" w:hAnsiTheme="majorBidi" w:cstheme="majorBidi"/>
          <w:iCs/>
        </w:rPr>
        <w:t>variables</w:t>
      </w:r>
      <w:r w:rsidR="0007120A" w:rsidRPr="000E1C62">
        <w:rPr>
          <w:rFonts w:asciiTheme="majorBidi" w:hAnsiTheme="majorBidi" w:cstheme="majorBidi"/>
          <w:iCs/>
        </w:rPr>
        <w:t>).</w:t>
      </w:r>
      <w:r w:rsidR="006635EF" w:rsidRPr="000E1C62">
        <w:rPr>
          <w:rFonts w:asciiTheme="majorBidi" w:hAnsiTheme="majorBidi" w:cstheme="majorBidi"/>
          <w:iCs/>
        </w:rPr>
        <w:t xml:space="preserve"> </w:t>
      </w:r>
      <w:r w:rsidR="001D6A33" w:rsidRPr="000E1C62">
        <w:rPr>
          <w:rFonts w:asciiTheme="majorBidi" w:hAnsiTheme="majorBidi" w:cstheme="majorBidi"/>
          <w:iCs/>
        </w:rPr>
        <w:t>In the event of</w:t>
      </w:r>
      <w:r w:rsidR="008314B9" w:rsidRPr="000E1C62">
        <w:rPr>
          <w:rFonts w:asciiTheme="majorBidi" w:hAnsiTheme="majorBidi" w:cstheme="majorBidi"/>
          <w:iCs/>
        </w:rPr>
        <w:t xml:space="preserve"> </w:t>
      </w:r>
      <w:r w:rsidR="001D6A33" w:rsidRPr="000E1C62">
        <w:rPr>
          <w:rFonts w:asciiTheme="majorBidi" w:hAnsiTheme="majorBidi" w:cstheme="majorBidi"/>
          <w:iCs/>
        </w:rPr>
        <w:t>statistically</w:t>
      </w:r>
      <w:r w:rsidR="009E6ACC" w:rsidRPr="000E1C62">
        <w:rPr>
          <w:rFonts w:asciiTheme="majorBidi" w:hAnsiTheme="majorBidi" w:cstheme="majorBidi"/>
          <w:iCs/>
        </w:rPr>
        <w:t xml:space="preserve"> significant di</w:t>
      </w:r>
      <w:r w:rsidR="00E30BA0" w:rsidRPr="000E1C62">
        <w:rPr>
          <w:rFonts w:asciiTheme="majorBidi" w:hAnsiTheme="majorBidi" w:cstheme="majorBidi"/>
          <w:iCs/>
        </w:rPr>
        <w:t>et and interaction effect</w:t>
      </w:r>
      <w:r w:rsidR="001B2CA9" w:rsidRPr="000E1C62">
        <w:rPr>
          <w:rFonts w:asciiTheme="majorBidi" w:hAnsiTheme="majorBidi" w:cstheme="majorBidi"/>
          <w:iCs/>
        </w:rPr>
        <w:t>s</w:t>
      </w:r>
      <w:r w:rsidR="00E30BA0" w:rsidRPr="000E1C62">
        <w:rPr>
          <w:rFonts w:asciiTheme="majorBidi" w:hAnsiTheme="majorBidi" w:cstheme="majorBidi"/>
          <w:iCs/>
        </w:rPr>
        <w:t xml:space="preserve">, </w:t>
      </w:r>
      <w:r w:rsidR="00E30BA0" w:rsidRPr="000E1C62">
        <w:rPr>
          <w:rFonts w:asciiTheme="majorBidi" w:hAnsiTheme="majorBidi" w:cstheme="majorBidi"/>
          <w:i/>
          <w:iCs/>
        </w:rPr>
        <w:t>post-hoc</w:t>
      </w:r>
      <w:r w:rsidR="00E30BA0" w:rsidRPr="000E1C62">
        <w:rPr>
          <w:rFonts w:asciiTheme="majorBidi" w:hAnsiTheme="majorBidi" w:cstheme="majorBidi"/>
          <w:iCs/>
        </w:rPr>
        <w:t xml:space="preserve"> analyses </w:t>
      </w:r>
      <w:r w:rsidR="00D62F7A" w:rsidRPr="000E1C62">
        <w:rPr>
          <w:rFonts w:asciiTheme="majorBidi" w:hAnsiTheme="majorBidi" w:cstheme="majorBidi"/>
          <w:iCs/>
        </w:rPr>
        <w:t xml:space="preserve">were performed using paired </w:t>
      </w:r>
      <w:r w:rsidR="00D62F7A" w:rsidRPr="000E1C62">
        <w:rPr>
          <w:rFonts w:asciiTheme="majorBidi" w:hAnsiTheme="majorBidi" w:cstheme="majorBidi"/>
          <w:i/>
          <w:iCs/>
        </w:rPr>
        <w:t>t</w:t>
      </w:r>
      <w:r w:rsidR="00D62F7A" w:rsidRPr="000E1C62">
        <w:rPr>
          <w:rFonts w:asciiTheme="majorBidi" w:hAnsiTheme="majorBidi" w:cstheme="majorBidi"/>
          <w:iCs/>
        </w:rPr>
        <w:t>-tests</w:t>
      </w:r>
      <w:r w:rsidR="00C837A2" w:rsidRPr="000E1C62">
        <w:rPr>
          <w:rFonts w:asciiTheme="majorBidi" w:hAnsiTheme="majorBidi" w:cstheme="majorBidi"/>
          <w:iCs/>
        </w:rPr>
        <w:t xml:space="preserve"> to locate any differences</w:t>
      </w:r>
      <w:r w:rsidR="00827F82" w:rsidRPr="000E1C62">
        <w:rPr>
          <w:rFonts w:asciiTheme="majorBidi" w:hAnsiTheme="majorBidi" w:cstheme="majorBidi"/>
          <w:iCs/>
        </w:rPr>
        <w:t xml:space="preserve"> for descriptive purposes</w:t>
      </w:r>
      <w:r w:rsidR="00D62F7A" w:rsidRPr="000E1C62">
        <w:rPr>
          <w:rFonts w:asciiTheme="majorBidi" w:hAnsiTheme="majorBidi" w:cstheme="majorBidi"/>
          <w:iCs/>
        </w:rPr>
        <w:t>.</w:t>
      </w:r>
      <w:r w:rsidR="00E45E79" w:rsidRPr="000E1C62">
        <w:rPr>
          <w:rFonts w:asciiTheme="majorBidi" w:hAnsiTheme="majorBidi" w:cstheme="majorBidi"/>
          <w:iCs/>
        </w:rPr>
        <w:t xml:space="preserve"> </w:t>
      </w:r>
      <w:r w:rsidR="00B508E1" w:rsidRPr="000E1C62">
        <w:rPr>
          <w:rFonts w:asciiTheme="majorBidi" w:hAnsiTheme="majorBidi" w:cstheme="majorBidi"/>
          <w:iCs/>
        </w:rPr>
        <w:t xml:space="preserve">The magnitude of statistically significant </w:t>
      </w:r>
      <w:r w:rsidR="003B6A5F" w:rsidRPr="000E1C62">
        <w:rPr>
          <w:rFonts w:asciiTheme="majorBidi" w:hAnsiTheme="majorBidi" w:cstheme="majorBidi"/>
          <w:iCs/>
        </w:rPr>
        <w:t xml:space="preserve">effects </w:t>
      </w:r>
      <w:r w:rsidR="00851032" w:rsidRPr="000E1C62">
        <w:rPr>
          <w:rFonts w:asciiTheme="majorBidi" w:hAnsiTheme="majorBidi" w:cstheme="majorBidi"/>
          <w:iCs/>
        </w:rPr>
        <w:t>was</w:t>
      </w:r>
      <w:r w:rsidR="003B6A5F" w:rsidRPr="000E1C62">
        <w:rPr>
          <w:rFonts w:asciiTheme="majorBidi" w:hAnsiTheme="majorBidi" w:cstheme="majorBidi"/>
          <w:iCs/>
        </w:rPr>
        <w:t xml:space="preserve"> determined </w:t>
      </w:r>
      <w:r w:rsidR="00F42472" w:rsidRPr="000E1C62">
        <w:rPr>
          <w:rFonts w:asciiTheme="majorBidi" w:hAnsiTheme="majorBidi" w:cstheme="majorBidi"/>
          <w:iCs/>
        </w:rPr>
        <w:t xml:space="preserve">by calculating effect sizes (ES) using Cohen’s </w:t>
      </w:r>
      <w:r w:rsidR="00F42472" w:rsidRPr="000E1C62">
        <w:rPr>
          <w:rFonts w:asciiTheme="majorBidi" w:hAnsiTheme="majorBidi" w:cstheme="majorBidi"/>
          <w:i/>
          <w:iCs/>
        </w:rPr>
        <w:t>d</w:t>
      </w:r>
      <w:r w:rsidR="00F42472" w:rsidRPr="000E1C62">
        <w:rPr>
          <w:rFonts w:asciiTheme="majorBidi" w:hAnsiTheme="majorBidi" w:cstheme="majorBidi"/>
          <w:iCs/>
        </w:rPr>
        <w:t xml:space="preserve"> </w:t>
      </w:r>
      <w:r w:rsidR="009F4D8B" w:rsidRPr="000E1C62">
        <w:rPr>
          <w:rFonts w:asciiTheme="majorBidi" w:hAnsiTheme="majorBidi" w:cstheme="majorBidi"/>
          <w:iCs/>
        </w:rPr>
        <w:fldChar w:fldCharType="begin" w:fldLock="1"/>
      </w:r>
      <w:r w:rsidR="007B52A5" w:rsidRPr="000E1C62">
        <w:rPr>
          <w:rFonts w:asciiTheme="majorBidi" w:hAnsiTheme="majorBidi" w:cstheme="majorBidi"/>
          <w:iCs/>
        </w:rPr>
        <w:instrText>ADDIN CSL_CITATION { "citationItems" : [ { "id" : "ITEM-1", "itemData" : { "ISBN" : "0-8058-0283-5", "author" : [ { "dropping-particle" : "", "family" : "Cohen", "given" : "J", "non-dropping-particle" : "", "parse-names" : false, "suffix" : "" } ], "edition" : "2nd ed", "id" : "ITEM-1", "issued" : { "date-parts" : [ [ "1988" ] ] }, "publisher" : "Lawrence Erlbaum Associates", "publisher-place" : "Hillsdale, NJ, USA", "title" : "Statistical Power Analysis for the Behavioral Sciences", "type" : "book" }, "uris" : [ "http://www.mendeley.com/documents/?uuid=37980cc4-75d3-456d-8c39-e3f55975a0b4" ] } ], "mendeley" : { "formattedCitation" : "(38)", "plainTextFormattedCitation" : "(38)", "previouslyFormattedCitation" : "(38)" }, "properties" : { "noteIndex" : 11 }, "schema" : "https://github.com/citation-style-language/schema/raw/master/csl-citation.json" }</w:instrText>
      </w:r>
      <w:r w:rsidR="009F4D8B" w:rsidRPr="000E1C62">
        <w:rPr>
          <w:rFonts w:asciiTheme="majorBidi" w:hAnsiTheme="majorBidi" w:cstheme="majorBidi"/>
          <w:iCs/>
        </w:rPr>
        <w:fldChar w:fldCharType="separate"/>
      </w:r>
      <w:r w:rsidR="007B52A5" w:rsidRPr="000E1C62">
        <w:rPr>
          <w:rFonts w:asciiTheme="majorBidi" w:hAnsiTheme="majorBidi" w:cstheme="majorBidi"/>
          <w:iCs/>
          <w:noProof/>
        </w:rPr>
        <w:t>(38)</w:t>
      </w:r>
      <w:r w:rsidR="009F4D8B" w:rsidRPr="000E1C62">
        <w:rPr>
          <w:rFonts w:asciiTheme="majorBidi" w:hAnsiTheme="majorBidi" w:cstheme="majorBidi"/>
          <w:iCs/>
        </w:rPr>
        <w:fldChar w:fldCharType="end"/>
      </w:r>
      <w:r w:rsidR="00AD597D" w:rsidRPr="000E1C62">
        <w:rPr>
          <w:rFonts w:asciiTheme="majorBidi" w:hAnsiTheme="majorBidi" w:cstheme="majorBidi"/>
          <w:iCs/>
        </w:rPr>
        <w:t xml:space="preserve">. </w:t>
      </w:r>
      <w:r w:rsidR="001A30B9" w:rsidRPr="000E1C62">
        <w:rPr>
          <w:rFonts w:asciiTheme="majorBidi" w:hAnsiTheme="majorBidi" w:cstheme="majorBidi"/>
          <w:iCs/>
        </w:rPr>
        <w:t>Statistical significance was set a</w:t>
      </w:r>
      <w:r w:rsidR="003313B4" w:rsidRPr="000E1C62">
        <w:rPr>
          <w:rFonts w:asciiTheme="majorBidi" w:hAnsiTheme="majorBidi" w:cstheme="majorBidi"/>
          <w:iCs/>
        </w:rPr>
        <w:t>t</w:t>
      </w:r>
      <w:r w:rsidR="005B69A4" w:rsidRPr="000E1C62">
        <w:rPr>
          <w:rFonts w:asciiTheme="majorBidi" w:hAnsiTheme="majorBidi" w:cstheme="majorBidi"/>
          <w:iCs/>
        </w:rPr>
        <w:t xml:space="preserve"> </w:t>
      </w:r>
      <w:r w:rsidR="005B69A4" w:rsidRPr="000E1C62">
        <w:rPr>
          <w:rFonts w:asciiTheme="majorBidi" w:hAnsiTheme="majorBidi" w:cstheme="majorBidi"/>
          <w:i/>
          <w:iCs/>
        </w:rPr>
        <w:t>P</w:t>
      </w:r>
      <w:r w:rsidR="005B69A4" w:rsidRPr="000E1C62">
        <w:rPr>
          <w:rFonts w:asciiTheme="majorBidi" w:hAnsiTheme="majorBidi" w:cstheme="majorBidi"/>
          <w:iCs/>
        </w:rPr>
        <w:t xml:space="preserve"> &lt; 0.05</w:t>
      </w:r>
      <w:r w:rsidR="00023A70" w:rsidRPr="000E1C62">
        <w:rPr>
          <w:rFonts w:asciiTheme="majorBidi" w:hAnsiTheme="majorBidi" w:cstheme="majorBidi"/>
          <w:iCs/>
        </w:rPr>
        <w:t>; adjustment for multiple comparisons of secondary outcomes was not undertaken, therefore these findings should be viewed with caution and in relation to the overall pattern of results</w:t>
      </w:r>
      <w:r w:rsidR="005B69A4" w:rsidRPr="000E1C62">
        <w:rPr>
          <w:rFonts w:asciiTheme="majorBidi" w:hAnsiTheme="majorBidi" w:cstheme="majorBidi"/>
          <w:iCs/>
        </w:rPr>
        <w:t xml:space="preserve">. </w:t>
      </w:r>
      <w:r w:rsidR="00ED0766" w:rsidRPr="000E1C62">
        <w:rPr>
          <w:rFonts w:asciiTheme="majorBidi" w:hAnsiTheme="majorBidi" w:cstheme="majorBidi"/>
          <w:iCs/>
        </w:rPr>
        <w:t>Data are described as mean</w:t>
      </w:r>
      <w:r w:rsidR="00C44FEC" w:rsidRPr="000E1C62">
        <w:rPr>
          <w:rFonts w:asciiTheme="majorBidi" w:hAnsiTheme="majorBidi" w:cstheme="majorBidi"/>
          <w:iCs/>
        </w:rPr>
        <w:t>s</w:t>
      </w:r>
      <w:r w:rsidR="00ED0766" w:rsidRPr="000E1C62">
        <w:rPr>
          <w:rFonts w:asciiTheme="majorBidi" w:hAnsiTheme="majorBidi" w:cstheme="majorBidi"/>
          <w:iCs/>
        </w:rPr>
        <w:t xml:space="preserve"> ± SD</w:t>
      </w:r>
      <w:r w:rsidR="00C44FEC" w:rsidRPr="000E1C62">
        <w:rPr>
          <w:rFonts w:asciiTheme="majorBidi" w:hAnsiTheme="majorBidi" w:cstheme="majorBidi"/>
          <w:iCs/>
        </w:rPr>
        <w:t>,</w:t>
      </w:r>
      <w:r w:rsidR="00ED0766" w:rsidRPr="000E1C62">
        <w:rPr>
          <w:rFonts w:asciiTheme="majorBidi" w:hAnsiTheme="majorBidi" w:cstheme="majorBidi"/>
          <w:iCs/>
        </w:rPr>
        <w:t xml:space="preserve"> </w:t>
      </w:r>
      <w:r w:rsidR="00C7765F" w:rsidRPr="000E1C62">
        <w:rPr>
          <w:rFonts w:asciiTheme="majorBidi" w:hAnsiTheme="majorBidi" w:cstheme="majorBidi"/>
          <w:iCs/>
        </w:rPr>
        <w:t>unless stated otherwise.</w:t>
      </w:r>
      <w:r w:rsidR="00F6013C">
        <w:rPr>
          <w:rFonts w:asciiTheme="majorBidi" w:hAnsiTheme="majorBidi" w:cstheme="majorBidi"/>
          <w:b/>
          <w:bCs/>
        </w:rPr>
        <w:br w:type="page"/>
      </w:r>
    </w:p>
    <w:p w14:paraId="5E1C8E62" w14:textId="722AD4C3" w:rsidR="00D25988" w:rsidRDefault="00A41EAF" w:rsidP="004015D1">
      <w:pPr>
        <w:spacing w:line="480" w:lineRule="auto"/>
        <w:rPr>
          <w:rFonts w:asciiTheme="majorBidi" w:hAnsiTheme="majorBidi" w:cstheme="majorBidi"/>
          <w:b/>
          <w:bCs/>
        </w:rPr>
      </w:pPr>
      <w:r>
        <w:rPr>
          <w:rFonts w:asciiTheme="majorBidi" w:hAnsiTheme="majorBidi" w:cstheme="majorBidi"/>
          <w:b/>
          <w:bCs/>
        </w:rPr>
        <w:lastRenderedPageBreak/>
        <w:t>Results</w:t>
      </w:r>
    </w:p>
    <w:p w14:paraId="3CC1F516" w14:textId="75B1DECA" w:rsidR="0092162E" w:rsidRPr="000E1C62" w:rsidRDefault="00297208" w:rsidP="004015D1">
      <w:pPr>
        <w:spacing w:line="480" w:lineRule="auto"/>
        <w:rPr>
          <w:rFonts w:asciiTheme="majorBidi" w:hAnsiTheme="majorBidi" w:cstheme="majorBidi"/>
          <w:i/>
          <w:iCs/>
        </w:rPr>
      </w:pPr>
      <w:r w:rsidRPr="000E1C62">
        <w:rPr>
          <w:rFonts w:asciiTheme="majorBidi" w:hAnsiTheme="majorBidi" w:cstheme="majorBidi"/>
          <w:i/>
          <w:iCs/>
        </w:rPr>
        <w:t>Participant characteristics, d</w:t>
      </w:r>
      <w:r w:rsidR="0092162E" w:rsidRPr="000E1C62">
        <w:rPr>
          <w:rFonts w:asciiTheme="majorBidi" w:hAnsiTheme="majorBidi" w:cstheme="majorBidi"/>
          <w:i/>
          <w:iCs/>
        </w:rPr>
        <w:t>ietary intake and physical activity</w:t>
      </w:r>
    </w:p>
    <w:p w14:paraId="0B1990CB" w14:textId="753C3C68" w:rsidR="00740D2A" w:rsidRDefault="007C5533" w:rsidP="007275DD">
      <w:pPr>
        <w:spacing w:line="480" w:lineRule="auto"/>
        <w:jc w:val="both"/>
        <w:rPr>
          <w:rFonts w:asciiTheme="majorBidi" w:hAnsiTheme="majorBidi" w:cstheme="majorBidi"/>
          <w:iCs/>
        </w:rPr>
      </w:pPr>
      <w:r w:rsidRPr="000E1C62">
        <w:rPr>
          <w:rFonts w:asciiTheme="majorBidi" w:hAnsiTheme="majorBidi" w:cstheme="majorBidi"/>
        </w:rPr>
        <w:t xml:space="preserve">Participant characteristics were ascertained during the pre-assessment visit. </w:t>
      </w:r>
      <w:r w:rsidR="00F36986" w:rsidRPr="000E1C62">
        <w:rPr>
          <w:rFonts w:asciiTheme="majorBidi" w:hAnsiTheme="majorBidi" w:cstheme="majorBidi"/>
        </w:rPr>
        <w:t xml:space="preserve">Participants were aged 24.3 ± </w:t>
      </w:r>
      <w:r w:rsidR="000C5954" w:rsidRPr="000E1C62">
        <w:rPr>
          <w:rFonts w:asciiTheme="majorBidi" w:hAnsiTheme="majorBidi" w:cstheme="majorBidi"/>
        </w:rPr>
        <w:t>4.2 years, had a BMI of 24.1</w:t>
      </w:r>
      <w:r w:rsidR="00445AE9" w:rsidRPr="000E1C62">
        <w:rPr>
          <w:rFonts w:asciiTheme="majorBidi" w:hAnsiTheme="majorBidi" w:cstheme="majorBidi"/>
        </w:rPr>
        <w:t xml:space="preserve"> ± 1.5 kg∙m</w:t>
      </w:r>
      <w:r w:rsidR="00445AE9" w:rsidRPr="000E1C62">
        <w:rPr>
          <w:rFonts w:asciiTheme="majorBidi" w:hAnsiTheme="majorBidi" w:cstheme="majorBidi"/>
          <w:vertAlign w:val="superscript"/>
        </w:rPr>
        <w:t>-2</w:t>
      </w:r>
      <w:r w:rsidR="00445AE9" w:rsidRPr="000E1C62">
        <w:rPr>
          <w:rFonts w:asciiTheme="majorBidi" w:hAnsiTheme="majorBidi" w:cstheme="majorBidi"/>
        </w:rPr>
        <w:t xml:space="preserve"> </w:t>
      </w:r>
      <w:r w:rsidR="00F24056" w:rsidRPr="000E1C62">
        <w:rPr>
          <w:rFonts w:asciiTheme="majorBidi" w:hAnsiTheme="majorBidi" w:cstheme="majorBidi"/>
        </w:rPr>
        <w:t xml:space="preserve">and a waist circumference of 79.1 ± 3.3 cm. </w:t>
      </w:r>
      <w:r w:rsidR="008E4135" w:rsidRPr="000E1C62">
        <w:rPr>
          <w:rFonts w:asciiTheme="majorBidi" w:hAnsiTheme="majorBidi" w:cstheme="majorBidi"/>
        </w:rPr>
        <w:t>The participants’ estimated energy requirement was calculated as 13</w:t>
      </w:r>
      <w:r w:rsidR="00DC5758" w:rsidRPr="000E1C62">
        <w:rPr>
          <w:rFonts w:asciiTheme="majorBidi" w:hAnsiTheme="majorBidi" w:cstheme="majorBidi"/>
        </w:rPr>
        <w:t>.8</w:t>
      </w:r>
      <w:r w:rsidR="008E4135" w:rsidRPr="000E1C62">
        <w:rPr>
          <w:rFonts w:asciiTheme="majorBidi" w:hAnsiTheme="majorBidi" w:cstheme="majorBidi"/>
        </w:rPr>
        <w:t xml:space="preserve"> ± </w:t>
      </w:r>
      <w:r w:rsidR="00DC5758" w:rsidRPr="000E1C62">
        <w:rPr>
          <w:rFonts w:asciiTheme="majorBidi" w:hAnsiTheme="majorBidi" w:cstheme="majorBidi"/>
        </w:rPr>
        <w:t>0.</w:t>
      </w:r>
      <w:r w:rsidR="008E4135" w:rsidRPr="000E1C62">
        <w:rPr>
          <w:rFonts w:asciiTheme="majorBidi" w:hAnsiTheme="majorBidi" w:cstheme="majorBidi"/>
        </w:rPr>
        <w:t xml:space="preserve">5 </w:t>
      </w:r>
      <w:r w:rsidR="00FA0981" w:rsidRPr="000E1C62">
        <w:rPr>
          <w:rFonts w:asciiTheme="majorBidi" w:hAnsiTheme="majorBidi" w:cstheme="majorBidi"/>
        </w:rPr>
        <w:t>M</w:t>
      </w:r>
      <w:r w:rsidR="008E4135" w:rsidRPr="000E1C62">
        <w:rPr>
          <w:rFonts w:asciiTheme="majorBidi" w:hAnsiTheme="majorBidi" w:cstheme="majorBidi"/>
        </w:rPr>
        <w:t>J∙</w:t>
      </w:r>
      <w:r w:rsidR="008E4135" w:rsidRPr="000E1C62">
        <w:rPr>
          <w:rFonts w:ascii="Times New Roman" w:hAnsi="Times New Roman" w:cs="Times New Roman"/>
        </w:rPr>
        <w:t>d</w:t>
      </w:r>
      <w:r w:rsidR="008E4135" w:rsidRPr="000E1C62">
        <w:rPr>
          <w:rFonts w:ascii="Times New Roman" w:hAnsi="Times New Roman" w:cs="Times New Roman"/>
          <w:vertAlign w:val="superscript"/>
        </w:rPr>
        <w:t>-1</w:t>
      </w:r>
      <w:r w:rsidR="008E4135" w:rsidRPr="000E1C62">
        <w:rPr>
          <w:rFonts w:ascii="Times New Roman" w:hAnsi="Times New Roman" w:cs="Times New Roman"/>
        </w:rPr>
        <w:t>, therefore the target energy intake for participants during the HE-HFD was 20</w:t>
      </w:r>
      <w:r w:rsidR="00FA0981" w:rsidRPr="000E1C62">
        <w:rPr>
          <w:rFonts w:ascii="Times New Roman" w:hAnsi="Times New Roman" w:cs="Times New Roman"/>
        </w:rPr>
        <w:t>.7</w:t>
      </w:r>
      <w:r w:rsidR="008E4135" w:rsidRPr="000E1C62">
        <w:rPr>
          <w:rFonts w:ascii="Times New Roman" w:hAnsi="Times New Roman" w:cs="Times New Roman"/>
        </w:rPr>
        <w:t xml:space="preserve"> </w:t>
      </w:r>
      <w:r w:rsidR="008E4135" w:rsidRPr="000E1C62">
        <w:rPr>
          <w:rFonts w:asciiTheme="majorBidi" w:hAnsiTheme="majorBidi" w:cstheme="majorBidi"/>
        </w:rPr>
        <w:t xml:space="preserve">± </w:t>
      </w:r>
      <w:r w:rsidR="00FA0981" w:rsidRPr="000E1C62">
        <w:rPr>
          <w:rFonts w:asciiTheme="majorBidi" w:hAnsiTheme="majorBidi" w:cstheme="majorBidi"/>
        </w:rPr>
        <w:t>0.</w:t>
      </w:r>
      <w:r w:rsidR="008D6C6D" w:rsidRPr="000E1C62">
        <w:rPr>
          <w:rFonts w:asciiTheme="majorBidi" w:hAnsiTheme="majorBidi" w:cstheme="majorBidi"/>
        </w:rPr>
        <w:t>8</w:t>
      </w:r>
      <w:r w:rsidR="008E4135" w:rsidRPr="000E1C62">
        <w:rPr>
          <w:rFonts w:asciiTheme="majorBidi" w:hAnsiTheme="majorBidi" w:cstheme="majorBidi"/>
        </w:rPr>
        <w:t xml:space="preserve"> </w:t>
      </w:r>
      <w:r w:rsidR="00FA0981" w:rsidRPr="000E1C62">
        <w:rPr>
          <w:rFonts w:asciiTheme="majorBidi" w:hAnsiTheme="majorBidi" w:cstheme="majorBidi"/>
        </w:rPr>
        <w:t>M</w:t>
      </w:r>
      <w:r w:rsidR="008E4135" w:rsidRPr="000E1C62">
        <w:rPr>
          <w:rFonts w:asciiTheme="majorBidi" w:hAnsiTheme="majorBidi" w:cstheme="majorBidi"/>
        </w:rPr>
        <w:t>J∙</w:t>
      </w:r>
      <w:r w:rsidR="008E4135" w:rsidRPr="000E1C62">
        <w:rPr>
          <w:rFonts w:ascii="Times New Roman" w:hAnsi="Times New Roman" w:cs="Times New Roman"/>
        </w:rPr>
        <w:t>d</w:t>
      </w:r>
      <w:r w:rsidR="008E4135" w:rsidRPr="000E1C62">
        <w:rPr>
          <w:rFonts w:ascii="Times New Roman" w:hAnsi="Times New Roman" w:cs="Times New Roman"/>
          <w:vertAlign w:val="superscript"/>
        </w:rPr>
        <w:t>-1</w:t>
      </w:r>
      <w:r w:rsidR="008E4135" w:rsidRPr="000E1C62">
        <w:rPr>
          <w:rFonts w:ascii="Times New Roman" w:hAnsi="Times New Roman" w:cs="Times New Roman"/>
        </w:rPr>
        <w:t xml:space="preserve">. </w:t>
      </w:r>
      <w:r w:rsidR="00041436" w:rsidRPr="000E1C62">
        <w:rPr>
          <w:rFonts w:asciiTheme="majorBidi" w:hAnsiTheme="majorBidi" w:cstheme="majorBidi"/>
          <w:iCs/>
        </w:rPr>
        <w:t xml:space="preserve">Table </w:t>
      </w:r>
      <w:r w:rsidR="005409E2" w:rsidRPr="000E1C62">
        <w:rPr>
          <w:rFonts w:asciiTheme="majorBidi" w:hAnsiTheme="majorBidi" w:cstheme="majorBidi"/>
          <w:iCs/>
        </w:rPr>
        <w:t>1</w:t>
      </w:r>
      <w:r w:rsidR="00041436" w:rsidRPr="000E1C62">
        <w:rPr>
          <w:rFonts w:asciiTheme="majorBidi" w:hAnsiTheme="majorBidi" w:cstheme="majorBidi"/>
          <w:iCs/>
        </w:rPr>
        <w:t xml:space="preserve"> </w:t>
      </w:r>
      <w:r w:rsidR="00B20B32" w:rsidRPr="000E1C62">
        <w:rPr>
          <w:rFonts w:asciiTheme="majorBidi" w:hAnsiTheme="majorBidi" w:cstheme="majorBidi"/>
          <w:iCs/>
        </w:rPr>
        <w:t>shows</w:t>
      </w:r>
      <w:r w:rsidR="00051674" w:rsidRPr="000E1C62">
        <w:rPr>
          <w:rFonts w:asciiTheme="majorBidi" w:hAnsiTheme="majorBidi" w:cstheme="majorBidi"/>
          <w:iCs/>
        </w:rPr>
        <w:t xml:space="preserve"> </w:t>
      </w:r>
      <w:r w:rsidR="005B1861" w:rsidRPr="000E1C62">
        <w:rPr>
          <w:rFonts w:asciiTheme="majorBidi" w:hAnsiTheme="majorBidi" w:cstheme="majorBidi"/>
          <w:iCs/>
        </w:rPr>
        <w:t xml:space="preserve">participants’ </w:t>
      </w:r>
      <w:r w:rsidR="00051674" w:rsidRPr="000E1C62">
        <w:rPr>
          <w:rFonts w:asciiTheme="majorBidi" w:hAnsiTheme="majorBidi" w:cstheme="majorBidi"/>
          <w:iCs/>
        </w:rPr>
        <w:t>dietary intake and composition during the baseline</w:t>
      </w:r>
      <w:r w:rsidR="00051674">
        <w:rPr>
          <w:rFonts w:asciiTheme="majorBidi" w:hAnsiTheme="majorBidi" w:cstheme="majorBidi"/>
          <w:iCs/>
        </w:rPr>
        <w:t xml:space="preserve"> assessment and </w:t>
      </w:r>
      <w:r w:rsidR="006E0789">
        <w:rPr>
          <w:rFonts w:asciiTheme="majorBidi" w:hAnsiTheme="majorBidi" w:cstheme="majorBidi"/>
          <w:iCs/>
        </w:rPr>
        <w:t>study</w:t>
      </w:r>
      <w:r w:rsidR="00641702">
        <w:rPr>
          <w:rFonts w:asciiTheme="majorBidi" w:hAnsiTheme="majorBidi" w:cstheme="majorBidi"/>
          <w:iCs/>
        </w:rPr>
        <w:t xml:space="preserve"> interventions</w:t>
      </w:r>
      <w:r w:rsidR="004C0779">
        <w:rPr>
          <w:rFonts w:asciiTheme="majorBidi" w:hAnsiTheme="majorBidi" w:cstheme="majorBidi"/>
          <w:iCs/>
        </w:rPr>
        <w:t xml:space="preserve">. </w:t>
      </w:r>
      <w:r w:rsidR="00133562">
        <w:rPr>
          <w:rFonts w:asciiTheme="majorBidi" w:hAnsiTheme="majorBidi" w:cstheme="majorBidi"/>
          <w:iCs/>
        </w:rPr>
        <w:t xml:space="preserve">No differences were apparent in participants’ dietary intake at baseline </w:t>
      </w:r>
      <w:r w:rsidR="0092260F">
        <w:rPr>
          <w:rFonts w:asciiTheme="majorBidi" w:hAnsiTheme="majorBidi" w:cstheme="majorBidi"/>
          <w:iCs/>
        </w:rPr>
        <w:t>v</w:t>
      </w:r>
      <w:r w:rsidR="000A2238">
        <w:rPr>
          <w:rFonts w:asciiTheme="majorBidi" w:hAnsiTheme="majorBidi" w:cstheme="majorBidi"/>
          <w:iCs/>
        </w:rPr>
        <w:t>ersus</w:t>
      </w:r>
      <w:r w:rsidR="00133562">
        <w:rPr>
          <w:rFonts w:asciiTheme="majorBidi" w:hAnsiTheme="majorBidi" w:cstheme="majorBidi"/>
          <w:iCs/>
        </w:rPr>
        <w:t xml:space="preserve"> the control diet</w:t>
      </w:r>
      <w:r w:rsidR="00DC7404">
        <w:rPr>
          <w:rFonts w:asciiTheme="majorBidi" w:hAnsiTheme="majorBidi" w:cstheme="majorBidi"/>
          <w:iCs/>
        </w:rPr>
        <w:t xml:space="preserve"> (all </w:t>
      </w:r>
      <w:r w:rsidR="00DC7404">
        <w:rPr>
          <w:rFonts w:asciiTheme="majorBidi" w:hAnsiTheme="majorBidi" w:cstheme="majorBidi"/>
          <w:i/>
          <w:iCs/>
        </w:rPr>
        <w:t>P</w:t>
      </w:r>
      <w:r w:rsidR="00DC7404">
        <w:rPr>
          <w:rFonts w:asciiTheme="majorBidi" w:hAnsiTheme="majorBidi" w:cstheme="majorBidi"/>
          <w:iCs/>
        </w:rPr>
        <w:t xml:space="preserve"> ≥ 0.49)</w:t>
      </w:r>
      <w:r w:rsidR="00133562">
        <w:rPr>
          <w:rFonts w:asciiTheme="majorBidi" w:hAnsiTheme="majorBidi" w:cstheme="majorBidi"/>
          <w:iCs/>
        </w:rPr>
        <w:t xml:space="preserve">. </w:t>
      </w:r>
      <w:r w:rsidR="00B02554">
        <w:rPr>
          <w:rFonts w:asciiTheme="majorBidi" w:hAnsiTheme="majorBidi" w:cstheme="majorBidi"/>
          <w:iCs/>
        </w:rPr>
        <w:t xml:space="preserve">Conversely, </w:t>
      </w:r>
      <w:r w:rsidR="00F63E7F">
        <w:rPr>
          <w:rFonts w:asciiTheme="majorBidi" w:hAnsiTheme="majorBidi" w:cstheme="majorBidi"/>
          <w:iCs/>
        </w:rPr>
        <w:t xml:space="preserve">as intended, </w:t>
      </w:r>
      <w:r w:rsidR="00ED504E">
        <w:rPr>
          <w:rFonts w:asciiTheme="majorBidi" w:hAnsiTheme="majorBidi" w:cstheme="majorBidi"/>
          <w:iCs/>
        </w:rPr>
        <w:t xml:space="preserve">energy intake was greater during the HE-HFD compared </w:t>
      </w:r>
      <w:r w:rsidR="00A54B87">
        <w:rPr>
          <w:rFonts w:asciiTheme="majorBidi" w:hAnsiTheme="majorBidi" w:cstheme="majorBidi"/>
          <w:iCs/>
        </w:rPr>
        <w:t>with</w:t>
      </w:r>
      <w:r w:rsidR="00ED504E">
        <w:rPr>
          <w:rFonts w:asciiTheme="majorBidi" w:hAnsiTheme="majorBidi" w:cstheme="majorBidi"/>
          <w:iCs/>
        </w:rPr>
        <w:t xml:space="preserve"> baseline and control (both </w:t>
      </w:r>
      <w:r w:rsidR="00ED504E">
        <w:rPr>
          <w:rFonts w:asciiTheme="majorBidi" w:hAnsiTheme="majorBidi" w:cstheme="majorBidi"/>
          <w:i/>
          <w:iCs/>
        </w:rPr>
        <w:t>P</w:t>
      </w:r>
      <w:r w:rsidR="00ED504E">
        <w:rPr>
          <w:rFonts w:asciiTheme="majorBidi" w:hAnsiTheme="majorBidi" w:cstheme="majorBidi"/>
          <w:iCs/>
        </w:rPr>
        <w:t xml:space="preserve"> &lt; 0.001</w:t>
      </w:r>
      <w:r w:rsidR="006A6CBA">
        <w:rPr>
          <w:rFonts w:asciiTheme="majorBidi" w:hAnsiTheme="majorBidi" w:cstheme="majorBidi"/>
          <w:iCs/>
        </w:rPr>
        <w:t xml:space="preserve">). Furthermore, both the absolute fat intake and relative fat percentage were higher during the HE-HFD compared with baseline and control (all </w:t>
      </w:r>
      <w:r w:rsidR="006A6CBA">
        <w:rPr>
          <w:rFonts w:asciiTheme="majorBidi" w:hAnsiTheme="majorBidi" w:cstheme="majorBidi"/>
          <w:i/>
          <w:iCs/>
        </w:rPr>
        <w:t>P</w:t>
      </w:r>
      <w:r w:rsidR="006A6CBA">
        <w:rPr>
          <w:rFonts w:asciiTheme="majorBidi" w:hAnsiTheme="majorBidi" w:cstheme="majorBidi"/>
          <w:iCs/>
        </w:rPr>
        <w:t xml:space="preserve"> &lt; 0.001). </w:t>
      </w:r>
      <w:r w:rsidR="00740D2A">
        <w:rPr>
          <w:rFonts w:asciiTheme="majorBidi" w:hAnsiTheme="majorBidi" w:cstheme="majorBidi"/>
          <w:iCs/>
        </w:rPr>
        <w:t>In contrast</w:t>
      </w:r>
      <w:r w:rsidR="008C3D58">
        <w:rPr>
          <w:rFonts w:asciiTheme="majorBidi" w:hAnsiTheme="majorBidi" w:cstheme="majorBidi"/>
          <w:iCs/>
        </w:rPr>
        <w:t>, the percentage of energy derived from carbohydrate and protein was reduced during the HE-HFD (</w:t>
      </w:r>
      <w:r w:rsidR="00A70C0A">
        <w:rPr>
          <w:rFonts w:asciiTheme="majorBidi" w:hAnsiTheme="majorBidi" w:cstheme="majorBidi"/>
          <w:iCs/>
        </w:rPr>
        <w:t xml:space="preserve">all </w:t>
      </w:r>
      <w:r w:rsidR="00A70C0A">
        <w:rPr>
          <w:rFonts w:asciiTheme="majorBidi" w:hAnsiTheme="majorBidi" w:cstheme="majorBidi"/>
          <w:i/>
          <w:iCs/>
        </w:rPr>
        <w:t>P</w:t>
      </w:r>
      <w:r w:rsidR="00A70C0A">
        <w:rPr>
          <w:rFonts w:asciiTheme="majorBidi" w:hAnsiTheme="majorBidi" w:cstheme="majorBidi"/>
          <w:iCs/>
        </w:rPr>
        <w:t xml:space="preserve"> ≤ 0.001</w:t>
      </w:r>
      <w:r w:rsidR="008C3D58">
        <w:rPr>
          <w:rFonts w:asciiTheme="majorBidi" w:hAnsiTheme="majorBidi" w:cstheme="majorBidi"/>
          <w:iCs/>
        </w:rPr>
        <w:t xml:space="preserve">); </w:t>
      </w:r>
      <w:r w:rsidR="00A53FAE">
        <w:rPr>
          <w:rFonts w:asciiTheme="majorBidi" w:hAnsiTheme="majorBidi" w:cstheme="majorBidi"/>
          <w:iCs/>
        </w:rPr>
        <w:t>however,</w:t>
      </w:r>
      <w:r w:rsidR="008C3D58">
        <w:rPr>
          <w:rFonts w:asciiTheme="majorBidi" w:hAnsiTheme="majorBidi" w:cstheme="majorBidi"/>
          <w:iCs/>
        </w:rPr>
        <w:t xml:space="preserve"> the absolute amount of protein was elevated (</w:t>
      </w:r>
      <w:r w:rsidR="00A53FAE">
        <w:rPr>
          <w:rFonts w:asciiTheme="majorBidi" w:hAnsiTheme="majorBidi" w:cstheme="majorBidi"/>
          <w:iCs/>
        </w:rPr>
        <w:t xml:space="preserve">both </w:t>
      </w:r>
      <w:r w:rsidR="00A53FAE">
        <w:rPr>
          <w:rFonts w:asciiTheme="majorBidi" w:hAnsiTheme="majorBidi" w:cstheme="majorBidi"/>
          <w:i/>
          <w:iCs/>
        </w:rPr>
        <w:t>P</w:t>
      </w:r>
      <w:r w:rsidR="00A53FAE">
        <w:rPr>
          <w:rFonts w:asciiTheme="majorBidi" w:hAnsiTheme="majorBidi" w:cstheme="majorBidi"/>
          <w:iCs/>
        </w:rPr>
        <w:t xml:space="preserve"> ≤ 0.003</w:t>
      </w:r>
      <w:r w:rsidR="008C3D58">
        <w:rPr>
          <w:rFonts w:asciiTheme="majorBidi" w:hAnsiTheme="majorBidi" w:cstheme="majorBidi"/>
          <w:iCs/>
        </w:rPr>
        <w:t>).</w:t>
      </w:r>
    </w:p>
    <w:p w14:paraId="097C9EBE" w14:textId="40854012" w:rsidR="005A1BAF" w:rsidRDefault="009E2D0D" w:rsidP="007275DD">
      <w:pPr>
        <w:spacing w:line="480" w:lineRule="auto"/>
        <w:jc w:val="both"/>
        <w:rPr>
          <w:rFonts w:asciiTheme="majorBidi" w:hAnsiTheme="majorBidi" w:cstheme="majorBidi"/>
          <w:iCs/>
        </w:rPr>
      </w:pPr>
      <w:r>
        <w:rPr>
          <w:rFonts w:asciiTheme="majorBidi" w:hAnsiTheme="majorBidi" w:cstheme="majorBidi"/>
          <w:iCs/>
        </w:rPr>
        <w:t xml:space="preserve">As intended, no </w:t>
      </w:r>
      <w:r w:rsidR="00FB5391">
        <w:rPr>
          <w:rFonts w:asciiTheme="majorBidi" w:hAnsiTheme="majorBidi" w:cstheme="majorBidi"/>
          <w:iCs/>
        </w:rPr>
        <w:t xml:space="preserve">differences were apparent in any aspect of sedentary </w:t>
      </w:r>
      <w:r w:rsidR="00601136">
        <w:rPr>
          <w:rFonts w:asciiTheme="majorBidi" w:hAnsiTheme="majorBidi" w:cstheme="majorBidi"/>
          <w:iCs/>
        </w:rPr>
        <w:t>time</w:t>
      </w:r>
      <w:r w:rsidR="00FB5391">
        <w:rPr>
          <w:rFonts w:asciiTheme="majorBidi" w:hAnsiTheme="majorBidi" w:cstheme="majorBidi"/>
          <w:iCs/>
        </w:rPr>
        <w:t xml:space="preserve"> or physical activity </w:t>
      </w:r>
      <w:r w:rsidR="00AA4A10">
        <w:rPr>
          <w:rFonts w:asciiTheme="majorBidi" w:hAnsiTheme="majorBidi" w:cstheme="majorBidi"/>
          <w:iCs/>
        </w:rPr>
        <w:t xml:space="preserve">when </w:t>
      </w:r>
      <w:r w:rsidR="00740D2A">
        <w:rPr>
          <w:rFonts w:asciiTheme="majorBidi" w:hAnsiTheme="majorBidi" w:cstheme="majorBidi"/>
          <w:iCs/>
        </w:rPr>
        <w:t xml:space="preserve">measured at baseline or during the dietary interventions (all </w:t>
      </w:r>
      <w:r w:rsidR="00740D2A">
        <w:rPr>
          <w:rFonts w:asciiTheme="majorBidi" w:hAnsiTheme="majorBidi" w:cstheme="majorBidi"/>
          <w:i/>
          <w:iCs/>
        </w:rPr>
        <w:t xml:space="preserve">P </w:t>
      </w:r>
      <w:r w:rsidR="00740D2A">
        <w:rPr>
          <w:rFonts w:asciiTheme="majorBidi" w:hAnsiTheme="majorBidi" w:cstheme="majorBidi"/>
          <w:iCs/>
        </w:rPr>
        <w:t>≥ 0.64; Supplementa</w:t>
      </w:r>
      <w:r w:rsidR="00A7461E">
        <w:rPr>
          <w:rFonts w:asciiTheme="majorBidi" w:hAnsiTheme="majorBidi" w:cstheme="majorBidi"/>
          <w:iCs/>
        </w:rPr>
        <w:t>l</w:t>
      </w:r>
      <w:r w:rsidR="00740D2A">
        <w:rPr>
          <w:rFonts w:asciiTheme="majorBidi" w:hAnsiTheme="majorBidi" w:cstheme="majorBidi"/>
          <w:iCs/>
        </w:rPr>
        <w:t xml:space="preserve"> Table </w:t>
      </w:r>
      <w:r w:rsidR="00B513B5">
        <w:rPr>
          <w:rFonts w:asciiTheme="majorBidi" w:hAnsiTheme="majorBidi" w:cstheme="majorBidi"/>
          <w:iCs/>
        </w:rPr>
        <w:t>1</w:t>
      </w:r>
      <w:r w:rsidR="00740D2A">
        <w:rPr>
          <w:rFonts w:asciiTheme="majorBidi" w:hAnsiTheme="majorBidi" w:cstheme="majorBidi"/>
          <w:iCs/>
        </w:rPr>
        <w:t>).</w:t>
      </w:r>
    </w:p>
    <w:p w14:paraId="41AC21B1" w14:textId="77777777" w:rsidR="008E4135" w:rsidRDefault="008E4135" w:rsidP="007275DD">
      <w:pPr>
        <w:spacing w:line="480" w:lineRule="auto"/>
        <w:jc w:val="center"/>
        <w:rPr>
          <w:rFonts w:asciiTheme="majorBidi" w:hAnsiTheme="majorBidi" w:cstheme="majorBidi"/>
          <w:b/>
          <w:i/>
          <w:iCs/>
        </w:rPr>
      </w:pPr>
    </w:p>
    <w:p w14:paraId="3F3EDF0F" w14:textId="40C43182" w:rsidR="005A1BAF" w:rsidRPr="005A1BAF" w:rsidRDefault="005A1BAF" w:rsidP="007275DD">
      <w:pPr>
        <w:spacing w:line="480" w:lineRule="auto"/>
        <w:jc w:val="center"/>
        <w:rPr>
          <w:rFonts w:asciiTheme="majorBidi" w:hAnsiTheme="majorBidi" w:cstheme="majorBidi"/>
          <w:b/>
          <w:i/>
          <w:iCs/>
        </w:rPr>
      </w:pPr>
      <w:r>
        <w:rPr>
          <w:rFonts w:asciiTheme="majorBidi" w:hAnsiTheme="majorBidi" w:cstheme="majorBidi"/>
          <w:b/>
          <w:i/>
          <w:iCs/>
        </w:rPr>
        <w:t xml:space="preserve">Insert table </w:t>
      </w:r>
      <w:r w:rsidR="00B513B5">
        <w:rPr>
          <w:rFonts w:asciiTheme="majorBidi" w:hAnsiTheme="majorBidi" w:cstheme="majorBidi"/>
          <w:b/>
          <w:i/>
          <w:iCs/>
        </w:rPr>
        <w:t>1</w:t>
      </w:r>
    </w:p>
    <w:p w14:paraId="4F38BB97" w14:textId="77777777" w:rsidR="005A1BAF" w:rsidRPr="00EC30D3" w:rsidRDefault="005A1BAF" w:rsidP="007275DD">
      <w:pPr>
        <w:spacing w:line="480" w:lineRule="auto"/>
        <w:jc w:val="both"/>
        <w:rPr>
          <w:rFonts w:asciiTheme="majorBidi" w:hAnsiTheme="majorBidi" w:cstheme="majorBidi"/>
          <w:iCs/>
        </w:rPr>
      </w:pPr>
    </w:p>
    <w:p w14:paraId="3EA20003" w14:textId="483BD9F3" w:rsidR="00C83FBE" w:rsidRDefault="00032C4F" w:rsidP="007275DD">
      <w:pPr>
        <w:spacing w:line="480" w:lineRule="auto"/>
        <w:jc w:val="both"/>
        <w:rPr>
          <w:rFonts w:asciiTheme="majorBidi" w:hAnsiTheme="majorBidi" w:cstheme="majorBidi"/>
          <w:i/>
          <w:iCs/>
        </w:rPr>
      </w:pPr>
      <w:r>
        <w:rPr>
          <w:rFonts w:asciiTheme="majorBidi" w:hAnsiTheme="majorBidi" w:cstheme="majorBidi"/>
          <w:i/>
          <w:iCs/>
        </w:rPr>
        <w:t xml:space="preserve">Anthropometry, </w:t>
      </w:r>
      <w:r w:rsidR="005F12D8">
        <w:rPr>
          <w:rFonts w:asciiTheme="majorBidi" w:hAnsiTheme="majorBidi" w:cstheme="majorBidi"/>
          <w:i/>
          <w:iCs/>
        </w:rPr>
        <w:t>metabolic rate and substrate oxidation</w:t>
      </w:r>
    </w:p>
    <w:p w14:paraId="435C7559" w14:textId="6F519578" w:rsidR="00FD0AFE" w:rsidRDefault="00FD0AFE" w:rsidP="007275DD">
      <w:pPr>
        <w:spacing w:line="480" w:lineRule="auto"/>
        <w:jc w:val="both"/>
        <w:rPr>
          <w:rFonts w:asciiTheme="majorBidi" w:hAnsiTheme="majorBidi" w:cstheme="majorBidi"/>
          <w:iCs/>
        </w:rPr>
      </w:pPr>
      <w:r>
        <w:rPr>
          <w:rFonts w:asciiTheme="majorBidi" w:hAnsiTheme="majorBidi" w:cstheme="majorBidi"/>
          <w:iCs/>
        </w:rPr>
        <w:lastRenderedPageBreak/>
        <w:t>C</w:t>
      </w:r>
      <w:r w:rsidR="004015D1">
        <w:rPr>
          <w:rFonts w:asciiTheme="majorBidi" w:hAnsiTheme="majorBidi" w:cstheme="majorBidi"/>
          <w:iCs/>
        </w:rPr>
        <w:t xml:space="preserve">hanges in anthropometry, </w:t>
      </w:r>
      <w:r w:rsidR="003F39B6">
        <w:rPr>
          <w:rFonts w:asciiTheme="majorBidi" w:hAnsiTheme="majorBidi" w:cstheme="majorBidi"/>
          <w:iCs/>
        </w:rPr>
        <w:t xml:space="preserve">RMR </w:t>
      </w:r>
      <w:r w:rsidR="00987AA8">
        <w:rPr>
          <w:rFonts w:asciiTheme="majorBidi" w:hAnsiTheme="majorBidi" w:cstheme="majorBidi"/>
          <w:iCs/>
        </w:rPr>
        <w:t xml:space="preserve">and substrate oxidation in response to the </w:t>
      </w:r>
      <w:r w:rsidR="00872839">
        <w:rPr>
          <w:rFonts w:asciiTheme="majorBidi" w:hAnsiTheme="majorBidi" w:cstheme="majorBidi"/>
          <w:iCs/>
        </w:rPr>
        <w:t xml:space="preserve">control and </w:t>
      </w:r>
      <w:r w:rsidR="00A57EFA">
        <w:rPr>
          <w:rFonts w:asciiTheme="majorBidi" w:hAnsiTheme="majorBidi" w:cstheme="majorBidi"/>
          <w:iCs/>
        </w:rPr>
        <w:t>HE-HFD</w:t>
      </w:r>
      <w:r w:rsidR="00872839">
        <w:rPr>
          <w:rFonts w:asciiTheme="majorBidi" w:hAnsiTheme="majorBidi" w:cstheme="majorBidi"/>
          <w:iCs/>
        </w:rPr>
        <w:t xml:space="preserve"> </w:t>
      </w:r>
      <w:r w:rsidR="00475BBC">
        <w:rPr>
          <w:rFonts w:asciiTheme="majorBidi" w:hAnsiTheme="majorBidi" w:cstheme="majorBidi"/>
          <w:iCs/>
        </w:rPr>
        <w:t xml:space="preserve">can be seen in Table </w:t>
      </w:r>
      <w:r w:rsidR="00DB4CAA">
        <w:rPr>
          <w:rFonts w:asciiTheme="majorBidi" w:hAnsiTheme="majorBidi" w:cstheme="majorBidi"/>
          <w:iCs/>
        </w:rPr>
        <w:t>2</w:t>
      </w:r>
      <w:r w:rsidR="00475BBC">
        <w:rPr>
          <w:rFonts w:asciiTheme="majorBidi" w:hAnsiTheme="majorBidi" w:cstheme="majorBidi"/>
          <w:iCs/>
        </w:rPr>
        <w:t xml:space="preserve">. </w:t>
      </w:r>
      <w:r w:rsidR="00A778D6" w:rsidRPr="000E1C62">
        <w:rPr>
          <w:rFonts w:asciiTheme="majorBidi" w:hAnsiTheme="majorBidi" w:cstheme="majorBidi"/>
          <w:iCs/>
        </w:rPr>
        <w:t>No</w:t>
      </w:r>
      <w:r w:rsidR="00160213" w:rsidRPr="000E1C62">
        <w:rPr>
          <w:rFonts w:asciiTheme="majorBidi" w:hAnsiTheme="majorBidi" w:cstheme="majorBidi"/>
          <w:iCs/>
        </w:rPr>
        <w:t xml:space="preserve"> </w:t>
      </w:r>
      <w:r w:rsidR="003D4ACB" w:rsidRPr="000E1C62">
        <w:rPr>
          <w:rFonts w:asciiTheme="majorBidi" w:hAnsiTheme="majorBidi" w:cstheme="majorBidi"/>
          <w:iCs/>
        </w:rPr>
        <w:t xml:space="preserve">pre-diet </w:t>
      </w:r>
      <w:r w:rsidR="0068195D" w:rsidRPr="000E1C62">
        <w:rPr>
          <w:rFonts w:asciiTheme="majorBidi" w:hAnsiTheme="majorBidi" w:cstheme="majorBidi"/>
          <w:iCs/>
        </w:rPr>
        <w:t xml:space="preserve">differences </w:t>
      </w:r>
      <w:r w:rsidR="00975DF4" w:rsidRPr="000E1C62">
        <w:rPr>
          <w:rFonts w:asciiTheme="majorBidi" w:hAnsiTheme="majorBidi" w:cstheme="majorBidi"/>
          <w:iCs/>
        </w:rPr>
        <w:t xml:space="preserve">were observed for any variable </w:t>
      </w:r>
      <w:r w:rsidR="00F45E34" w:rsidRPr="000E1C62">
        <w:rPr>
          <w:rFonts w:asciiTheme="majorBidi" w:hAnsiTheme="majorBidi" w:cstheme="majorBidi"/>
          <w:iCs/>
        </w:rPr>
        <w:t>prior to</w:t>
      </w:r>
      <w:r w:rsidR="005E6675" w:rsidRPr="000E1C62">
        <w:rPr>
          <w:rFonts w:asciiTheme="majorBidi" w:hAnsiTheme="majorBidi" w:cstheme="majorBidi"/>
          <w:iCs/>
        </w:rPr>
        <w:t xml:space="preserve"> the </w:t>
      </w:r>
      <w:r w:rsidR="003359AE" w:rsidRPr="000E1C62">
        <w:rPr>
          <w:rFonts w:asciiTheme="majorBidi" w:hAnsiTheme="majorBidi" w:cstheme="majorBidi"/>
          <w:iCs/>
        </w:rPr>
        <w:t>control diet</w:t>
      </w:r>
      <w:r w:rsidR="005E6675" w:rsidRPr="000E1C62">
        <w:rPr>
          <w:rFonts w:asciiTheme="majorBidi" w:hAnsiTheme="majorBidi" w:cstheme="majorBidi"/>
          <w:iCs/>
        </w:rPr>
        <w:t xml:space="preserve"> and HE-HFD</w:t>
      </w:r>
      <w:r w:rsidR="007519A8" w:rsidRPr="000E1C62">
        <w:rPr>
          <w:rFonts w:asciiTheme="majorBidi" w:hAnsiTheme="majorBidi" w:cstheme="majorBidi"/>
          <w:iCs/>
        </w:rPr>
        <w:t xml:space="preserve"> (all </w:t>
      </w:r>
      <w:r w:rsidR="007519A8" w:rsidRPr="000E1C62">
        <w:rPr>
          <w:rFonts w:asciiTheme="majorBidi" w:hAnsiTheme="majorBidi" w:cstheme="majorBidi"/>
          <w:i/>
          <w:iCs/>
        </w:rPr>
        <w:t xml:space="preserve">P </w:t>
      </w:r>
      <w:r w:rsidR="007519A8" w:rsidRPr="000E1C62">
        <w:rPr>
          <w:rFonts w:asciiTheme="majorBidi" w:hAnsiTheme="majorBidi" w:cstheme="majorBidi"/>
          <w:iCs/>
        </w:rPr>
        <w:sym w:font="Symbol" w:char="F0B3"/>
      </w:r>
      <w:r w:rsidR="007519A8" w:rsidRPr="000E1C62">
        <w:rPr>
          <w:rFonts w:asciiTheme="majorBidi" w:hAnsiTheme="majorBidi" w:cstheme="majorBidi"/>
          <w:iCs/>
        </w:rPr>
        <w:t xml:space="preserve"> 0.52)</w:t>
      </w:r>
      <w:r w:rsidR="00FC69E4" w:rsidRPr="000E1C62">
        <w:rPr>
          <w:rFonts w:asciiTheme="majorBidi" w:hAnsiTheme="majorBidi" w:cstheme="majorBidi"/>
          <w:iCs/>
        </w:rPr>
        <w:t xml:space="preserve">. </w:t>
      </w:r>
      <w:r w:rsidR="002D27F1" w:rsidRPr="000E1C62">
        <w:rPr>
          <w:rFonts w:asciiTheme="majorBidi" w:hAnsiTheme="majorBidi" w:cstheme="majorBidi"/>
          <w:iCs/>
        </w:rPr>
        <w:t>A</w:t>
      </w:r>
      <w:r w:rsidR="00D44EAB" w:rsidRPr="000E1C62">
        <w:rPr>
          <w:rFonts w:asciiTheme="majorBidi" w:hAnsiTheme="majorBidi" w:cstheme="majorBidi"/>
          <w:iCs/>
        </w:rPr>
        <w:t xml:space="preserve"> </w:t>
      </w:r>
      <w:r w:rsidR="009538DC" w:rsidRPr="000E1C62">
        <w:rPr>
          <w:rFonts w:asciiTheme="majorBidi" w:hAnsiTheme="majorBidi" w:cstheme="majorBidi"/>
          <w:iCs/>
        </w:rPr>
        <w:t>diet by time</w:t>
      </w:r>
      <w:r w:rsidR="00D44EAB" w:rsidRPr="000E1C62">
        <w:rPr>
          <w:rFonts w:asciiTheme="majorBidi" w:hAnsiTheme="majorBidi" w:cstheme="majorBidi"/>
          <w:iCs/>
        </w:rPr>
        <w:t xml:space="preserve"> interaction</w:t>
      </w:r>
      <w:r w:rsidR="002D27F1" w:rsidRPr="000E1C62">
        <w:rPr>
          <w:rFonts w:asciiTheme="majorBidi" w:hAnsiTheme="majorBidi" w:cstheme="majorBidi"/>
          <w:iCs/>
        </w:rPr>
        <w:t xml:space="preserve"> was observed</w:t>
      </w:r>
      <w:r w:rsidR="00D44EAB" w:rsidRPr="000E1C62">
        <w:rPr>
          <w:rFonts w:asciiTheme="majorBidi" w:hAnsiTheme="majorBidi" w:cstheme="majorBidi"/>
          <w:iCs/>
        </w:rPr>
        <w:t xml:space="preserve"> </w:t>
      </w:r>
      <w:r w:rsidR="009538DC" w:rsidRPr="000E1C62">
        <w:rPr>
          <w:rFonts w:asciiTheme="majorBidi" w:hAnsiTheme="majorBidi" w:cstheme="majorBidi"/>
          <w:iCs/>
        </w:rPr>
        <w:t xml:space="preserve">for </w:t>
      </w:r>
      <w:r w:rsidR="00AA0533" w:rsidRPr="000E1C62">
        <w:rPr>
          <w:rFonts w:asciiTheme="majorBidi" w:hAnsiTheme="majorBidi" w:cstheme="majorBidi"/>
          <w:iCs/>
        </w:rPr>
        <w:t>body mass and BMI</w:t>
      </w:r>
      <w:r w:rsidR="00E56281" w:rsidRPr="000E1C62">
        <w:rPr>
          <w:rFonts w:asciiTheme="majorBidi" w:hAnsiTheme="majorBidi" w:cstheme="majorBidi"/>
          <w:iCs/>
        </w:rPr>
        <w:t xml:space="preserve"> (</w:t>
      </w:r>
      <w:r w:rsidR="00D76111" w:rsidRPr="000E1C62">
        <w:rPr>
          <w:rFonts w:asciiTheme="majorBidi" w:hAnsiTheme="majorBidi" w:cstheme="majorBidi"/>
          <w:iCs/>
        </w:rPr>
        <w:t>both</w:t>
      </w:r>
      <w:r w:rsidR="00E56281" w:rsidRPr="000E1C62">
        <w:rPr>
          <w:rFonts w:asciiTheme="majorBidi" w:hAnsiTheme="majorBidi" w:cstheme="majorBidi"/>
          <w:iCs/>
        </w:rPr>
        <w:t xml:space="preserve"> </w:t>
      </w:r>
      <w:r w:rsidR="00823F76" w:rsidRPr="000E1C62">
        <w:rPr>
          <w:rFonts w:asciiTheme="majorBidi" w:hAnsiTheme="majorBidi" w:cstheme="majorBidi"/>
          <w:i/>
          <w:iCs/>
        </w:rPr>
        <w:t>P</w:t>
      </w:r>
      <w:r w:rsidR="00823F76" w:rsidRPr="000E1C62">
        <w:rPr>
          <w:rFonts w:asciiTheme="majorBidi" w:hAnsiTheme="majorBidi" w:cstheme="majorBidi"/>
          <w:iCs/>
        </w:rPr>
        <w:t xml:space="preserve"> </w:t>
      </w:r>
      <w:r w:rsidR="00823F76" w:rsidRPr="000E1C62">
        <w:rPr>
          <w:rFonts w:asciiTheme="majorBidi" w:hAnsiTheme="majorBidi" w:cstheme="majorBidi"/>
          <w:iCs/>
        </w:rPr>
        <w:sym w:font="Symbol" w:char="F0A3"/>
      </w:r>
      <w:r w:rsidR="00823F76" w:rsidRPr="000E1C62">
        <w:rPr>
          <w:rFonts w:asciiTheme="majorBidi" w:hAnsiTheme="majorBidi" w:cstheme="majorBidi"/>
          <w:iCs/>
        </w:rPr>
        <w:t xml:space="preserve"> 0.0</w:t>
      </w:r>
      <w:r w:rsidR="00D76111" w:rsidRPr="000E1C62">
        <w:rPr>
          <w:rFonts w:asciiTheme="majorBidi" w:hAnsiTheme="majorBidi" w:cstheme="majorBidi"/>
          <w:iCs/>
        </w:rPr>
        <w:t>09</w:t>
      </w:r>
      <w:r w:rsidR="00823F76" w:rsidRPr="000E1C62">
        <w:rPr>
          <w:rFonts w:asciiTheme="majorBidi" w:hAnsiTheme="majorBidi" w:cstheme="majorBidi"/>
          <w:iCs/>
        </w:rPr>
        <w:t>)</w:t>
      </w:r>
      <w:r w:rsidR="009410CB" w:rsidRPr="000E1C62">
        <w:rPr>
          <w:rFonts w:asciiTheme="majorBidi" w:hAnsiTheme="majorBidi" w:cstheme="majorBidi"/>
          <w:iCs/>
        </w:rPr>
        <w:t>, with</w:t>
      </w:r>
      <w:r w:rsidR="006A53ED" w:rsidRPr="000E1C62">
        <w:rPr>
          <w:rFonts w:asciiTheme="majorBidi" w:hAnsiTheme="majorBidi" w:cstheme="majorBidi"/>
          <w:iCs/>
        </w:rPr>
        <w:t xml:space="preserve"> </w:t>
      </w:r>
      <w:r w:rsidR="00D07BC4" w:rsidRPr="000E1C62">
        <w:rPr>
          <w:rFonts w:asciiTheme="majorBidi" w:hAnsiTheme="majorBidi" w:cstheme="majorBidi"/>
          <w:iCs/>
        </w:rPr>
        <w:t xml:space="preserve">a tendency </w:t>
      </w:r>
      <w:r w:rsidR="00D401E7" w:rsidRPr="000E1C62">
        <w:rPr>
          <w:rFonts w:asciiTheme="majorBidi" w:hAnsiTheme="majorBidi" w:cstheme="majorBidi"/>
          <w:iCs/>
        </w:rPr>
        <w:t xml:space="preserve">for body mass and BMI to be </w:t>
      </w:r>
      <w:r w:rsidR="00B21536" w:rsidRPr="000E1C62">
        <w:rPr>
          <w:rFonts w:asciiTheme="majorBidi" w:hAnsiTheme="majorBidi" w:cstheme="majorBidi"/>
          <w:iCs/>
        </w:rPr>
        <w:t>higher</w:t>
      </w:r>
      <w:r w:rsidR="00D401E7" w:rsidRPr="000E1C62">
        <w:rPr>
          <w:rFonts w:asciiTheme="majorBidi" w:hAnsiTheme="majorBidi" w:cstheme="majorBidi"/>
          <w:iCs/>
        </w:rPr>
        <w:t xml:space="preserve"> after</w:t>
      </w:r>
      <w:r w:rsidR="00F97911" w:rsidRPr="000E1C62">
        <w:rPr>
          <w:rFonts w:asciiTheme="majorBidi" w:hAnsiTheme="majorBidi" w:cstheme="majorBidi"/>
          <w:iCs/>
        </w:rPr>
        <w:t xml:space="preserve"> the</w:t>
      </w:r>
      <w:r w:rsidR="00D401E7" w:rsidRPr="000E1C62">
        <w:rPr>
          <w:rFonts w:asciiTheme="majorBidi" w:hAnsiTheme="majorBidi" w:cstheme="majorBidi"/>
          <w:iCs/>
        </w:rPr>
        <w:t xml:space="preserve"> HE-HFD </w:t>
      </w:r>
      <w:r w:rsidR="00BB3197" w:rsidRPr="000E1C62">
        <w:rPr>
          <w:rFonts w:asciiTheme="majorBidi" w:hAnsiTheme="majorBidi" w:cstheme="majorBidi"/>
          <w:iCs/>
        </w:rPr>
        <w:t>compared to</w:t>
      </w:r>
      <w:r w:rsidR="003359AE" w:rsidRPr="000E1C62">
        <w:rPr>
          <w:rFonts w:asciiTheme="majorBidi" w:hAnsiTheme="majorBidi" w:cstheme="majorBidi"/>
          <w:iCs/>
        </w:rPr>
        <w:t xml:space="preserve"> control</w:t>
      </w:r>
      <w:r w:rsidR="00B60566" w:rsidRPr="000E1C62">
        <w:rPr>
          <w:rFonts w:asciiTheme="majorBidi" w:hAnsiTheme="majorBidi" w:cstheme="majorBidi"/>
          <w:iCs/>
        </w:rPr>
        <w:t xml:space="preserve"> </w:t>
      </w:r>
      <w:r w:rsidR="00355999" w:rsidRPr="000E1C62">
        <w:rPr>
          <w:rFonts w:asciiTheme="majorBidi" w:hAnsiTheme="majorBidi" w:cstheme="majorBidi"/>
          <w:iCs/>
        </w:rPr>
        <w:t>(</w:t>
      </w:r>
      <w:r w:rsidR="003E4E7C" w:rsidRPr="000E1C62">
        <w:rPr>
          <w:rFonts w:asciiTheme="majorBidi" w:hAnsiTheme="majorBidi" w:cstheme="majorBidi"/>
          <w:iCs/>
        </w:rPr>
        <w:t xml:space="preserve">ES = </w:t>
      </w:r>
      <w:r w:rsidR="00FB6133" w:rsidRPr="000E1C62">
        <w:rPr>
          <w:rFonts w:asciiTheme="majorBidi" w:hAnsiTheme="majorBidi" w:cstheme="majorBidi"/>
          <w:iCs/>
        </w:rPr>
        <w:t xml:space="preserve">0.22, </w:t>
      </w:r>
      <w:r w:rsidR="00355999" w:rsidRPr="000E1C62">
        <w:rPr>
          <w:rFonts w:asciiTheme="majorBidi" w:hAnsiTheme="majorBidi" w:cstheme="majorBidi"/>
          <w:i/>
          <w:iCs/>
        </w:rPr>
        <w:t>P</w:t>
      </w:r>
      <w:r w:rsidR="00355999" w:rsidRPr="000E1C62">
        <w:rPr>
          <w:rFonts w:asciiTheme="majorBidi" w:hAnsiTheme="majorBidi" w:cstheme="majorBidi"/>
          <w:iCs/>
        </w:rPr>
        <w:t xml:space="preserve"> = 0</w:t>
      </w:r>
      <w:r w:rsidR="00355999">
        <w:rPr>
          <w:rFonts w:asciiTheme="majorBidi" w:hAnsiTheme="majorBidi" w:cstheme="majorBidi"/>
          <w:iCs/>
        </w:rPr>
        <w:t>.0</w:t>
      </w:r>
      <w:r w:rsidR="00BC51CB">
        <w:rPr>
          <w:rFonts w:asciiTheme="majorBidi" w:hAnsiTheme="majorBidi" w:cstheme="majorBidi"/>
          <w:iCs/>
        </w:rPr>
        <w:t>53 and</w:t>
      </w:r>
      <w:r w:rsidR="00FB6133">
        <w:rPr>
          <w:rFonts w:asciiTheme="majorBidi" w:hAnsiTheme="majorBidi" w:cstheme="majorBidi"/>
          <w:iCs/>
        </w:rPr>
        <w:t xml:space="preserve"> ES = </w:t>
      </w:r>
      <w:r w:rsidR="001A08AE">
        <w:rPr>
          <w:rFonts w:asciiTheme="majorBidi" w:hAnsiTheme="majorBidi" w:cstheme="majorBidi"/>
          <w:iCs/>
        </w:rPr>
        <w:t>0.19,</w:t>
      </w:r>
      <w:r w:rsidR="00BC51CB">
        <w:rPr>
          <w:rFonts w:asciiTheme="majorBidi" w:hAnsiTheme="majorBidi" w:cstheme="majorBidi"/>
          <w:iCs/>
        </w:rPr>
        <w:t xml:space="preserve"> </w:t>
      </w:r>
      <w:r w:rsidR="00BC51CB">
        <w:rPr>
          <w:rFonts w:asciiTheme="majorBidi" w:hAnsiTheme="majorBidi" w:cstheme="majorBidi"/>
          <w:i/>
          <w:iCs/>
        </w:rPr>
        <w:t>P</w:t>
      </w:r>
      <w:r w:rsidR="00BC51CB">
        <w:rPr>
          <w:rFonts w:asciiTheme="majorBidi" w:hAnsiTheme="majorBidi" w:cstheme="majorBidi"/>
          <w:iCs/>
        </w:rPr>
        <w:t xml:space="preserve"> = 0.057, respectively). </w:t>
      </w:r>
      <w:r w:rsidR="005F0FC0">
        <w:rPr>
          <w:rFonts w:asciiTheme="majorBidi" w:hAnsiTheme="majorBidi" w:cstheme="majorBidi"/>
          <w:iCs/>
        </w:rPr>
        <w:t>No effects of diet or time were found for</w:t>
      </w:r>
      <w:r w:rsidR="006F5798">
        <w:rPr>
          <w:rFonts w:asciiTheme="majorBidi" w:hAnsiTheme="majorBidi" w:cstheme="majorBidi"/>
          <w:iCs/>
        </w:rPr>
        <w:t xml:space="preserve"> </w:t>
      </w:r>
      <w:r w:rsidR="00B1251E">
        <w:rPr>
          <w:rFonts w:asciiTheme="majorBidi" w:hAnsiTheme="majorBidi" w:cstheme="majorBidi"/>
          <w:iCs/>
        </w:rPr>
        <w:t xml:space="preserve">blood pressure (systolic and diastolic), </w:t>
      </w:r>
      <w:r w:rsidR="003F39B6">
        <w:rPr>
          <w:rFonts w:asciiTheme="majorBidi" w:hAnsiTheme="majorBidi" w:cstheme="majorBidi"/>
          <w:iCs/>
        </w:rPr>
        <w:t>RMR</w:t>
      </w:r>
      <w:r w:rsidR="00C449F1">
        <w:rPr>
          <w:rFonts w:asciiTheme="majorBidi" w:hAnsiTheme="majorBidi" w:cstheme="majorBidi"/>
          <w:iCs/>
        </w:rPr>
        <w:t xml:space="preserve"> and </w:t>
      </w:r>
      <w:r w:rsidR="008C3EDB">
        <w:rPr>
          <w:rFonts w:asciiTheme="majorBidi" w:hAnsiTheme="majorBidi" w:cstheme="majorBidi"/>
          <w:iCs/>
        </w:rPr>
        <w:t>substrate oxidation (fat and carbohydrate</w:t>
      </w:r>
      <w:r w:rsidR="00AD3C29">
        <w:rPr>
          <w:rFonts w:asciiTheme="majorBidi" w:hAnsiTheme="majorBidi" w:cstheme="majorBidi"/>
          <w:iCs/>
        </w:rPr>
        <w:t>)</w:t>
      </w:r>
      <w:r w:rsidR="005F0FC0">
        <w:rPr>
          <w:rFonts w:asciiTheme="majorBidi" w:hAnsiTheme="majorBidi" w:cstheme="majorBidi"/>
          <w:iCs/>
        </w:rPr>
        <w:t xml:space="preserve"> </w:t>
      </w:r>
      <w:r w:rsidR="007978FF">
        <w:rPr>
          <w:rFonts w:asciiTheme="majorBidi" w:hAnsiTheme="majorBidi" w:cstheme="majorBidi"/>
          <w:iCs/>
        </w:rPr>
        <w:t xml:space="preserve">(all </w:t>
      </w:r>
      <w:r w:rsidR="007978FF">
        <w:rPr>
          <w:rFonts w:asciiTheme="majorBidi" w:hAnsiTheme="majorBidi" w:cstheme="majorBidi"/>
          <w:i/>
          <w:iCs/>
        </w:rPr>
        <w:t>P</w:t>
      </w:r>
      <w:r w:rsidR="007978FF">
        <w:rPr>
          <w:rFonts w:asciiTheme="majorBidi" w:hAnsiTheme="majorBidi" w:cstheme="majorBidi"/>
          <w:iCs/>
        </w:rPr>
        <w:t xml:space="preserve"> </w:t>
      </w:r>
      <w:r w:rsidR="001849EC">
        <w:rPr>
          <w:rFonts w:asciiTheme="majorBidi" w:hAnsiTheme="majorBidi" w:cstheme="majorBidi"/>
          <w:iCs/>
        </w:rPr>
        <w:sym w:font="Symbol" w:char="F0B3"/>
      </w:r>
      <w:r w:rsidR="007978FF">
        <w:rPr>
          <w:rFonts w:asciiTheme="majorBidi" w:hAnsiTheme="majorBidi" w:cstheme="majorBidi"/>
          <w:iCs/>
        </w:rPr>
        <w:t xml:space="preserve"> 0.</w:t>
      </w:r>
      <w:r w:rsidR="001849EC">
        <w:rPr>
          <w:rFonts w:asciiTheme="majorBidi" w:hAnsiTheme="majorBidi" w:cstheme="majorBidi"/>
          <w:iCs/>
        </w:rPr>
        <w:t>19</w:t>
      </w:r>
      <w:r w:rsidR="007978FF">
        <w:rPr>
          <w:rFonts w:asciiTheme="majorBidi" w:hAnsiTheme="majorBidi" w:cstheme="majorBidi"/>
          <w:iCs/>
        </w:rPr>
        <w:t xml:space="preserve">). </w:t>
      </w:r>
      <w:r w:rsidR="00270E93">
        <w:rPr>
          <w:rFonts w:asciiTheme="majorBidi" w:hAnsiTheme="majorBidi" w:cstheme="majorBidi"/>
          <w:iCs/>
        </w:rPr>
        <w:t xml:space="preserve"> </w:t>
      </w:r>
      <w:r w:rsidR="00AD3C29">
        <w:rPr>
          <w:rFonts w:asciiTheme="majorBidi" w:hAnsiTheme="majorBidi" w:cstheme="majorBidi"/>
          <w:iCs/>
        </w:rPr>
        <w:t xml:space="preserve"> </w:t>
      </w:r>
    </w:p>
    <w:p w14:paraId="074D6D2F" w14:textId="1BC42196" w:rsidR="0052407F" w:rsidRDefault="0052407F" w:rsidP="007275DD">
      <w:pPr>
        <w:spacing w:line="480" w:lineRule="auto"/>
        <w:jc w:val="both"/>
        <w:rPr>
          <w:rFonts w:asciiTheme="majorBidi" w:hAnsiTheme="majorBidi" w:cstheme="majorBidi"/>
          <w:iCs/>
        </w:rPr>
      </w:pPr>
    </w:p>
    <w:p w14:paraId="4E493BC0" w14:textId="512B4845" w:rsidR="0052407F" w:rsidRPr="0052407F" w:rsidRDefault="0052407F" w:rsidP="007275DD">
      <w:pPr>
        <w:spacing w:line="480" w:lineRule="auto"/>
        <w:jc w:val="center"/>
        <w:rPr>
          <w:rFonts w:asciiTheme="majorBidi" w:hAnsiTheme="majorBidi" w:cstheme="majorBidi"/>
          <w:b/>
          <w:i/>
          <w:iCs/>
        </w:rPr>
      </w:pPr>
      <w:r>
        <w:rPr>
          <w:rFonts w:asciiTheme="majorBidi" w:hAnsiTheme="majorBidi" w:cstheme="majorBidi"/>
          <w:b/>
          <w:i/>
          <w:iCs/>
        </w:rPr>
        <w:t xml:space="preserve">Insert table </w:t>
      </w:r>
      <w:r w:rsidR="00DB4CAA">
        <w:rPr>
          <w:rFonts w:asciiTheme="majorBidi" w:hAnsiTheme="majorBidi" w:cstheme="majorBidi"/>
          <w:b/>
          <w:i/>
          <w:iCs/>
        </w:rPr>
        <w:t>2</w:t>
      </w:r>
    </w:p>
    <w:p w14:paraId="1F05B3FC" w14:textId="77777777" w:rsidR="0035779E" w:rsidRPr="00C035AE" w:rsidRDefault="0035779E" w:rsidP="007275DD">
      <w:pPr>
        <w:spacing w:line="480" w:lineRule="auto"/>
        <w:jc w:val="both"/>
        <w:rPr>
          <w:rFonts w:asciiTheme="majorBidi" w:hAnsiTheme="majorBidi" w:cstheme="majorBidi"/>
          <w:iCs/>
        </w:rPr>
      </w:pPr>
    </w:p>
    <w:p w14:paraId="1F99DEB3" w14:textId="36732966" w:rsidR="00E244AD" w:rsidRDefault="007F74D0" w:rsidP="007275DD">
      <w:pPr>
        <w:spacing w:line="480" w:lineRule="auto"/>
        <w:jc w:val="both"/>
        <w:rPr>
          <w:rFonts w:asciiTheme="majorBidi" w:hAnsiTheme="majorBidi" w:cstheme="majorBidi"/>
          <w:i/>
          <w:iCs/>
        </w:rPr>
      </w:pPr>
      <w:r>
        <w:rPr>
          <w:rFonts w:asciiTheme="majorBidi" w:hAnsiTheme="majorBidi" w:cstheme="majorBidi"/>
          <w:i/>
          <w:iCs/>
        </w:rPr>
        <w:t>Hepatokine responses</w:t>
      </w:r>
      <w:r w:rsidR="009A5243">
        <w:rPr>
          <w:rFonts w:asciiTheme="majorBidi" w:hAnsiTheme="majorBidi" w:cstheme="majorBidi"/>
          <w:i/>
          <w:iCs/>
        </w:rPr>
        <w:t xml:space="preserve"> to high-fat overfeeding</w:t>
      </w:r>
    </w:p>
    <w:p w14:paraId="2DDDEC3E" w14:textId="4A18DB44" w:rsidR="0019574F" w:rsidRDefault="00160B3F" w:rsidP="007275DD">
      <w:pPr>
        <w:spacing w:line="480" w:lineRule="auto"/>
        <w:jc w:val="both"/>
        <w:rPr>
          <w:rFonts w:asciiTheme="majorBidi" w:hAnsiTheme="majorBidi" w:cstheme="majorBidi"/>
          <w:iCs/>
        </w:rPr>
      </w:pPr>
      <w:r>
        <w:rPr>
          <w:rFonts w:asciiTheme="majorBidi" w:hAnsiTheme="majorBidi" w:cstheme="majorBidi"/>
          <w:iCs/>
        </w:rPr>
        <w:t>Pre-diet f</w:t>
      </w:r>
      <w:r w:rsidR="00765D3B">
        <w:rPr>
          <w:rFonts w:asciiTheme="majorBidi" w:hAnsiTheme="majorBidi" w:cstheme="majorBidi"/>
          <w:iCs/>
        </w:rPr>
        <w:t xml:space="preserve">asting plasma concentrations of </w:t>
      </w:r>
      <w:r w:rsidR="00881029">
        <w:rPr>
          <w:rFonts w:asciiTheme="majorBidi" w:hAnsiTheme="majorBidi" w:cstheme="majorBidi"/>
          <w:iCs/>
        </w:rPr>
        <w:t>FGF21</w:t>
      </w:r>
      <w:r w:rsidR="00765D3B">
        <w:rPr>
          <w:rFonts w:asciiTheme="majorBidi" w:hAnsiTheme="majorBidi" w:cstheme="majorBidi"/>
          <w:iCs/>
        </w:rPr>
        <w:t xml:space="preserve">, </w:t>
      </w:r>
      <w:r w:rsidR="00881029">
        <w:rPr>
          <w:rFonts w:asciiTheme="majorBidi" w:hAnsiTheme="majorBidi" w:cstheme="majorBidi"/>
          <w:iCs/>
        </w:rPr>
        <w:t>LECT2</w:t>
      </w:r>
      <w:r w:rsidR="008B2FEC">
        <w:rPr>
          <w:rFonts w:asciiTheme="majorBidi" w:hAnsiTheme="majorBidi" w:cstheme="majorBidi"/>
          <w:iCs/>
        </w:rPr>
        <w:t xml:space="preserve">, </w:t>
      </w:r>
      <w:r w:rsidR="00765D3B">
        <w:rPr>
          <w:rFonts w:asciiTheme="majorBidi" w:hAnsiTheme="majorBidi" w:cstheme="majorBidi"/>
          <w:iCs/>
        </w:rPr>
        <w:t>fetuin-A</w:t>
      </w:r>
      <w:r w:rsidR="00CB591E">
        <w:rPr>
          <w:rFonts w:asciiTheme="majorBidi" w:hAnsiTheme="majorBidi" w:cstheme="majorBidi"/>
          <w:iCs/>
        </w:rPr>
        <w:t xml:space="preserve">, </w:t>
      </w:r>
      <w:r w:rsidR="008B2FEC">
        <w:rPr>
          <w:rFonts w:asciiTheme="majorBidi" w:hAnsiTheme="majorBidi" w:cstheme="majorBidi"/>
          <w:iCs/>
        </w:rPr>
        <w:t>fetuin-B</w:t>
      </w:r>
      <w:r w:rsidR="00CB591E">
        <w:rPr>
          <w:rFonts w:asciiTheme="majorBidi" w:hAnsiTheme="majorBidi" w:cstheme="majorBidi"/>
          <w:iCs/>
        </w:rPr>
        <w:t xml:space="preserve"> and SeP</w:t>
      </w:r>
      <w:r w:rsidR="00765D3B">
        <w:rPr>
          <w:rFonts w:asciiTheme="majorBidi" w:hAnsiTheme="majorBidi" w:cstheme="majorBidi"/>
          <w:iCs/>
        </w:rPr>
        <w:t xml:space="preserve"> </w:t>
      </w:r>
      <w:r w:rsidR="002D3F20">
        <w:rPr>
          <w:rFonts w:asciiTheme="majorBidi" w:hAnsiTheme="majorBidi" w:cstheme="majorBidi"/>
          <w:iCs/>
        </w:rPr>
        <w:t xml:space="preserve">were </w:t>
      </w:r>
      <w:r w:rsidR="002D3F20" w:rsidRPr="000E1C62">
        <w:rPr>
          <w:rFonts w:asciiTheme="majorBidi" w:hAnsiTheme="majorBidi" w:cstheme="majorBidi"/>
          <w:iCs/>
        </w:rPr>
        <w:t xml:space="preserve">similar </w:t>
      </w:r>
      <w:r w:rsidR="00F45E34" w:rsidRPr="000E1C62">
        <w:rPr>
          <w:rFonts w:asciiTheme="majorBidi" w:hAnsiTheme="majorBidi" w:cstheme="majorBidi"/>
          <w:iCs/>
        </w:rPr>
        <w:t>prior to</w:t>
      </w:r>
      <w:r w:rsidR="002D3F20" w:rsidRPr="000E1C62">
        <w:rPr>
          <w:rFonts w:asciiTheme="majorBidi" w:hAnsiTheme="majorBidi" w:cstheme="majorBidi"/>
          <w:iCs/>
        </w:rPr>
        <w:t xml:space="preserve"> the </w:t>
      </w:r>
      <w:r w:rsidR="00DE6381" w:rsidRPr="000E1C62">
        <w:rPr>
          <w:rFonts w:asciiTheme="majorBidi" w:hAnsiTheme="majorBidi" w:cstheme="majorBidi"/>
          <w:iCs/>
        </w:rPr>
        <w:t>control diet</w:t>
      </w:r>
      <w:r w:rsidR="002D3F20" w:rsidRPr="000E1C62">
        <w:rPr>
          <w:rFonts w:asciiTheme="majorBidi" w:hAnsiTheme="majorBidi" w:cstheme="majorBidi"/>
          <w:iCs/>
        </w:rPr>
        <w:t xml:space="preserve"> and HE-HFD</w:t>
      </w:r>
      <w:r w:rsidR="003F7824" w:rsidRPr="000E1C62">
        <w:rPr>
          <w:rFonts w:asciiTheme="majorBidi" w:hAnsiTheme="majorBidi" w:cstheme="majorBidi"/>
          <w:iCs/>
        </w:rPr>
        <w:t xml:space="preserve"> (all </w:t>
      </w:r>
      <w:r w:rsidR="003F7824" w:rsidRPr="000E1C62">
        <w:rPr>
          <w:rFonts w:asciiTheme="majorBidi" w:hAnsiTheme="majorBidi" w:cstheme="majorBidi"/>
          <w:i/>
          <w:iCs/>
        </w:rPr>
        <w:t xml:space="preserve">P </w:t>
      </w:r>
      <w:r w:rsidR="003F7824" w:rsidRPr="000E1C62">
        <w:rPr>
          <w:rFonts w:asciiTheme="majorBidi" w:hAnsiTheme="majorBidi" w:cstheme="majorBidi"/>
          <w:iCs/>
        </w:rPr>
        <w:sym w:font="Symbol" w:char="F0B3"/>
      </w:r>
      <w:r w:rsidR="003F7824" w:rsidRPr="000E1C62">
        <w:rPr>
          <w:rFonts w:asciiTheme="majorBidi" w:hAnsiTheme="majorBidi" w:cstheme="majorBidi"/>
          <w:iCs/>
        </w:rPr>
        <w:t xml:space="preserve"> 0.3</w:t>
      </w:r>
      <w:r w:rsidR="00CB591E" w:rsidRPr="000E1C62">
        <w:rPr>
          <w:rFonts w:asciiTheme="majorBidi" w:hAnsiTheme="majorBidi" w:cstheme="majorBidi"/>
          <w:iCs/>
        </w:rPr>
        <w:t>0</w:t>
      </w:r>
      <w:r w:rsidR="003F7824" w:rsidRPr="000E1C62">
        <w:rPr>
          <w:rFonts w:asciiTheme="majorBidi" w:hAnsiTheme="majorBidi" w:cstheme="majorBidi"/>
          <w:iCs/>
        </w:rPr>
        <w:t>)</w:t>
      </w:r>
      <w:r w:rsidR="007E0EF2" w:rsidRPr="000E1C62">
        <w:rPr>
          <w:rFonts w:asciiTheme="majorBidi" w:hAnsiTheme="majorBidi" w:cstheme="majorBidi"/>
          <w:iCs/>
        </w:rPr>
        <w:t xml:space="preserve">. </w:t>
      </w:r>
      <w:r w:rsidR="00170B0A" w:rsidRPr="000E1C62">
        <w:rPr>
          <w:rFonts w:asciiTheme="majorBidi" w:hAnsiTheme="majorBidi" w:cstheme="majorBidi"/>
          <w:iCs/>
        </w:rPr>
        <w:t>A</w:t>
      </w:r>
      <w:r w:rsidR="007E0EF2" w:rsidRPr="000E1C62">
        <w:rPr>
          <w:rFonts w:asciiTheme="majorBidi" w:hAnsiTheme="majorBidi" w:cstheme="majorBidi"/>
          <w:iCs/>
        </w:rPr>
        <w:t xml:space="preserve"> main effect of diet</w:t>
      </w:r>
      <w:r w:rsidR="00081CCF" w:rsidRPr="000E1C62">
        <w:rPr>
          <w:rFonts w:asciiTheme="majorBidi" w:hAnsiTheme="majorBidi" w:cstheme="majorBidi"/>
          <w:iCs/>
        </w:rPr>
        <w:t xml:space="preserve"> was found</w:t>
      </w:r>
      <w:r w:rsidR="007E0EF2" w:rsidRPr="000E1C62">
        <w:rPr>
          <w:rFonts w:asciiTheme="majorBidi" w:hAnsiTheme="majorBidi" w:cstheme="majorBidi"/>
          <w:iCs/>
        </w:rPr>
        <w:t xml:space="preserve"> for </w:t>
      </w:r>
      <w:r w:rsidR="00881029" w:rsidRPr="000E1C62">
        <w:rPr>
          <w:rFonts w:asciiTheme="majorBidi" w:hAnsiTheme="majorBidi" w:cstheme="majorBidi"/>
          <w:iCs/>
        </w:rPr>
        <w:t>FGF21</w:t>
      </w:r>
      <w:r w:rsidR="001208BA" w:rsidRPr="000E1C62">
        <w:rPr>
          <w:rFonts w:asciiTheme="majorBidi" w:hAnsiTheme="majorBidi" w:cstheme="majorBidi"/>
          <w:iCs/>
        </w:rPr>
        <w:t xml:space="preserve"> and </w:t>
      </w:r>
      <w:r w:rsidR="00881029" w:rsidRPr="000E1C62">
        <w:rPr>
          <w:rFonts w:asciiTheme="majorBidi" w:hAnsiTheme="majorBidi" w:cstheme="majorBidi"/>
          <w:iCs/>
        </w:rPr>
        <w:t>LECT2</w:t>
      </w:r>
      <w:r w:rsidR="006D44D8" w:rsidRPr="000E1C62">
        <w:rPr>
          <w:rFonts w:asciiTheme="majorBidi" w:hAnsiTheme="majorBidi" w:cstheme="majorBidi"/>
          <w:iCs/>
        </w:rPr>
        <w:t xml:space="preserve"> (both </w:t>
      </w:r>
      <w:r w:rsidR="006D44D8" w:rsidRPr="000E1C62">
        <w:rPr>
          <w:rFonts w:asciiTheme="majorBidi" w:hAnsiTheme="majorBidi" w:cstheme="majorBidi"/>
          <w:i/>
          <w:iCs/>
        </w:rPr>
        <w:t xml:space="preserve">P </w:t>
      </w:r>
      <w:r w:rsidR="006D44D8" w:rsidRPr="000E1C62">
        <w:rPr>
          <w:rFonts w:asciiTheme="majorBidi" w:hAnsiTheme="majorBidi" w:cstheme="majorBidi"/>
          <w:iCs/>
        </w:rPr>
        <w:sym w:font="Symbol" w:char="F0A3"/>
      </w:r>
      <w:r w:rsidR="006D44D8" w:rsidRPr="000E1C62">
        <w:rPr>
          <w:rFonts w:asciiTheme="majorBidi" w:hAnsiTheme="majorBidi" w:cstheme="majorBidi"/>
          <w:iCs/>
        </w:rPr>
        <w:t xml:space="preserve"> 0.0</w:t>
      </w:r>
      <w:r w:rsidR="0022685A" w:rsidRPr="000E1C62">
        <w:rPr>
          <w:rFonts w:asciiTheme="majorBidi" w:hAnsiTheme="majorBidi" w:cstheme="majorBidi"/>
          <w:iCs/>
        </w:rPr>
        <w:t>24</w:t>
      </w:r>
      <w:r w:rsidR="006D44D8" w:rsidRPr="000E1C62">
        <w:rPr>
          <w:rFonts w:asciiTheme="majorBidi" w:hAnsiTheme="majorBidi" w:cstheme="majorBidi"/>
          <w:iCs/>
        </w:rPr>
        <w:t>)</w:t>
      </w:r>
      <w:r w:rsidR="001208BA" w:rsidRPr="000E1C62">
        <w:rPr>
          <w:rFonts w:asciiTheme="majorBidi" w:hAnsiTheme="majorBidi" w:cstheme="majorBidi"/>
          <w:iCs/>
        </w:rPr>
        <w:t>, and a diet by time interaction</w:t>
      </w:r>
      <w:r w:rsidR="00081CCF" w:rsidRPr="000E1C62">
        <w:rPr>
          <w:rFonts w:asciiTheme="majorBidi" w:hAnsiTheme="majorBidi" w:cstheme="majorBidi"/>
          <w:iCs/>
        </w:rPr>
        <w:t xml:space="preserve"> was found</w:t>
      </w:r>
      <w:r w:rsidR="001208BA" w:rsidRPr="000E1C62">
        <w:rPr>
          <w:rFonts w:asciiTheme="majorBidi" w:hAnsiTheme="majorBidi" w:cstheme="majorBidi"/>
          <w:iCs/>
        </w:rPr>
        <w:t xml:space="preserve"> for </w:t>
      </w:r>
      <w:r w:rsidR="00881029" w:rsidRPr="000E1C62">
        <w:rPr>
          <w:rFonts w:asciiTheme="majorBidi" w:hAnsiTheme="majorBidi" w:cstheme="majorBidi"/>
          <w:iCs/>
        </w:rPr>
        <w:t>FGF21</w:t>
      </w:r>
      <w:r w:rsidR="001208BA" w:rsidRPr="000E1C62">
        <w:rPr>
          <w:rFonts w:asciiTheme="majorBidi" w:hAnsiTheme="majorBidi" w:cstheme="majorBidi"/>
          <w:iCs/>
        </w:rPr>
        <w:t xml:space="preserve">, </w:t>
      </w:r>
      <w:r w:rsidR="00881029" w:rsidRPr="000E1C62">
        <w:rPr>
          <w:rFonts w:asciiTheme="majorBidi" w:hAnsiTheme="majorBidi" w:cstheme="majorBidi"/>
          <w:iCs/>
        </w:rPr>
        <w:t>LECT2</w:t>
      </w:r>
      <w:r w:rsidR="001208BA" w:rsidRPr="000E1C62">
        <w:rPr>
          <w:rFonts w:asciiTheme="majorBidi" w:hAnsiTheme="majorBidi" w:cstheme="majorBidi"/>
          <w:iCs/>
        </w:rPr>
        <w:t xml:space="preserve"> and fetuin</w:t>
      </w:r>
      <w:r w:rsidR="00E65653" w:rsidRPr="000E1C62">
        <w:rPr>
          <w:rFonts w:asciiTheme="majorBidi" w:hAnsiTheme="majorBidi" w:cstheme="majorBidi"/>
          <w:iCs/>
        </w:rPr>
        <w:t>-A</w:t>
      </w:r>
      <w:r w:rsidR="00706673" w:rsidRPr="000E1C62">
        <w:rPr>
          <w:rFonts w:asciiTheme="majorBidi" w:hAnsiTheme="majorBidi" w:cstheme="majorBidi"/>
          <w:iCs/>
        </w:rPr>
        <w:t xml:space="preserve"> (all </w:t>
      </w:r>
      <w:r w:rsidR="00706673" w:rsidRPr="000E1C62">
        <w:rPr>
          <w:rFonts w:asciiTheme="majorBidi" w:hAnsiTheme="majorBidi" w:cstheme="majorBidi"/>
          <w:i/>
          <w:iCs/>
        </w:rPr>
        <w:t xml:space="preserve">P </w:t>
      </w:r>
      <w:r w:rsidR="00706673" w:rsidRPr="000E1C62">
        <w:rPr>
          <w:rFonts w:asciiTheme="majorBidi" w:hAnsiTheme="majorBidi" w:cstheme="majorBidi"/>
          <w:iCs/>
        </w:rPr>
        <w:sym w:font="Symbol" w:char="F0A3"/>
      </w:r>
      <w:r w:rsidR="00706673" w:rsidRPr="000E1C62">
        <w:rPr>
          <w:rFonts w:asciiTheme="majorBidi" w:hAnsiTheme="majorBidi" w:cstheme="majorBidi"/>
          <w:iCs/>
        </w:rPr>
        <w:t xml:space="preserve"> 0.0</w:t>
      </w:r>
      <w:r w:rsidR="00796202" w:rsidRPr="000E1C62">
        <w:rPr>
          <w:rFonts w:asciiTheme="majorBidi" w:hAnsiTheme="majorBidi" w:cstheme="majorBidi"/>
          <w:iCs/>
        </w:rPr>
        <w:t>11</w:t>
      </w:r>
      <w:r w:rsidR="00A54348" w:rsidRPr="000E1C62">
        <w:rPr>
          <w:rFonts w:asciiTheme="majorBidi" w:hAnsiTheme="majorBidi" w:cstheme="majorBidi"/>
          <w:iCs/>
        </w:rPr>
        <w:t>; Figur</w:t>
      </w:r>
      <w:r w:rsidR="000123BC" w:rsidRPr="000E1C62">
        <w:rPr>
          <w:rFonts w:asciiTheme="majorBidi" w:hAnsiTheme="majorBidi" w:cstheme="majorBidi"/>
          <w:iCs/>
        </w:rPr>
        <w:t xml:space="preserve">e </w:t>
      </w:r>
      <w:r w:rsidR="0033111F" w:rsidRPr="000E1C62">
        <w:rPr>
          <w:rFonts w:asciiTheme="majorBidi" w:hAnsiTheme="majorBidi" w:cstheme="majorBidi"/>
          <w:iCs/>
        </w:rPr>
        <w:t>2</w:t>
      </w:r>
      <w:r w:rsidR="000123BC" w:rsidRPr="000E1C62">
        <w:rPr>
          <w:rFonts w:asciiTheme="majorBidi" w:hAnsiTheme="majorBidi" w:cstheme="majorBidi"/>
          <w:iCs/>
        </w:rPr>
        <w:t>A-C).</w:t>
      </w:r>
      <w:r w:rsidR="00E65653" w:rsidRPr="000E1C62">
        <w:rPr>
          <w:rFonts w:asciiTheme="majorBidi" w:hAnsiTheme="majorBidi" w:cstheme="majorBidi"/>
          <w:iCs/>
        </w:rPr>
        <w:t xml:space="preserve"> </w:t>
      </w:r>
      <w:r w:rsidR="00C82C5E" w:rsidRPr="000E1C62">
        <w:rPr>
          <w:rFonts w:asciiTheme="majorBidi" w:hAnsiTheme="majorBidi" w:cstheme="majorBidi"/>
        </w:rPr>
        <w:t>Subsequently,</w:t>
      </w:r>
      <w:r w:rsidR="00764F87" w:rsidRPr="000E1C62">
        <w:rPr>
          <w:rFonts w:asciiTheme="majorBidi" w:hAnsiTheme="majorBidi" w:cstheme="majorBidi"/>
          <w:iCs/>
        </w:rPr>
        <w:t xml:space="preserve"> fasting</w:t>
      </w:r>
      <w:r w:rsidR="00764F87">
        <w:rPr>
          <w:rFonts w:asciiTheme="majorBidi" w:hAnsiTheme="majorBidi" w:cstheme="majorBidi"/>
          <w:iCs/>
        </w:rPr>
        <w:t xml:space="preserve"> plasma </w:t>
      </w:r>
      <w:r w:rsidR="00246D43">
        <w:rPr>
          <w:rFonts w:asciiTheme="majorBidi" w:hAnsiTheme="majorBidi" w:cstheme="majorBidi"/>
          <w:iCs/>
        </w:rPr>
        <w:t>FGF21</w:t>
      </w:r>
      <w:r w:rsidR="00764F87">
        <w:rPr>
          <w:rFonts w:asciiTheme="majorBidi" w:hAnsiTheme="majorBidi" w:cstheme="majorBidi"/>
          <w:iCs/>
        </w:rPr>
        <w:t xml:space="preserve"> concentrations</w:t>
      </w:r>
      <w:r w:rsidR="004C0CE8">
        <w:rPr>
          <w:rFonts w:asciiTheme="majorBidi" w:hAnsiTheme="majorBidi" w:cstheme="majorBidi"/>
          <w:iCs/>
        </w:rPr>
        <w:t xml:space="preserve"> were higher</w:t>
      </w:r>
      <w:r w:rsidR="00764F87">
        <w:rPr>
          <w:rFonts w:asciiTheme="majorBidi" w:hAnsiTheme="majorBidi" w:cstheme="majorBidi"/>
          <w:iCs/>
        </w:rPr>
        <w:t xml:space="preserve"> </w:t>
      </w:r>
      <w:r w:rsidR="00DC5F23">
        <w:rPr>
          <w:rFonts w:asciiTheme="majorBidi" w:hAnsiTheme="majorBidi" w:cstheme="majorBidi"/>
          <w:iCs/>
        </w:rPr>
        <w:t>at</w:t>
      </w:r>
      <w:r w:rsidR="005562F6">
        <w:rPr>
          <w:rFonts w:asciiTheme="majorBidi" w:hAnsiTheme="majorBidi" w:cstheme="majorBidi"/>
          <w:iCs/>
        </w:rPr>
        <w:t xml:space="preserve"> </w:t>
      </w:r>
      <w:r w:rsidR="00246D43">
        <w:rPr>
          <w:rFonts w:asciiTheme="majorBidi" w:hAnsiTheme="majorBidi" w:cstheme="majorBidi"/>
          <w:iCs/>
        </w:rPr>
        <w:t>1</w:t>
      </w:r>
      <w:r w:rsidR="005562F6">
        <w:rPr>
          <w:rFonts w:asciiTheme="majorBidi" w:hAnsiTheme="majorBidi" w:cstheme="majorBidi"/>
          <w:iCs/>
        </w:rPr>
        <w:t xml:space="preserve"> d and </w:t>
      </w:r>
      <w:r w:rsidR="00246D43">
        <w:rPr>
          <w:rFonts w:asciiTheme="majorBidi" w:hAnsiTheme="majorBidi" w:cstheme="majorBidi"/>
          <w:iCs/>
        </w:rPr>
        <w:t>3</w:t>
      </w:r>
      <w:r w:rsidR="005562F6">
        <w:rPr>
          <w:rFonts w:asciiTheme="majorBidi" w:hAnsiTheme="majorBidi" w:cstheme="majorBidi"/>
          <w:iCs/>
        </w:rPr>
        <w:t xml:space="preserve"> d </w:t>
      </w:r>
      <w:r w:rsidR="00DC5F23">
        <w:rPr>
          <w:rFonts w:asciiTheme="majorBidi" w:hAnsiTheme="majorBidi" w:cstheme="majorBidi"/>
          <w:iCs/>
        </w:rPr>
        <w:t>within</w:t>
      </w:r>
      <w:r w:rsidR="00DE6381">
        <w:rPr>
          <w:rFonts w:asciiTheme="majorBidi" w:hAnsiTheme="majorBidi" w:cstheme="majorBidi"/>
          <w:iCs/>
        </w:rPr>
        <w:t xml:space="preserve"> the</w:t>
      </w:r>
      <w:r w:rsidR="005562F6">
        <w:rPr>
          <w:rFonts w:asciiTheme="majorBidi" w:hAnsiTheme="majorBidi" w:cstheme="majorBidi"/>
          <w:iCs/>
        </w:rPr>
        <w:t xml:space="preserve"> HE-HFD compared </w:t>
      </w:r>
      <w:r w:rsidR="00DC5F23">
        <w:rPr>
          <w:rFonts w:asciiTheme="majorBidi" w:hAnsiTheme="majorBidi" w:cstheme="majorBidi"/>
          <w:iCs/>
        </w:rPr>
        <w:t>with control</w:t>
      </w:r>
      <w:r w:rsidR="00F14EE4">
        <w:rPr>
          <w:rFonts w:asciiTheme="majorBidi" w:hAnsiTheme="majorBidi" w:cstheme="majorBidi"/>
          <w:iCs/>
        </w:rPr>
        <w:t xml:space="preserve"> (</w:t>
      </w:r>
      <w:r w:rsidR="00E874C7">
        <w:rPr>
          <w:rFonts w:asciiTheme="majorBidi" w:hAnsiTheme="majorBidi" w:cstheme="majorBidi"/>
          <w:iCs/>
        </w:rPr>
        <w:t>both ES ≥</w:t>
      </w:r>
      <w:r w:rsidR="00C030AC">
        <w:rPr>
          <w:rFonts w:asciiTheme="majorBidi" w:hAnsiTheme="majorBidi" w:cstheme="majorBidi"/>
          <w:iCs/>
        </w:rPr>
        <w:t xml:space="preserve"> 1.67, </w:t>
      </w:r>
      <w:r w:rsidR="00C030AC">
        <w:rPr>
          <w:rFonts w:asciiTheme="majorBidi" w:hAnsiTheme="majorBidi" w:cstheme="majorBidi"/>
          <w:i/>
          <w:iCs/>
        </w:rPr>
        <w:t xml:space="preserve">P </w:t>
      </w:r>
      <w:r w:rsidR="00C030AC">
        <w:rPr>
          <w:rFonts w:asciiTheme="majorBidi" w:hAnsiTheme="majorBidi" w:cstheme="majorBidi"/>
          <w:iCs/>
        </w:rPr>
        <w:t>≤</w:t>
      </w:r>
      <w:r w:rsidR="00EA40F7">
        <w:rPr>
          <w:rFonts w:asciiTheme="majorBidi" w:hAnsiTheme="majorBidi" w:cstheme="majorBidi"/>
          <w:iCs/>
        </w:rPr>
        <w:t xml:space="preserve"> 0.040</w:t>
      </w:r>
      <w:r w:rsidR="00F14EE4">
        <w:rPr>
          <w:rFonts w:asciiTheme="majorBidi" w:hAnsiTheme="majorBidi" w:cstheme="majorBidi"/>
          <w:iCs/>
        </w:rPr>
        <w:t>)</w:t>
      </w:r>
      <w:r w:rsidR="00215DB9">
        <w:rPr>
          <w:rFonts w:asciiTheme="majorBidi" w:hAnsiTheme="majorBidi" w:cstheme="majorBidi"/>
          <w:iCs/>
        </w:rPr>
        <w:t xml:space="preserve">. Furthermore, </w:t>
      </w:r>
      <w:r w:rsidR="001C671B">
        <w:rPr>
          <w:rFonts w:asciiTheme="majorBidi" w:hAnsiTheme="majorBidi" w:cstheme="majorBidi"/>
          <w:iCs/>
        </w:rPr>
        <w:t>in comparison</w:t>
      </w:r>
      <w:r w:rsidR="00740308">
        <w:rPr>
          <w:rFonts w:asciiTheme="majorBidi" w:hAnsiTheme="majorBidi" w:cstheme="majorBidi"/>
          <w:iCs/>
        </w:rPr>
        <w:t xml:space="preserve"> to </w:t>
      </w:r>
      <w:r w:rsidR="00DF2051">
        <w:rPr>
          <w:rFonts w:asciiTheme="majorBidi" w:hAnsiTheme="majorBidi" w:cstheme="majorBidi"/>
          <w:iCs/>
        </w:rPr>
        <w:t xml:space="preserve">the </w:t>
      </w:r>
      <w:r w:rsidR="00DE6381">
        <w:rPr>
          <w:rFonts w:asciiTheme="majorBidi" w:hAnsiTheme="majorBidi" w:cstheme="majorBidi"/>
          <w:iCs/>
        </w:rPr>
        <w:t>control diet</w:t>
      </w:r>
      <w:r w:rsidR="00740308">
        <w:rPr>
          <w:rFonts w:asciiTheme="majorBidi" w:hAnsiTheme="majorBidi" w:cstheme="majorBidi"/>
          <w:iCs/>
        </w:rPr>
        <w:t xml:space="preserve">, </w:t>
      </w:r>
      <w:r w:rsidR="00215DB9">
        <w:rPr>
          <w:rFonts w:asciiTheme="majorBidi" w:hAnsiTheme="majorBidi" w:cstheme="majorBidi"/>
          <w:iCs/>
        </w:rPr>
        <w:t xml:space="preserve">fasting plasma </w:t>
      </w:r>
      <w:r w:rsidR="00EA40F7">
        <w:rPr>
          <w:rFonts w:asciiTheme="majorBidi" w:hAnsiTheme="majorBidi" w:cstheme="majorBidi"/>
          <w:iCs/>
        </w:rPr>
        <w:t>LECT2</w:t>
      </w:r>
      <w:r w:rsidR="00740308">
        <w:rPr>
          <w:rFonts w:asciiTheme="majorBidi" w:hAnsiTheme="majorBidi" w:cstheme="majorBidi"/>
          <w:iCs/>
        </w:rPr>
        <w:t xml:space="preserve"> </w:t>
      </w:r>
      <w:r w:rsidR="00215DB9">
        <w:rPr>
          <w:rFonts w:asciiTheme="majorBidi" w:hAnsiTheme="majorBidi" w:cstheme="majorBidi"/>
          <w:iCs/>
        </w:rPr>
        <w:t>concentrations</w:t>
      </w:r>
      <w:r w:rsidR="00740308">
        <w:rPr>
          <w:rFonts w:asciiTheme="majorBidi" w:hAnsiTheme="majorBidi" w:cstheme="majorBidi"/>
          <w:iCs/>
        </w:rPr>
        <w:t xml:space="preserve"> </w:t>
      </w:r>
      <w:r w:rsidR="00B30F06">
        <w:rPr>
          <w:rFonts w:asciiTheme="majorBidi" w:hAnsiTheme="majorBidi" w:cstheme="majorBidi"/>
          <w:iCs/>
        </w:rPr>
        <w:t xml:space="preserve">were </w:t>
      </w:r>
      <w:r w:rsidR="00C47747">
        <w:rPr>
          <w:rFonts w:asciiTheme="majorBidi" w:hAnsiTheme="majorBidi" w:cstheme="majorBidi"/>
          <w:iCs/>
        </w:rPr>
        <w:t xml:space="preserve">elevated </w:t>
      </w:r>
      <w:r w:rsidR="00D948AA">
        <w:rPr>
          <w:rFonts w:asciiTheme="majorBidi" w:hAnsiTheme="majorBidi" w:cstheme="majorBidi"/>
          <w:iCs/>
        </w:rPr>
        <w:t>at</w:t>
      </w:r>
      <w:r w:rsidR="00FE22D5">
        <w:rPr>
          <w:rFonts w:asciiTheme="majorBidi" w:hAnsiTheme="majorBidi" w:cstheme="majorBidi"/>
          <w:iCs/>
        </w:rPr>
        <w:t xml:space="preserve"> </w:t>
      </w:r>
      <w:r w:rsidR="00D948AA">
        <w:rPr>
          <w:rFonts w:asciiTheme="majorBidi" w:hAnsiTheme="majorBidi" w:cstheme="majorBidi"/>
          <w:iCs/>
        </w:rPr>
        <w:t>3 d and 7 d</w:t>
      </w:r>
      <w:r w:rsidR="007D734A">
        <w:rPr>
          <w:rFonts w:asciiTheme="majorBidi" w:hAnsiTheme="majorBidi" w:cstheme="majorBidi"/>
          <w:iCs/>
        </w:rPr>
        <w:t xml:space="preserve"> within the HE-HFD</w:t>
      </w:r>
      <w:r w:rsidR="00FE22D5">
        <w:rPr>
          <w:rFonts w:asciiTheme="majorBidi" w:hAnsiTheme="majorBidi" w:cstheme="majorBidi"/>
          <w:iCs/>
        </w:rPr>
        <w:t xml:space="preserve"> </w:t>
      </w:r>
      <w:r w:rsidR="004C3BF7">
        <w:rPr>
          <w:rFonts w:asciiTheme="majorBidi" w:hAnsiTheme="majorBidi" w:cstheme="majorBidi"/>
          <w:iCs/>
        </w:rPr>
        <w:t>(</w:t>
      </w:r>
      <w:r w:rsidR="00D948AA">
        <w:rPr>
          <w:rFonts w:asciiTheme="majorBidi" w:hAnsiTheme="majorBidi" w:cstheme="majorBidi"/>
          <w:iCs/>
        </w:rPr>
        <w:t xml:space="preserve">both ES ≥ 0.69, </w:t>
      </w:r>
      <w:r w:rsidR="00D948AA">
        <w:rPr>
          <w:rFonts w:asciiTheme="majorBidi" w:hAnsiTheme="majorBidi" w:cstheme="majorBidi"/>
          <w:i/>
          <w:iCs/>
        </w:rPr>
        <w:t xml:space="preserve">P </w:t>
      </w:r>
      <w:r w:rsidR="00D948AA" w:rsidRPr="00E02412">
        <w:rPr>
          <w:rFonts w:asciiTheme="majorBidi" w:hAnsiTheme="majorBidi" w:cstheme="majorBidi"/>
          <w:iCs/>
        </w:rPr>
        <w:sym w:font="Symbol" w:char="F0A3"/>
      </w:r>
      <w:r w:rsidR="00D948AA">
        <w:rPr>
          <w:rFonts w:asciiTheme="majorBidi" w:hAnsiTheme="majorBidi" w:cstheme="majorBidi"/>
          <w:iCs/>
        </w:rPr>
        <w:t xml:space="preserve"> 0.004; Figure 2B</w:t>
      </w:r>
      <w:r w:rsidR="004C3BF7">
        <w:rPr>
          <w:rFonts w:asciiTheme="majorBidi" w:hAnsiTheme="majorBidi" w:cstheme="majorBidi"/>
          <w:iCs/>
        </w:rPr>
        <w:t>)</w:t>
      </w:r>
      <w:r w:rsidR="000262D0">
        <w:rPr>
          <w:rFonts w:asciiTheme="majorBidi" w:hAnsiTheme="majorBidi" w:cstheme="majorBidi"/>
          <w:iCs/>
        </w:rPr>
        <w:t xml:space="preserve">. </w:t>
      </w:r>
      <w:r w:rsidR="00541B59">
        <w:rPr>
          <w:rFonts w:asciiTheme="majorBidi" w:hAnsiTheme="majorBidi" w:cstheme="majorBidi"/>
          <w:iCs/>
        </w:rPr>
        <w:t>P</w:t>
      </w:r>
      <w:r w:rsidR="000262D0">
        <w:rPr>
          <w:rFonts w:asciiTheme="majorBidi" w:hAnsiTheme="majorBidi" w:cstheme="majorBidi"/>
          <w:iCs/>
        </w:rPr>
        <w:t xml:space="preserve">lasma fetuin-A </w:t>
      </w:r>
      <w:r w:rsidR="00541B59">
        <w:rPr>
          <w:rFonts w:asciiTheme="majorBidi" w:hAnsiTheme="majorBidi" w:cstheme="majorBidi"/>
          <w:iCs/>
        </w:rPr>
        <w:t xml:space="preserve">concentrations </w:t>
      </w:r>
      <w:r w:rsidR="001C671B">
        <w:rPr>
          <w:rFonts w:asciiTheme="majorBidi" w:hAnsiTheme="majorBidi" w:cstheme="majorBidi"/>
          <w:iCs/>
        </w:rPr>
        <w:t>w</w:t>
      </w:r>
      <w:r w:rsidR="00541B59">
        <w:rPr>
          <w:rFonts w:asciiTheme="majorBidi" w:hAnsiTheme="majorBidi" w:cstheme="majorBidi"/>
          <w:iCs/>
        </w:rPr>
        <w:t>ere</w:t>
      </w:r>
      <w:r w:rsidR="001C671B">
        <w:rPr>
          <w:rFonts w:asciiTheme="majorBidi" w:hAnsiTheme="majorBidi" w:cstheme="majorBidi"/>
          <w:iCs/>
        </w:rPr>
        <w:t xml:space="preserve"> also </w:t>
      </w:r>
      <w:r w:rsidR="00541B59">
        <w:rPr>
          <w:rFonts w:asciiTheme="majorBidi" w:hAnsiTheme="majorBidi" w:cstheme="majorBidi"/>
          <w:iCs/>
        </w:rPr>
        <w:t>higher</w:t>
      </w:r>
      <w:r w:rsidR="001C671B">
        <w:rPr>
          <w:rFonts w:asciiTheme="majorBidi" w:hAnsiTheme="majorBidi" w:cstheme="majorBidi"/>
          <w:iCs/>
        </w:rPr>
        <w:t xml:space="preserve"> </w:t>
      </w:r>
      <w:r w:rsidR="007D734A">
        <w:rPr>
          <w:rFonts w:asciiTheme="majorBidi" w:hAnsiTheme="majorBidi" w:cstheme="majorBidi"/>
          <w:iCs/>
        </w:rPr>
        <w:t>at</w:t>
      </w:r>
      <w:r w:rsidR="001C671B">
        <w:rPr>
          <w:rFonts w:asciiTheme="majorBidi" w:hAnsiTheme="majorBidi" w:cstheme="majorBidi"/>
          <w:iCs/>
        </w:rPr>
        <w:t xml:space="preserve"> 7 d </w:t>
      </w:r>
      <w:r w:rsidR="00894A9F">
        <w:rPr>
          <w:rFonts w:asciiTheme="majorBidi" w:hAnsiTheme="majorBidi" w:cstheme="majorBidi"/>
          <w:iCs/>
        </w:rPr>
        <w:t>of</w:t>
      </w:r>
      <w:r w:rsidR="001C671B">
        <w:rPr>
          <w:rFonts w:asciiTheme="majorBidi" w:hAnsiTheme="majorBidi" w:cstheme="majorBidi"/>
          <w:iCs/>
        </w:rPr>
        <w:t xml:space="preserve"> the HE-HFD </w:t>
      </w:r>
      <w:r w:rsidR="00C714F4">
        <w:rPr>
          <w:rFonts w:asciiTheme="majorBidi" w:hAnsiTheme="majorBidi" w:cstheme="majorBidi"/>
          <w:iCs/>
        </w:rPr>
        <w:t>when compared to the control diet</w:t>
      </w:r>
      <w:r w:rsidR="0046073F">
        <w:rPr>
          <w:rFonts w:asciiTheme="majorBidi" w:hAnsiTheme="majorBidi" w:cstheme="majorBidi"/>
          <w:iCs/>
        </w:rPr>
        <w:t xml:space="preserve"> (ES = </w:t>
      </w:r>
      <w:r w:rsidR="00ED6A9F">
        <w:rPr>
          <w:rFonts w:asciiTheme="majorBidi" w:hAnsiTheme="majorBidi" w:cstheme="majorBidi"/>
          <w:iCs/>
        </w:rPr>
        <w:t xml:space="preserve">0.50, </w:t>
      </w:r>
      <w:r w:rsidR="00ED6A9F">
        <w:rPr>
          <w:rFonts w:asciiTheme="majorBidi" w:hAnsiTheme="majorBidi" w:cstheme="majorBidi"/>
          <w:i/>
          <w:iCs/>
        </w:rPr>
        <w:t xml:space="preserve">P </w:t>
      </w:r>
      <w:r w:rsidR="00ED6A9F">
        <w:rPr>
          <w:rFonts w:asciiTheme="majorBidi" w:hAnsiTheme="majorBidi" w:cstheme="majorBidi"/>
          <w:iCs/>
        </w:rPr>
        <w:t xml:space="preserve">= 0.028; Figure </w:t>
      </w:r>
      <w:r w:rsidR="0033111F">
        <w:rPr>
          <w:rFonts w:asciiTheme="majorBidi" w:hAnsiTheme="majorBidi" w:cstheme="majorBidi"/>
          <w:iCs/>
        </w:rPr>
        <w:t>2</w:t>
      </w:r>
      <w:r w:rsidR="00ED6A9F">
        <w:rPr>
          <w:rFonts w:asciiTheme="majorBidi" w:hAnsiTheme="majorBidi" w:cstheme="majorBidi"/>
          <w:iCs/>
        </w:rPr>
        <w:t>C)</w:t>
      </w:r>
      <w:r w:rsidR="00AB72F1">
        <w:rPr>
          <w:rFonts w:asciiTheme="majorBidi" w:hAnsiTheme="majorBidi" w:cstheme="majorBidi"/>
          <w:iCs/>
        </w:rPr>
        <w:t>.</w:t>
      </w:r>
      <w:r w:rsidR="007930AD">
        <w:rPr>
          <w:rFonts w:asciiTheme="majorBidi" w:hAnsiTheme="majorBidi" w:cstheme="majorBidi"/>
          <w:iCs/>
        </w:rPr>
        <w:t xml:space="preserve"> </w:t>
      </w:r>
      <w:r w:rsidR="00BB2C51">
        <w:rPr>
          <w:rFonts w:asciiTheme="majorBidi" w:hAnsiTheme="majorBidi" w:cstheme="majorBidi"/>
          <w:iCs/>
        </w:rPr>
        <w:t>F</w:t>
      </w:r>
      <w:r w:rsidR="00C4660E">
        <w:rPr>
          <w:rFonts w:asciiTheme="majorBidi" w:hAnsiTheme="majorBidi" w:cstheme="majorBidi"/>
          <w:iCs/>
        </w:rPr>
        <w:t>asting</w:t>
      </w:r>
      <w:r w:rsidR="003376B0">
        <w:rPr>
          <w:rFonts w:asciiTheme="majorBidi" w:hAnsiTheme="majorBidi" w:cstheme="majorBidi"/>
          <w:iCs/>
        </w:rPr>
        <w:t xml:space="preserve"> plasma fetuin-B</w:t>
      </w:r>
      <w:r w:rsidR="00D31D73">
        <w:rPr>
          <w:rFonts w:asciiTheme="majorBidi" w:hAnsiTheme="majorBidi" w:cstheme="majorBidi"/>
          <w:iCs/>
        </w:rPr>
        <w:t xml:space="preserve"> </w:t>
      </w:r>
      <w:r w:rsidR="00BB2C51">
        <w:rPr>
          <w:rFonts w:asciiTheme="majorBidi" w:hAnsiTheme="majorBidi" w:cstheme="majorBidi"/>
          <w:iCs/>
        </w:rPr>
        <w:t>and</w:t>
      </w:r>
      <w:r w:rsidR="00D31D73">
        <w:rPr>
          <w:rFonts w:asciiTheme="majorBidi" w:hAnsiTheme="majorBidi" w:cstheme="majorBidi"/>
          <w:iCs/>
        </w:rPr>
        <w:t xml:space="preserve"> SeP</w:t>
      </w:r>
      <w:r w:rsidR="003376B0">
        <w:rPr>
          <w:rFonts w:asciiTheme="majorBidi" w:hAnsiTheme="majorBidi" w:cstheme="majorBidi"/>
          <w:iCs/>
        </w:rPr>
        <w:t xml:space="preserve"> concentrations were </w:t>
      </w:r>
      <w:r w:rsidR="00D20793">
        <w:rPr>
          <w:rFonts w:asciiTheme="majorBidi" w:hAnsiTheme="majorBidi" w:cstheme="majorBidi"/>
          <w:iCs/>
        </w:rPr>
        <w:t>not different between trials or across time</w:t>
      </w:r>
      <w:r w:rsidR="00C4660E">
        <w:rPr>
          <w:rFonts w:asciiTheme="majorBidi" w:hAnsiTheme="majorBidi" w:cstheme="majorBidi"/>
          <w:iCs/>
        </w:rPr>
        <w:t xml:space="preserve"> (</w:t>
      </w:r>
      <w:r w:rsidR="00302A78">
        <w:rPr>
          <w:rFonts w:asciiTheme="majorBidi" w:hAnsiTheme="majorBidi" w:cstheme="majorBidi"/>
          <w:i/>
          <w:iCs/>
        </w:rPr>
        <w:t>P</w:t>
      </w:r>
      <w:r w:rsidR="00302A78">
        <w:rPr>
          <w:rFonts w:asciiTheme="majorBidi" w:hAnsiTheme="majorBidi" w:cstheme="majorBidi"/>
          <w:iCs/>
        </w:rPr>
        <w:t xml:space="preserve"> </w:t>
      </w:r>
      <w:r w:rsidR="007C78B5">
        <w:rPr>
          <w:rFonts w:asciiTheme="majorBidi" w:hAnsiTheme="majorBidi" w:cstheme="majorBidi"/>
          <w:iCs/>
        </w:rPr>
        <w:t>≥</w:t>
      </w:r>
      <w:r w:rsidR="00302A78">
        <w:rPr>
          <w:rFonts w:asciiTheme="majorBidi" w:hAnsiTheme="majorBidi" w:cstheme="majorBidi"/>
          <w:iCs/>
        </w:rPr>
        <w:t xml:space="preserve"> 0.52; Figure </w:t>
      </w:r>
      <w:r w:rsidR="0033111F">
        <w:rPr>
          <w:rFonts w:asciiTheme="majorBidi" w:hAnsiTheme="majorBidi" w:cstheme="majorBidi"/>
          <w:iCs/>
        </w:rPr>
        <w:t>2</w:t>
      </w:r>
      <w:r w:rsidR="00302A78">
        <w:rPr>
          <w:rFonts w:asciiTheme="majorBidi" w:hAnsiTheme="majorBidi" w:cstheme="majorBidi"/>
          <w:iCs/>
        </w:rPr>
        <w:t>D</w:t>
      </w:r>
      <w:r w:rsidR="00770BA0">
        <w:rPr>
          <w:rFonts w:asciiTheme="majorBidi" w:hAnsiTheme="majorBidi" w:cstheme="majorBidi"/>
          <w:iCs/>
        </w:rPr>
        <w:t>/</w:t>
      </w:r>
      <w:r w:rsidR="007C78B5">
        <w:rPr>
          <w:rFonts w:asciiTheme="majorBidi" w:hAnsiTheme="majorBidi" w:cstheme="majorBidi"/>
          <w:iCs/>
        </w:rPr>
        <w:t>E</w:t>
      </w:r>
      <w:r w:rsidR="00302A78">
        <w:rPr>
          <w:rFonts w:asciiTheme="majorBidi" w:hAnsiTheme="majorBidi" w:cstheme="majorBidi"/>
          <w:iCs/>
        </w:rPr>
        <w:t>)</w:t>
      </w:r>
      <w:r w:rsidR="003376B0">
        <w:rPr>
          <w:rFonts w:asciiTheme="majorBidi" w:hAnsiTheme="majorBidi" w:cstheme="majorBidi"/>
          <w:iCs/>
        </w:rPr>
        <w:t>.</w:t>
      </w:r>
      <w:r w:rsidR="00153117">
        <w:rPr>
          <w:rFonts w:asciiTheme="majorBidi" w:hAnsiTheme="majorBidi" w:cstheme="majorBidi"/>
          <w:iCs/>
        </w:rPr>
        <w:t xml:space="preserve"> </w:t>
      </w:r>
      <w:bookmarkStart w:id="0" w:name="_GoBack"/>
      <w:bookmarkEnd w:id="0"/>
      <w:r w:rsidR="00153117" w:rsidRPr="009D422D">
        <w:rPr>
          <w:rFonts w:asciiTheme="majorBidi" w:hAnsiTheme="majorBidi" w:cstheme="majorBidi"/>
          <w:iCs/>
        </w:rPr>
        <w:t xml:space="preserve">The raw data </w:t>
      </w:r>
      <w:r w:rsidR="00DC4D80" w:rsidRPr="009D422D">
        <w:rPr>
          <w:rFonts w:asciiTheme="majorBidi" w:hAnsiTheme="majorBidi" w:cstheme="majorBidi"/>
          <w:iCs/>
        </w:rPr>
        <w:t xml:space="preserve">for the fasting plasma hepatokine responses to the two dietary interventions can be </w:t>
      </w:r>
      <w:r w:rsidR="00C434B7" w:rsidRPr="009D422D">
        <w:rPr>
          <w:rFonts w:asciiTheme="majorBidi" w:hAnsiTheme="majorBidi" w:cstheme="majorBidi"/>
          <w:iCs/>
        </w:rPr>
        <w:t>found in Supplemental Table 2.</w:t>
      </w:r>
      <w:r w:rsidR="003376B0">
        <w:rPr>
          <w:rFonts w:asciiTheme="majorBidi" w:hAnsiTheme="majorBidi" w:cstheme="majorBidi"/>
          <w:iCs/>
        </w:rPr>
        <w:t xml:space="preserve"> </w:t>
      </w:r>
    </w:p>
    <w:p w14:paraId="411A3736" w14:textId="77777777" w:rsidR="0019574F" w:rsidRDefault="0019574F" w:rsidP="007275DD">
      <w:pPr>
        <w:spacing w:line="480" w:lineRule="auto"/>
        <w:jc w:val="both"/>
        <w:rPr>
          <w:rFonts w:asciiTheme="majorBidi" w:hAnsiTheme="majorBidi" w:cstheme="majorBidi"/>
          <w:b/>
          <w:bCs/>
        </w:rPr>
      </w:pPr>
    </w:p>
    <w:p w14:paraId="3315FCA9" w14:textId="31FC0B0C" w:rsidR="0019574F" w:rsidRDefault="0019574F" w:rsidP="007275DD">
      <w:pPr>
        <w:spacing w:line="480" w:lineRule="auto"/>
        <w:jc w:val="center"/>
        <w:rPr>
          <w:rFonts w:asciiTheme="majorBidi" w:hAnsiTheme="majorBidi" w:cstheme="majorBidi"/>
          <w:b/>
          <w:bCs/>
          <w:i/>
        </w:rPr>
      </w:pPr>
      <w:r>
        <w:rPr>
          <w:rFonts w:asciiTheme="majorBidi" w:hAnsiTheme="majorBidi" w:cstheme="majorBidi"/>
          <w:b/>
          <w:bCs/>
          <w:i/>
        </w:rPr>
        <w:t xml:space="preserve">Insert figure </w:t>
      </w:r>
      <w:r w:rsidR="0033111F">
        <w:rPr>
          <w:rFonts w:asciiTheme="majorBidi" w:hAnsiTheme="majorBidi" w:cstheme="majorBidi"/>
          <w:b/>
          <w:bCs/>
          <w:i/>
        </w:rPr>
        <w:t>2</w:t>
      </w:r>
    </w:p>
    <w:p w14:paraId="153D4A6B" w14:textId="3C8EFF3C" w:rsidR="002B6691" w:rsidRDefault="002B6691" w:rsidP="007275DD">
      <w:pPr>
        <w:spacing w:line="480" w:lineRule="auto"/>
        <w:jc w:val="center"/>
        <w:rPr>
          <w:rFonts w:asciiTheme="majorBidi" w:hAnsiTheme="majorBidi" w:cstheme="majorBidi"/>
          <w:b/>
          <w:bCs/>
          <w:i/>
        </w:rPr>
      </w:pPr>
    </w:p>
    <w:p w14:paraId="045DC824" w14:textId="77777777" w:rsidR="002B6691" w:rsidRDefault="002B6691" w:rsidP="002B6691">
      <w:pPr>
        <w:spacing w:line="480" w:lineRule="auto"/>
        <w:jc w:val="both"/>
        <w:rPr>
          <w:rFonts w:asciiTheme="majorBidi" w:hAnsiTheme="majorBidi" w:cstheme="majorBidi"/>
          <w:i/>
          <w:iCs/>
        </w:rPr>
      </w:pPr>
      <w:r>
        <w:rPr>
          <w:rFonts w:asciiTheme="majorBidi" w:hAnsiTheme="majorBidi" w:cstheme="majorBidi"/>
          <w:i/>
          <w:iCs/>
        </w:rPr>
        <w:t>Metabolic responses to high-fat overfeeding</w:t>
      </w:r>
    </w:p>
    <w:p w14:paraId="1CD3C1E8" w14:textId="0804BBE7" w:rsidR="002B6691" w:rsidRDefault="002B6691" w:rsidP="002B6691">
      <w:pPr>
        <w:spacing w:line="480" w:lineRule="auto"/>
        <w:jc w:val="both"/>
        <w:rPr>
          <w:rFonts w:asciiTheme="majorBidi" w:hAnsiTheme="majorBidi" w:cstheme="majorBidi"/>
          <w:iCs/>
        </w:rPr>
      </w:pPr>
      <w:r>
        <w:rPr>
          <w:rFonts w:asciiTheme="majorBidi" w:hAnsiTheme="majorBidi" w:cstheme="majorBidi"/>
          <w:iCs/>
        </w:rPr>
        <w:t xml:space="preserve">Fasting plasma metabolite responses during the control diet and HE-HFD are presented in Table 3. Pre-diet concentrations of all fasting metabolites and indices of insulin resistance were </w:t>
      </w:r>
      <w:r w:rsidRPr="000E1C62">
        <w:rPr>
          <w:rFonts w:asciiTheme="majorBidi" w:hAnsiTheme="majorBidi" w:cstheme="majorBidi"/>
          <w:iCs/>
        </w:rPr>
        <w:t xml:space="preserve">similar </w:t>
      </w:r>
      <w:r w:rsidR="00151F16" w:rsidRPr="000E1C62">
        <w:rPr>
          <w:rFonts w:asciiTheme="majorBidi" w:hAnsiTheme="majorBidi" w:cstheme="majorBidi"/>
          <w:iCs/>
        </w:rPr>
        <w:t>prior to</w:t>
      </w:r>
      <w:r w:rsidRPr="000E1C62">
        <w:rPr>
          <w:rFonts w:asciiTheme="majorBidi" w:hAnsiTheme="majorBidi" w:cstheme="majorBidi"/>
          <w:iCs/>
        </w:rPr>
        <w:t xml:space="preserve"> the two dietary interventions (all </w:t>
      </w:r>
      <w:r w:rsidRPr="000E1C62">
        <w:rPr>
          <w:rFonts w:asciiTheme="majorBidi" w:hAnsiTheme="majorBidi" w:cstheme="majorBidi"/>
          <w:i/>
          <w:iCs/>
        </w:rPr>
        <w:t xml:space="preserve">P </w:t>
      </w:r>
      <w:r w:rsidRPr="000E1C62">
        <w:rPr>
          <w:rFonts w:asciiTheme="majorBidi" w:hAnsiTheme="majorBidi" w:cstheme="majorBidi"/>
          <w:iCs/>
        </w:rPr>
        <w:sym w:font="Symbol" w:char="F0B3"/>
      </w:r>
      <w:r w:rsidRPr="000E1C62">
        <w:rPr>
          <w:rFonts w:asciiTheme="majorBidi" w:hAnsiTheme="majorBidi" w:cstheme="majorBidi"/>
          <w:iCs/>
        </w:rPr>
        <w:t xml:space="preserve"> 0.18). </w:t>
      </w:r>
      <w:r w:rsidR="00F409D3" w:rsidRPr="000E1C62">
        <w:rPr>
          <w:rFonts w:asciiTheme="majorBidi" w:hAnsiTheme="majorBidi" w:cstheme="majorBidi"/>
          <w:iCs/>
        </w:rPr>
        <w:t xml:space="preserve">A </w:t>
      </w:r>
      <w:r w:rsidRPr="000E1C62">
        <w:rPr>
          <w:rFonts w:asciiTheme="majorBidi" w:hAnsiTheme="majorBidi" w:cstheme="majorBidi"/>
          <w:iCs/>
        </w:rPr>
        <w:t>main effect of diet</w:t>
      </w:r>
      <w:r w:rsidR="00F409D3" w:rsidRPr="000E1C62">
        <w:rPr>
          <w:rFonts w:asciiTheme="majorBidi" w:hAnsiTheme="majorBidi" w:cstheme="majorBidi"/>
          <w:iCs/>
        </w:rPr>
        <w:t xml:space="preserve"> was observed</w:t>
      </w:r>
      <w:r w:rsidRPr="000E1C62">
        <w:rPr>
          <w:rFonts w:asciiTheme="majorBidi" w:hAnsiTheme="majorBidi" w:cstheme="majorBidi"/>
          <w:iCs/>
        </w:rPr>
        <w:t xml:space="preserve"> for fasting plasma glucose, TAG and HOMA-IR (all </w:t>
      </w:r>
      <w:r w:rsidRPr="000E1C62">
        <w:rPr>
          <w:rFonts w:asciiTheme="majorBidi" w:hAnsiTheme="majorBidi" w:cstheme="majorBidi"/>
          <w:i/>
          <w:iCs/>
        </w:rPr>
        <w:t xml:space="preserve">P </w:t>
      </w:r>
      <w:r w:rsidRPr="000E1C62">
        <w:rPr>
          <w:rFonts w:asciiTheme="majorBidi" w:hAnsiTheme="majorBidi" w:cstheme="majorBidi"/>
          <w:iCs/>
        </w:rPr>
        <w:sym w:font="Symbol" w:char="F0A3"/>
      </w:r>
      <w:r w:rsidRPr="000E1C62">
        <w:rPr>
          <w:rFonts w:asciiTheme="majorBidi" w:hAnsiTheme="majorBidi" w:cstheme="majorBidi"/>
          <w:iCs/>
        </w:rPr>
        <w:t xml:space="preserve"> 0.049) and a diet by time interaction </w:t>
      </w:r>
      <w:r w:rsidR="00B70B37" w:rsidRPr="000E1C62">
        <w:rPr>
          <w:rFonts w:asciiTheme="majorBidi" w:hAnsiTheme="majorBidi" w:cstheme="majorBidi"/>
          <w:iCs/>
        </w:rPr>
        <w:t xml:space="preserve">was observed for </w:t>
      </w:r>
      <w:r w:rsidRPr="000E1C62">
        <w:rPr>
          <w:rFonts w:asciiTheme="majorBidi" w:hAnsiTheme="majorBidi" w:cstheme="majorBidi"/>
          <w:iCs/>
        </w:rPr>
        <w:t>fasting plasma</w:t>
      </w:r>
      <w:r>
        <w:rPr>
          <w:rFonts w:asciiTheme="majorBidi" w:hAnsiTheme="majorBidi" w:cstheme="majorBidi"/>
          <w:iCs/>
        </w:rPr>
        <w:t xml:space="preserve"> glucose and TAG (both </w:t>
      </w:r>
      <w:r>
        <w:rPr>
          <w:rFonts w:asciiTheme="majorBidi" w:hAnsiTheme="majorBidi" w:cstheme="majorBidi"/>
          <w:i/>
          <w:iCs/>
        </w:rPr>
        <w:t xml:space="preserve">P </w:t>
      </w:r>
      <w:r w:rsidRPr="00E02412">
        <w:rPr>
          <w:rFonts w:asciiTheme="majorBidi" w:hAnsiTheme="majorBidi" w:cstheme="majorBidi"/>
          <w:iCs/>
        </w:rPr>
        <w:sym w:font="Symbol" w:char="F0A3"/>
      </w:r>
      <w:r>
        <w:rPr>
          <w:rFonts w:asciiTheme="majorBidi" w:hAnsiTheme="majorBidi" w:cstheme="majorBidi"/>
          <w:iCs/>
        </w:rPr>
        <w:t xml:space="preserve"> 0.001). </w:t>
      </w:r>
      <w:r w:rsidR="00240376">
        <w:rPr>
          <w:rFonts w:asciiTheme="majorBidi" w:hAnsiTheme="majorBidi" w:cstheme="majorBidi"/>
        </w:rPr>
        <w:t>W</w:t>
      </w:r>
      <w:r>
        <w:rPr>
          <w:rFonts w:asciiTheme="majorBidi" w:hAnsiTheme="majorBidi" w:cstheme="majorBidi"/>
          <w:iCs/>
        </w:rPr>
        <w:t>hen compared to the control diet, fasting plasma glucose concentrations were higher at 1</w:t>
      </w:r>
      <w:r w:rsidR="00263A1A">
        <w:rPr>
          <w:rFonts w:asciiTheme="majorBidi" w:hAnsiTheme="majorBidi" w:cstheme="majorBidi"/>
          <w:iCs/>
        </w:rPr>
        <w:t>, 3 and 7 d</w:t>
      </w:r>
      <w:r>
        <w:rPr>
          <w:rFonts w:asciiTheme="majorBidi" w:hAnsiTheme="majorBidi" w:cstheme="majorBidi"/>
          <w:iCs/>
        </w:rPr>
        <w:t xml:space="preserve"> of the HE-HFD (</w:t>
      </w:r>
      <w:r w:rsidR="00CB4AED">
        <w:rPr>
          <w:rFonts w:asciiTheme="majorBidi" w:hAnsiTheme="majorBidi" w:cstheme="majorBidi"/>
          <w:iCs/>
        </w:rPr>
        <w:t>all</w:t>
      </w:r>
      <w:r>
        <w:rPr>
          <w:rFonts w:asciiTheme="majorBidi" w:hAnsiTheme="majorBidi" w:cstheme="majorBidi"/>
          <w:iCs/>
        </w:rPr>
        <w:t xml:space="preserve"> ES ≥ 0.</w:t>
      </w:r>
      <w:r w:rsidR="0091623A">
        <w:rPr>
          <w:rFonts w:asciiTheme="majorBidi" w:hAnsiTheme="majorBidi" w:cstheme="majorBidi"/>
          <w:iCs/>
        </w:rPr>
        <w:t>38</w:t>
      </w:r>
      <w:r>
        <w:rPr>
          <w:rFonts w:asciiTheme="majorBidi" w:hAnsiTheme="majorBidi" w:cstheme="majorBidi"/>
          <w:iCs/>
        </w:rPr>
        <w:t xml:space="preserve">, </w:t>
      </w:r>
      <w:r>
        <w:rPr>
          <w:rFonts w:asciiTheme="majorBidi" w:hAnsiTheme="majorBidi" w:cstheme="majorBidi"/>
          <w:i/>
          <w:iCs/>
        </w:rPr>
        <w:t xml:space="preserve">P </w:t>
      </w:r>
      <w:r w:rsidRPr="00E02412">
        <w:rPr>
          <w:rFonts w:asciiTheme="majorBidi" w:hAnsiTheme="majorBidi" w:cstheme="majorBidi"/>
          <w:iCs/>
        </w:rPr>
        <w:sym w:font="Symbol" w:char="F0A3"/>
      </w:r>
      <w:r>
        <w:rPr>
          <w:rFonts w:asciiTheme="majorBidi" w:hAnsiTheme="majorBidi" w:cstheme="majorBidi"/>
          <w:iCs/>
        </w:rPr>
        <w:t xml:space="preserve"> 0.0</w:t>
      </w:r>
      <w:r w:rsidR="00947A3F">
        <w:rPr>
          <w:rFonts w:asciiTheme="majorBidi" w:hAnsiTheme="majorBidi" w:cstheme="majorBidi"/>
          <w:iCs/>
        </w:rPr>
        <w:t>33</w:t>
      </w:r>
      <w:r>
        <w:rPr>
          <w:rFonts w:asciiTheme="majorBidi" w:hAnsiTheme="majorBidi" w:cstheme="majorBidi"/>
          <w:iCs/>
        </w:rPr>
        <w:t xml:space="preserve">); whilst fasting plasma TAG concentrations were reduced at 3 d and 7 d of the HE-HFD (both ES ≥ 0.85, </w:t>
      </w:r>
      <w:r>
        <w:rPr>
          <w:rFonts w:asciiTheme="majorBidi" w:hAnsiTheme="majorBidi" w:cstheme="majorBidi"/>
          <w:i/>
          <w:iCs/>
        </w:rPr>
        <w:t xml:space="preserve">P </w:t>
      </w:r>
      <w:r w:rsidRPr="00E02412">
        <w:rPr>
          <w:rFonts w:asciiTheme="majorBidi" w:hAnsiTheme="majorBidi" w:cstheme="majorBidi"/>
          <w:iCs/>
        </w:rPr>
        <w:sym w:font="Symbol" w:char="F0A3"/>
      </w:r>
      <w:r>
        <w:rPr>
          <w:rFonts w:asciiTheme="majorBidi" w:hAnsiTheme="majorBidi" w:cstheme="majorBidi"/>
          <w:iCs/>
        </w:rPr>
        <w:t xml:space="preserve"> 0.005). Furthermore, HOMA-IR was greater at 3 d</w:t>
      </w:r>
      <w:r w:rsidR="003A6B51">
        <w:rPr>
          <w:rFonts w:asciiTheme="majorBidi" w:hAnsiTheme="majorBidi" w:cstheme="majorBidi"/>
          <w:iCs/>
        </w:rPr>
        <w:t xml:space="preserve"> and 7 d</w:t>
      </w:r>
      <w:r>
        <w:rPr>
          <w:rFonts w:asciiTheme="majorBidi" w:hAnsiTheme="majorBidi" w:cstheme="majorBidi"/>
          <w:iCs/>
        </w:rPr>
        <w:t xml:space="preserve"> of the HE-HFD compared with control </w:t>
      </w:r>
      <w:r w:rsidRPr="00192B96">
        <w:rPr>
          <w:rFonts w:asciiTheme="majorBidi" w:hAnsiTheme="majorBidi" w:cstheme="majorBidi"/>
          <w:iCs/>
        </w:rPr>
        <w:t>(</w:t>
      </w:r>
      <w:r w:rsidR="003A6B51">
        <w:rPr>
          <w:rFonts w:asciiTheme="majorBidi" w:hAnsiTheme="majorBidi" w:cstheme="majorBidi"/>
          <w:iCs/>
        </w:rPr>
        <w:t xml:space="preserve">both </w:t>
      </w:r>
      <w:r>
        <w:rPr>
          <w:rFonts w:asciiTheme="majorBidi" w:hAnsiTheme="majorBidi" w:cstheme="majorBidi"/>
          <w:iCs/>
        </w:rPr>
        <w:t xml:space="preserve">ES </w:t>
      </w:r>
      <w:r w:rsidR="00B3173F">
        <w:rPr>
          <w:rFonts w:asciiTheme="majorBidi" w:hAnsiTheme="majorBidi" w:cstheme="majorBidi"/>
          <w:iCs/>
        </w:rPr>
        <w:t>≥</w:t>
      </w:r>
      <w:r>
        <w:rPr>
          <w:rFonts w:asciiTheme="majorBidi" w:hAnsiTheme="majorBidi" w:cstheme="majorBidi"/>
          <w:iCs/>
        </w:rPr>
        <w:t xml:space="preserve"> </w:t>
      </w:r>
      <w:r w:rsidR="00B3173F">
        <w:rPr>
          <w:rFonts w:asciiTheme="majorBidi" w:hAnsiTheme="majorBidi" w:cstheme="majorBidi"/>
          <w:iCs/>
        </w:rPr>
        <w:t>0.99</w:t>
      </w:r>
      <w:r>
        <w:rPr>
          <w:rFonts w:asciiTheme="majorBidi" w:hAnsiTheme="majorBidi" w:cstheme="majorBidi"/>
          <w:iCs/>
        </w:rPr>
        <w:t xml:space="preserve">, </w:t>
      </w:r>
      <w:r w:rsidRPr="00192B96">
        <w:rPr>
          <w:rFonts w:asciiTheme="majorBidi" w:hAnsiTheme="majorBidi" w:cstheme="majorBidi"/>
          <w:i/>
          <w:iCs/>
        </w:rPr>
        <w:t xml:space="preserve">P </w:t>
      </w:r>
      <w:r w:rsidR="00B3173F" w:rsidRPr="00E02412">
        <w:rPr>
          <w:rFonts w:asciiTheme="majorBidi" w:hAnsiTheme="majorBidi" w:cstheme="majorBidi"/>
          <w:iCs/>
        </w:rPr>
        <w:sym w:font="Symbol" w:char="F0A3"/>
      </w:r>
      <w:r w:rsidRPr="00192B96">
        <w:rPr>
          <w:rFonts w:asciiTheme="majorBidi" w:hAnsiTheme="majorBidi" w:cstheme="majorBidi"/>
          <w:iCs/>
        </w:rPr>
        <w:t xml:space="preserve"> 0.0</w:t>
      </w:r>
      <w:r w:rsidR="00CF3CC8">
        <w:rPr>
          <w:rFonts w:asciiTheme="majorBidi" w:hAnsiTheme="majorBidi" w:cstheme="majorBidi"/>
          <w:iCs/>
        </w:rPr>
        <w:t>28</w:t>
      </w:r>
      <w:r w:rsidRPr="00192B96">
        <w:rPr>
          <w:rFonts w:asciiTheme="majorBidi" w:hAnsiTheme="majorBidi" w:cstheme="majorBidi"/>
          <w:iCs/>
        </w:rPr>
        <w:t>).</w:t>
      </w:r>
      <w:r w:rsidRPr="001F17B0">
        <w:rPr>
          <w:rFonts w:asciiTheme="majorBidi" w:hAnsiTheme="majorBidi" w:cstheme="majorBidi"/>
          <w:iCs/>
        </w:rPr>
        <w:t xml:space="preserve"> No differences were observed in </w:t>
      </w:r>
      <w:r>
        <w:rPr>
          <w:rFonts w:asciiTheme="majorBidi" w:hAnsiTheme="majorBidi" w:cstheme="majorBidi"/>
          <w:iCs/>
        </w:rPr>
        <w:t xml:space="preserve">the fasting plasma insulin, NEFA, ALT, AST, GGT and Adipo-IR responses to the two dietary interventions (all </w:t>
      </w:r>
      <w:r>
        <w:rPr>
          <w:rFonts w:asciiTheme="majorBidi" w:hAnsiTheme="majorBidi" w:cstheme="majorBidi"/>
          <w:i/>
          <w:iCs/>
        </w:rPr>
        <w:t xml:space="preserve">P </w:t>
      </w:r>
      <w:r>
        <w:rPr>
          <w:rFonts w:asciiTheme="majorBidi" w:hAnsiTheme="majorBidi" w:cstheme="majorBidi"/>
          <w:iCs/>
        </w:rPr>
        <w:sym w:font="Symbol" w:char="F0B3"/>
      </w:r>
      <w:r>
        <w:rPr>
          <w:rFonts w:asciiTheme="majorBidi" w:hAnsiTheme="majorBidi" w:cstheme="majorBidi"/>
          <w:iCs/>
        </w:rPr>
        <w:t xml:space="preserve"> 0.09). </w:t>
      </w:r>
    </w:p>
    <w:p w14:paraId="02C296EF" w14:textId="77777777" w:rsidR="002B6691" w:rsidRDefault="002B6691" w:rsidP="002B6691">
      <w:pPr>
        <w:spacing w:line="480" w:lineRule="auto"/>
        <w:jc w:val="both"/>
        <w:rPr>
          <w:rFonts w:asciiTheme="majorBidi" w:hAnsiTheme="majorBidi" w:cstheme="majorBidi"/>
          <w:iCs/>
        </w:rPr>
      </w:pPr>
    </w:p>
    <w:p w14:paraId="7E250465" w14:textId="77777777" w:rsidR="002B6691" w:rsidRPr="0035779E" w:rsidRDefault="002B6691" w:rsidP="002B6691">
      <w:pPr>
        <w:spacing w:line="480" w:lineRule="auto"/>
        <w:jc w:val="center"/>
        <w:rPr>
          <w:rFonts w:asciiTheme="majorBidi" w:hAnsiTheme="majorBidi" w:cstheme="majorBidi"/>
          <w:b/>
          <w:i/>
          <w:iCs/>
        </w:rPr>
      </w:pPr>
      <w:r>
        <w:rPr>
          <w:rFonts w:asciiTheme="majorBidi" w:hAnsiTheme="majorBidi" w:cstheme="majorBidi"/>
          <w:b/>
          <w:i/>
          <w:iCs/>
        </w:rPr>
        <w:t>Insert table 3</w:t>
      </w:r>
    </w:p>
    <w:p w14:paraId="6D269206" w14:textId="77777777" w:rsidR="002B6691" w:rsidRDefault="002B6691" w:rsidP="002B6691">
      <w:pPr>
        <w:spacing w:line="480" w:lineRule="auto"/>
        <w:jc w:val="both"/>
        <w:rPr>
          <w:rFonts w:asciiTheme="majorBidi" w:hAnsiTheme="majorBidi" w:cstheme="majorBidi"/>
          <w:iCs/>
        </w:rPr>
      </w:pPr>
    </w:p>
    <w:p w14:paraId="7BBCE058" w14:textId="5E20A28A" w:rsidR="002B6691" w:rsidRDefault="002B6691" w:rsidP="002B6691">
      <w:pPr>
        <w:spacing w:line="480" w:lineRule="auto"/>
        <w:jc w:val="both"/>
        <w:rPr>
          <w:rFonts w:asciiTheme="majorBidi" w:hAnsiTheme="majorBidi" w:cstheme="majorBidi"/>
          <w:iCs/>
        </w:rPr>
      </w:pPr>
      <w:r>
        <w:rPr>
          <w:rFonts w:asciiTheme="majorBidi" w:hAnsiTheme="majorBidi" w:cstheme="majorBidi"/>
          <w:iCs/>
        </w:rPr>
        <w:t xml:space="preserve">The postprandial metabolic responses to the 2 h OGTTs before and after the control diet and HE-HFD are shown in Figure </w:t>
      </w:r>
      <w:r w:rsidR="00FB2072">
        <w:rPr>
          <w:rFonts w:asciiTheme="majorBidi" w:hAnsiTheme="majorBidi" w:cstheme="majorBidi"/>
          <w:iCs/>
        </w:rPr>
        <w:t>3</w:t>
      </w:r>
      <w:r>
        <w:rPr>
          <w:rFonts w:asciiTheme="majorBidi" w:hAnsiTheme="majorBidi" w:cstheme="majorBidi"/>
          <w:iCs/>
        </w:rPr>
        <w:t xml:space="preserve">. Glucose AUC, insulin AUC and the Matsuda ISI were not different at baseline (all </w:t>
      </w:r>
      <w:r>
        <w:rPr>
          <w:rFonts w:asciiTheme="majorBidi" w:hAnsiTheme="majorBidi" w:cstheme="majorBidi"/>
          <w:i/>
          <w:iCs/>
        </w:rPr>
        <w:t xml:space="preserve">P </w:t>
      </w:r>
      <w:r>
        <w:rPr>
          <w:rFonts w:asciiTheme="majorBidi" w:hAnsiTheme="majorBidi" w:cstheme="majorBidi"/>
          <w:iCs/>
        </w:rPr>
        <w:sym w:font="Symbol" w:char="F0B3"/>
      </w:r>
      <w:r>
        <w:rPr>
          <w:rFonts w:asciiTheme="majorBidi" w:hAnsiTheme="majorBidi" w:cstheme="majorBidi"/>
          <w:iCs/>
        </w:rPr>
        <w:t xml:space="preserve"> 0.30). There were no main effects of diet, or diet by time, for the glucose and insulin</w:t>
      </w:r>
      <w:r w:rsidR="00B042D6">
        <w:rPr>
          <w:rFonts w:asciiTheme="majorBidi" w:hAnsiTheme="majorBidi" w:cstheme="majorBidi"/>
          <w:iCs/>
        </w:rPr>
        <w:t xml:space="preserve"> AUC</w:t>
      </w:r>
      <w:r>
        <w:rPr>
          <w:rFonts w:asciiTheme="majorBidi" w:hAnsiTheme="majorBidi" w:cstheme="majorBidi"/>
          <w:iCs/>
        </w:rPr>
        <w:t xml:space="preserve">. However, significant main effects of diet, and diet by time, were </w:t>
      </w:r>
      <w:r>
        <w:rPr>
          <w:rFonts w:asciiTheme="majorBidi" w:hAnsiTheme="majorBidi" w:cstheme="majorBidi"/>
          <w:iCs/>
        </w:rPr>
        <w:lastRenderedPageBreak/>
        <w:t xml:space="preserve">observed for the Matsuda ISI (both </w:t>
      </w:r>
      <w:r>
        <w:rPr>
          <w:rFonts w:asciiTheme="majorBidi" w:hAnsiTheme="majorBidi" w:cstheme="majorBidi"/>
          <w:i/>
          <w:iCs/>
        </w:rPr>
        <w:t xml:space="preserve">P </w:t>
      </w:r>
      <w:r w:rsidRPr="00E02412">
        <w:rPr>
          <w:rFonts w:asciiTheme="majorBidi" w:hAnsiTheme="majorBidi" w:cstheme="majorBidi"/>
          <w:iCs/>
        </w:rPr>
        <w:sym w:font="Symbol" w:char="F0A3"/>
      </w:r>
      <w:r>
        <w:rPr>
          <w:rFonts w:asciiTheme="majorBidi" w:hAnsiTheme="majorBidi" w:cstheme="majorBidi"/>
          <w:iCs/>
        </w:rPr>
        <w:t xml:space="preserve"> 0.</w:t>
      </w:r>
      <w:r w:rsidRPr="000E1C62">
        <w:rPr>
          <w:rFonts w:asciiTheme="majorBidi" w:hAnsiTheme="majorBidi" w:cstheme="majorBidi"/>
          <w:iCs/>
        </w:rPr>
        <w:t>036)</w:t>
      </w:r>
      <w:r w:rsidR="000C48EC" w:rsidRPr="000E1C62">
        <w:rPr>
          <w:rFonts w:asciiTheme="majorBidi" w:hAnsiTheme="majorBidi" w:cstheme="majorBidi"/>
          <w:iCs/>
        </w:rPr>
        <w:t>,</w:t>
      </w:r>
      <w:r w:rsidRPr="000E1C62">
        <w:rPr>
          <w:rFonts w:asciiTheme="majorBidi" w:hAnsiTheme="majorBidi" w:cstheme="majorBidi"/>
          <w:iCs/>
        </w:rPr>
        <w:t xml:space="preserve"> </w:t>
      </w:r>
      <w:r w:rsidR="001E5C65" w:rsidRPr="000E1C62">
        <w:rPr>
          <w:rFonts w:asciiTheme="majorBidi" w:hAnsiTheme="majorBidi" w:cstheme="majorBidi"/>
          <w:iCs/>
        </w:rPr>
        <w:t>which</w:t>
      </w:r>
      <w:r w:rsidRPr="000E1C62">
        <w:rPr>
          <w:rFonts w:asciiTheme="majorBidi" w:hAnsiTheme="majorBidi" w:cstheme="majorBidi"/>
          <w:iCs/>
        </w:rPr>
        <w:t xml:space="preserve"> was lower</w:t>
      </w:r>
      <w:r>
        <w:rPr>
          <w:rFonts w:asciiTheme="majorBidi" w:hAnsiTheme="majorBidi" w:cstheme="majorBidi"/>
          <w:iCs/>
        </w:rPr>
        <w:t xml:space="preserve"> </w:t>
      </w:r>
      <w:r w:rsidR="00A2394B">
        <w:rPr>
          <w:rFonts w:asciiTheme="majorBidi" w:hAnsiTheme="majorBidi" w:cstheme="majorBidi"/>
          <w:iCs/>
        </w:rPr>
        <w:t xml:space="preserve">after </w:t>
      </w:r>
      <w:r>
        <w:rPr>
          <w:rFonts w:asciiTheme="majorBidi" w:hAnsiTheme="majorBidi" w:cstheme="majorBidi"/>
          <w:iCs/>
        </w:rPr>
        <w:t>the HE-HFD when compared to control</w:t>
      </w:r>
      <w:r w:rsidR="000C48EC">
        <w:rPr>
          <w:rFonts w:asciiTheme="majorBidi" w:hAnsiTheme="majorBidi" w:cstheme="majorBidi"/>
          <w:iCs/>
        </w:rPr>
        <w:t xml:space="preserve"> </w:t>
      </w:r>
      <w:r>
        <w:rPr>
          <w:rFonts w:asciiTheme="majorBidi" w:hAnsiTheme="majorBidi" w:cstheme="majorBidi"/>
          <w:iCs/>
        </w:rPr>
        <w:t xml:space="preserve">(ES = 0.62, </w:t>
      </w:r>
      <w:r>
        <w:rPr>
          <w:rFonts w:asciiTheme="majorBidi" w:hAnsiTheme="majorBidi" w:cstheme="majorBidi"/>
          <w:i/>
          <w:iCs/>
        </w:rPr>
        <w:t xml:space="preserve">P </w:t>
      </w:r>
      <w:r>
        <w:rPr>
          <w:rFonts w:asciiTheme="majorBidi" w:hAnsiTheme="majorBidi" w:cstheme="majorBidi"/>
          <w:iCs/>
        </w:rPr>
        <w:t>= 0.021), indicating a reduction in whole</w:t>
      </w:r>
      <w:r w:rsidR="000C48EC">
        <w:rPr>
          <w:rFonts w:asciiTheme="majorBidi" w:hAnsiTheme="majorBidi" w:cstheme="majorBidi"/>
          <w:iCs/>
        </w:rPr>
        <w:t>-</w:t>
      </w:r>
      <w:r>
        <w:rPr>
          <w:rFonts w:asciiTheme="majorBidi" w:hAnsiTheme="majorBidi" w:cstheme="majorBidi"/>
          <w:iCs/>
        </w:rPr>
        <w:t>body insulin sensitivity.</w:t>
      </w:r>
    </w:p>
    <w:p w14:paraId="17F78D07" w14:textId="77777777" w:rsidR="002B6691" w:rsidRDefault="002B6691" w:rsidP="002B6691">
      <w:pPr>
        <w:spacing w:line="480" w:lineRule="auto"/>
        <w:jc w:val="both"/>
        <w:rPr>
          <w:rFonts w:asciiTheme="majorBidi" w:hAnsiTheme="majorBidi" w:cstheme="majorBidi"/>
          <w:iCs/>
        </w:rPr>
      </w:pPr>
    </w:p>
    <w:p w14:paraId="54E2661B" w14:textId="71A8CA95" w:rsidR="002B6691" w:rsidRPr="0019574F" w:rsidRDefault="002B6691" w:rsidP="002B6691">
      <w:pPr>
        <w:spacing w:line="480" w:lineRule="auto"/>
        <w:jc w:val="center"/>
        <w:rPr>
          <w:rFonts w:asciiTheme="majorBidi" w:hAnsiTheme="majorBidi" w:cstheme="majorBidi"/>
          <w:bCs/>
        </w:rPr>
      </w:pPr>
      <w:r>
        <w:rPr>
          <w:rFonts w:asciiTheme="majorBidi" w:hAnsiTheme="majorBidi" w:cstheme="majorBidi"/>
          <w:b/>
          <w:i/>
          <w:iCs/>
        </w:rPr>
        <w:t xml:space="preserve">Insert figure </w:t>
      </w:r>
      <w:r w:rsidR="00FB2072">
        <w:rPr>
          <w:rFonts w:asciiTheme="majorBidi" w:hAnsiTheme="majorBidi" w:cstheme="majorBidi"/>
          <w:b/>
          <w:i/>
          <w:iCs/>
        </w:rPr>
        <w:t>3</w:t>
      </w:r>
    </w:p>
    <w:p w14:paraId="16A58A3E" w14:textId="77777777" w:rsidR="006179FB" w:rsidRDefault="00D25988" w:rsidP="007275DD">
      <w:pPr>
        <w:spacing w:line="480" w:lineRule="auto"/>
        <w:jc w:val="both"/>
        <w:rPr>
          <w:rFonts w:asciiTheme="majorBidi" w:hAnsiTheme="majorBidi" w:cstheme="majorBidi"/>
          <w:b/>
          <w:bCs/>
        </w:rPr>
      </w:pPr>
      <w:r>
        <w:rPr>
          <w:rFonts w:asciiTheme="majorBidi" w:hAnsiTheme="majorBidi" w:cstheme="majorBidi"/>
          <w:b/>
          <w:bCs/>
        </w:rPr>
        <w:br w:type="page"/>
      </w:r>
      <w:r w:rsidR="00A41EAF">
        <w:rPr>
          <w:rFonts w:asciiTheme="majorBidi" w:hAnsiTheme="majorBidi" w:cstheme="majorBidi"/>
          <w:b/>
          <w:bCs/>
        </w:rPr>
        <w:lastRenderedPageBreak/>
        <w:t>Discussion</w:t>
      </w:r>
    </w:p>
    <w:p w14:paraId="57F7B858" w14:textId="10185104" w:rsidR="00DB137B" w:rsidRPr="006B4DD3" w:rsidRDefault="005C4DC7" w:rsidP="007275DD">
      <w:pPr>
        <w:spacing w:line="480" w:lineRule="auto"/>
        <w:jc w:val="both"/>
        <w:rPr>
          <w:rFonts w:asciiTheme="majorBidi" w:hAnsiTheme="majorBidi" w:cstheme="majorBidi"/>
          <w:bCs/>
        </w:rPr>
      </w:pPr>
      <w:r>
        <w:rPr>
          <w:rFonts w:asciiTheme="majorBidi" w:hAnsiTheme="majorBidi" w:cstheme="majorBidi"/>
          <w:bCs/>
        </w:rPr>
        <w:t xml:space="preserve">The aim of </w:t>
      </w:r>
      <w:r w:rsidR="004634EC">
        <w:rPr>
          <w:rFonts w:asciiTheme="majorBidi" w:hAnsiTheme="majorBidi" w:cstheme="majorBidi"/>
          <w:bCs/>
        </w:rPr>
        <w:t>this</w:t>
      </w:r>
      <w:r>
        <w:rPr>
          <w:rFonts w:asciiTheme="majorBidi" w:hAnsiTheme="majorBidi" w:cstheme="majorBidi"/>
          <w:bCs/>
        </w:rPr>
        <w:t xml:space="preserve"> study was </w:t>
      </w:r>
      <w:r w:rsidR="00867DFB">
        <w:rPr>
          <w:rFonts w:asciiTheme="majorBidi" w:hAnsiTheme="majorBidi" w:cstheme="majorBidi"/>
          <w:bCs/>
        </w:rPr>
        <w:t xml:space="preserve">to determine the </w:t>
      </w:r>
      <w:r w:rsidR="00324D6C">
        <w:rPr>
          <w:rFonts w:asciiTheme="majorBidi" w:hAnsiTheme="majorBidi" w:cstheme="majorBidi"/>
          <w:bCs/>
        </w:rPr>
        <w:t>sensitivity of</w:t>
      </w:r>
      <w:r w:rsidR="00141A74">
        <w:rPr>
          <w:rFonts w:asciiTheme="majorBidi" w:hAnsiTheme="majorBidi" w:cstheme="majorBidi"/>
          <w:bCs/>
        </w:rPr>
        <w:t xml:space="preserve"> </w:t>
      </w:r>
      <w:r w:rsidR="00594296">
        <w:rPr>
          <w:rFonts w:asciiTheme="majorBidi" w:hAnsiTheme="majorBidi" w:cstheme="majorBidi"/>
          <w:bCs/>
        </w:rPr>
        <w:t xml:space="preserve">hepatokines to short-term perturbations in energy balance </w:t>
      </w:r>
      <w:r w:rsidR="00DE470F">
        <w:rPr>
          <w:rFonts w:asciiTheme="majorBidi" w:hAnsiTheme="majorBidi" w:cstheme="majorBidi"/>
          <w:bCs/>
        </w:rPr>
        <w:t>induced</w:t>
      </w:r>
      <w:r w:rsidR="00141A74">
        <w:rPr>
          <w:rFonts w:asciiTheme="majorBidi" w:hAnsiTheme="majorBidi" w:cstheme="majorBidi"/>
          <w:bCs/>
        </w:rPr>
        <w:t xml:space="preserve"> by a controlled period of high-fat overfeeding; and to examine the time-course of response</w:t>
      </w:r>
      <w:r w:rsidR="005B78C8">
        <w:rPr>
          <w:rFonts w:asciiTheme="majorBidi" w:hAnsiTheme="majorBidi" w:cstheme="majorBidi"/>
          <w:bCs/>
        </w:rPr>
        <w:t>s</w:t>
      </w:r>
      <w:r w:rsidR="00141A74">
        <w:rPr>
          <w:rFonts w:asciiTheme="majorBidi" w:hAnsiTheme="majorBidi" w:cstheme="majorBidi"/>
          <w:bCs/>
        </w:rPr>
        <w:t xml:space="preserve"> over seven days. </w:t>
      </w:r>
      <w:r w:rsidR="00874720">
        <w:rPr>
          <w:rFonts w:asciiTheme="majorBidi" w:hAnsiTheme="majorBidi" w:cstheme="majorBidi"/>
          <w:bCs/>
        </w:rPr>
        <w:t xml:space="preserve">The </w:t>
      </w:r>
      <w:r w:rsidR="00371355">
        <w:rPr>
          <w:rFonts w:asciiTheme="majorBidi" w:hAnsiTheme="majorBidi" w:cstheme="majorBidi"/>
          <w:bCs/>
        </w:rPr>
        <w:t xml:space="preserve">primary </w:t>
      </w:r>
      <w:r w:rsidR="00874720">
        <w:rPr>
          <w:rFonts w:asciiTheme="majorBidi" w:hAnsiTheme="majorBidi" w:cstheme="majorBidi"/>
          <w:bCs/>
        </w:rPr>
        <w:t xml:space="preserve">findings </w:t>
      </w:r>
      <w:r w:rsidR="007E377E">
        <w:rPr>
          <w:rFonts w:asciiTheme="majorBidi" w:hAnsiTheme="majorBidi" w:cstheme="majorBidi"/>
          <w:bCs/>
        </w:rPr>
        <w:t>identified within this study</w:t>
      </w:r>
      <w:r w:rsidR="009A15EF">
        <w:rPr>
          <w:rFonts w:asciiTheme="majorBidi" w:hAnsiTheme="majorBidi" w:cstheme="majorBidi"/>
          <w:bCs/>
        </w:rPr>
        <w:t xml:space="preserve"> </w:t>
      </w:r>
      <w:r w:rsidR="00B34592">
        <w:rPr>
          <w:rFonts w:asciiTheme="majorBidi" w:hAnsiTheme="majorBidi" w:cstheme="majorBidi"/>
          <w:bCs/>
        </w:rPr>
        <w:t>are</w:t>
      </w:r>
      <w:r w:rsidR="00943460">
        <w:rPr>
          <w:rFonts w:asciiTheme="majorBidi" w:hAnsiTheme="majorBidi" w:cstheme="majorBidi"/>
          <w:bCs/>
        </w:rPr>
        <w:t xml:space="preserve"> that</w:t>
      </w:r>
      <w:r w:rsidR="00B34592">
        <w:rPr>
          <w:rFonts w:asciiTheme="majorBidi" w:hAnsiTheme="majorBidi" w:cstheme="majorBidi"/>
          <w:bCs/>
        </w:rPr>
        <w:t xml:space="preserve"> both </w:t>
      </w:r>
      <w:r w:rsidR="00943460">
        <w:rPr>
          <w:rFonts w:asciiTheme="majorBidi" w:hAnsiTheme="majorBidi" w:cstheme="majorBidi"/>
          <w:bCs/>
        </w:rPr>
        <w:t xml:space="preserve">circulating </w:t>
      </w:r>
      <w:r w:rsidR="00D74DE0">
        <w:rPr>
          <w:rFonts w:asciiTheme="majorBidi" w:hAnsiTheme="majorBidi" w:cstheme="majorBidi"/>
          <w:bCs/>
        </w:rPr>
        <w:t>FGF21</w:t>
      </w:r>
      <w:r w:rsidR="00943460">
        <w:rPr>
          <w:rFonts w:asciiTheme="majorBidi" w:hAnsiTheme="majorBidi" w:cstheme="majorBidi"/>
          <w:bCs/>
        </w:rPr>
        <w:t xml:space="preserve"> and </w:t>
      </w:r>
      <w:r w:rsidR="00D74DE0">
        <w:rPr>
          <w:rFonts w:asciiTheme="majorBidi" w:hAnsiTheme="majorBidi" w:cstheme="majorBidi"/>
          <w:bCs/>
        </w:rPr>
        <w:t>LECT2</w:t>
      </w:r>
      <w:r w:rsidR="00943460">
        <w:rPr>
          <w:rFonts w:asciiTheme="majorBidi" w:hAnsiTheme="majorBidi" w:cstheme="majorBidi"/>
          <w:bCs/>
        </w:rPr>
        <w:t xml:space="preserve"> </w:t>
      </w:r>
      <w:r w:rsidR="00731DBE">
        <w:rPr>
          <w:rFonts w:asciiTheme="majorBidi" w:hAnsiTheme="majorBidi" w:cstheme="majorBidi"/>
          <w:bCs/>
        </w:rPr>
        <w:t>respond dynamically</w:t>
      </w:r>
      <w:r w:rsidR="00781D5A">
        <w:rPr>
          <w:rFonts w:asciiTheme="majorBidi" w:hAnsiTheme="majorBidi" w:cstheme="majorBidi"/>
          <w:bCs/>
        </w:rPr>
        <w:t xml:space="preserve"> (within 1-3 days)</w:t>
      </w:r>
      <w:r w:rsidR="00943460">
        <w:rPr>
          <w:rFonts w:asciiTheme="majorBidi" w:hAnsiTheme="majorBidi" w:cstheme="majorBidi"/>
          <w:bCs/>
        </w:rPr>
        <w:t xml:space="preserve"> </w:t>
      </w:r>
      <w:r w:rsidR="0011050B">
        <w:rPr>
          <w:rFonts w:asciiTheme="majorBidi" w:hAnsiTheme="majorBidi" w:cstheme="majorBidi"/>
          <w:bCs/>
        </w:rPr>
        <w:t>to hyper-energetic, high-fat feeding</w:t>
      </w:r>
      <w:r w:rsidR="00946B06">
        <w:rPr>
          <w:rFonts w:asciiTheme="majorBidi" w:hAnsiTheme="majorBidi" w:cstheme="majorBidi"/>
          <w:bCs/>
        </w:rPr>
        <w:t xml:space="preserve"> in </w:t>
      </w:r>
      <w:r w:rsidR="00DE638D">
        <w:rPr>
          <w:rFonts w:asciiTheme="majorBidi" w:hAnsiTheme="majorBidi" w:cstheme="majorBidi"/>
          <w:bCs/>
        </w:rPr>
        <w:t>healthy human</w:t>
      </w:r>
      <w:r w:rsidR="00F75F47">
        <w:rPr>
          <w:rFonts w:asciiTheme="majorBidi" w:hAnsiTheme="majorBidi" w:cstheme="majorBidi"/>
          <w:bCs/>
        </w:rPr>
        <w:t>s</w:t>
      </w:r>
      <w:r w:rsidR="001F6B61" w:rsidRPr="00176381">
        <w:rPr>
          <w:rFonts w:asciiTheme="majorBidi" w:hAnsiTheme="majorBidi" w:cstheme="majorBidi"/>
          <w:bCs/>
        </w:rPr>
        <w:t xml:space="preserve">; </w:t>
      </w:r>
      <w:r w:rsidR="00E95DA1" w:rsidRPr="00176381">
        <w:rPr>
          <w:rFonts w:asciiTheme="majorBidi" w:hAnsiTheme="majorBidi" w:cstheme="majorBidi"/>
          <w:bCs/>
        </w:rPr>
        <w:t>whilst small elevations in fetuin-A begin to occur after seven days</w:t>
      </w:r>
      <w:r w:rsidR="00A809B8" w:rsidRPr="00176381">
        <w:rPr>
          <w:rFonts w:asciiTheme="majorBidi" w:hAnsiTheme="majorBidi" w:cstheme="majorBidi"/>
          <w:bCs/>
        </w:rPr>
        <w:t xml:space="preserve">. </w:t>
      </w:r>
      <w:r w:rsidR="00221B77" w:rsidRPr="00176381">
        <w:rPr>
          <w:rFonts w:asciiTheme="majorBidi" w:hAnsiTheme="majorBidi" w:cstheme="majorBidi"/>
          <w:bCs/>
        </w:rPr>
        <w:t>Conversely</w:t>
      </w:r>
      <w:r w:rsidR="00E95DA1">
        <w:rPr>
          <w:rFonts w:asciiTheme="majorBidi" w:hAnsiTheme="majorBidi" w:cstheme="majorBidi"/>
          <w:bCs/>
        </w:rPr>
        <w:t xml:space="preserve">, </w:t>
      </w:r>
      <w:r w:rsidR="009F77C7">
        <w:rPr>
          <w:rFonts w:asciiTheme="majorBidi" w:hAnsiTheme="majorBidi" w:cstheme="majorBidi"/>
          <w:bCs/>
        </w:rPr>
        <w:t xml:space="preserve">fetuin-B and SeP </w:t>
      </w:r>
      <w:r w:rsidR="00D41EDD">
        <w:rPr>
          <w:rFonts w:asciiTheme="majorBidi" w:hAnsiTheme="majorBidi" w:cstheme="majorBidi"/>
          <w:bCs/>
        </w:rPr>
        <w:t>are</w:t>
      </w:r>
      <w:r w:rsidR="004B3F14">
        <w:rPr>
          <w:rFonts w:asciiTheme="majorBidi" w:hAnsiTheme="majorBidi" w:cstheme="majorBidi"/>
          <w:bCs/>
        </w:rPr>
        <w:t xml:space="preserve"> unresponsive</w:t>
      </w:r>
      <w:r w:rsidR="002916BE">
        <w:rPr>
          <w:rFonts w:asciiTheme="majorBidi" w:hAnsiTheme="majorBidi" w:cstheme="majorBidi"/>
          <w:bCs/>
        </w:rPr>
        <w:t xml:space="preserve"> to this nutritional challenge</w:t>
      </w:r>
      <w:r w:rsidR="0053742F">
        <w:rPr>
          <w:rFonts w:asciiTheme="majorBidi" w:hAnsiTheme="majorBidi" w:cstheme="majorBidi"/>
          <w:bCs/>
        </w:rPr>
        <w:t xml:space="preserve">. </w:t>
      </w:r>
    </w:p>
    <w:p w14:paraId="4AD339F6" w14:textId="12B4F1F3" w:rsidR="00C81352" w:rsidRDefault="00954E06" w:rsidP="003E1817">
      <w:pPr>
        <w:spacing w:line="480" w:lineRule="auto"/>
        <w:jc w:val="both"/>
        <w:rPr>
          <w:rFonts w:asciiTheme="majorBidi" w:hAnsiTheme="majorBidi" w:cstheme="majorBidi"/>
          <w:bCs/>
        </w:rPr>
      </w:pPr>
      <w:r>
        <w:rPr>
          <w:rFonts w:asciiTheme="majorBidi" w:hAnsiTheme="majorBidi" w:cstheme="majorBidi"/>
          <w:bCs/>
        </w:rPr>
        <w:t xml:space="preserve">Despite </w:t>
      </w:r>
      <w:r w:rsidR="004339FA">
        <w:rPr>
          <w:rFonts w:asciiTheme="majorBidi" w:hAnsiTheme="majorBidi" w:cstheme="majorBidi"/>
          <w:bCs/>
        </w:rPr>
        <w:t>a constant level of increased energy and fat intake during the seven</w:t>
      </w:r>
      <w:r w:rsidR="00E95DA1">
        <w:rPr>
          <w:rFonts w:asciiTheme="majorBidi" w:hAnsiTheme="majorBidi" w:cstheme="majorBidi"/>
          <w:bCs/>
        </w:rPr>
        <w:t>-</w:t>
      </w:r>
      <w:r w:rsidR="004339FA">
        <w:rPr>
          <w:rFonts w:asciiTheme="majorBidi" w:hAnsiTheme="majorBidi" w:cstheme="majorBidi"/>
          <w:bCs/>
        </w:rPr>
        <w:t>day HE-HFD</w:t>
      </w:r>
      <w:r w:rsidR="00C07CB6">
        <w:rPr>
          <w:rFonts w:asciiTheme="majorBidi" w:hAnsiTheme="majorBidi" w:cstheme="majorBidi"/>
          <w:bCs/>
        </w:rPr>
        <w:t xml:space="preserve">, </w:t>
      </w:r>
      <w:r w:rsidR="00C11566">
        <w:rPr>
          <w:rFonts w:asciiTheme="majorBidi" w:hAnsiTheme="majorBidi" w:cstheme="majorBidi"/>
          <w:bCs/>
        </w:rPr>
        <w:t xml:space="preserve">we observed a </w:t>
      </w:r>
      <w:r w:rsidR="00B45AA9">
        <w:rPr>
          <w:rFonts w:asciiTheme="majorBidi" w:hAnsiTheme="majorBidi" w:cstheme="majorBidi"/>
          <w:bCs/>
        </w:rPr>
        <w:t xml:space="preserve">striking </w:t>
      </w:r>
      <w:r w:rsidR="006A042E">
        <w:rPr>
          <w:rFonts w:asciiTheme="majorBidi" w:hAnsiTheme="majorBidi" w:cstheme="majorBidi"/>
          <w:bCs/>
        </w:rPr>
        <w:t>increase in circulating FGF21 concentrations</w:t>
      </w:r>
      <w:r w:rsidR="0019122B">
        <w:rPr>
          <w:rFonts w:asciiTheme="majorBidi" w:hAnsiTheme="majorBidi" w:cstheme="majorBidi"/>
          <w:bCs/>
        </w:rPr>
        <w:t xml:space="preserve"> after one day of the HE-HFD</w:t>
      </w:r>
      <w:r w:rsidR="006B7085">
        <w:rPr>
          <w:rFonts w:asciiTheme="majorBidi" w:hAnsiTheme="majorBidi" w:cstheme="majorBidi"/>
          <w:bCs/>
        </w:rPr>
        <w:t xml:space="preserve">; </w:t>
      </w:r>
      <w:r w:rsidR="00B92E89">
        <w:rPr>
          <w:rFonts w:asciiTheme="majorBidi" w:hAnsiTheme="majorBidi" w:cstheme="majorBidi"/>
          <w:bCs/>
        </w:rPr>
        <w:t>which was marginally increased</w:t>
      </w:r>
      <w:r w:rsidR="006B7085">
        <w:rPr>
          <w:rFonts w:asciiTheme="majorBidi" w:hAnsiTheme="majorBidi" w:cstheme="majorBidi"/>
          <w:bCs/>
        </w:rPr>
        <w:t xml:space="preserve"> further after three days; before declining to </w:t>
      </w:r>
      <w:r w:rsidR="00A4193A">
        <w:rPr>
          <w:rFonts w:asciiTheme="majorBidi" w:hAnsiTheme="majorBidi" w:cstheme="majorBidi"/>
          <w:bCs/>
        </w:rPr>
        <w:t>pre-diet</w:t>
      </w:r>
      <w:r w:rsidR="00437250">
        <w:rPr>
          <w:rFonts w:asciiTheme="majorBidi" w:hAnsiTheme="majorBidi" w:cstheme="majorBidi"/>
          <w:bCs/>
        </w:rPr>
        <w:t xml:space="preserve"> levels after seven days. </w:t>
      </w:r>
      <w:r w:rsidR="00555854">
        <w:rPr>
          <w:rFonts w:asciiTheme="majorBidi" w:hAnsiTheme="majorBidi" w:cstheme="majorBidi"/>
          <w:bCs/>
        </w:rPr>
        <w:t>In agreement</w:t>
      </w:r>
      <w:r w:rsidR="000F0748">
        <w:rPr>
          <w:rFonts w:asciiTheme="majorBidi" w:hAnsiTheme="majorBidi" w:cstheme="majorBidi"/>
          <w:bCs/>
        </w:rPr>
        <w:t xml:space="preserve">, we previously </w:t>
      </w:r>
      <w:r w:rsidR="000770B7">
        <w:rPr>
          <w:rFonts w:asciiTheme="majorBidi" w:hAnsiTheme="majorBidi" w:cstheme="majorBidi"/>
          <w:bCs/>
        </w:rPr>
        <w:t xml:space="preserve">observed </w:t>
      </w:r>
      <w:r w:rsidR="00B45AA9">
        <w:rPr>
          <w:rFonts w:asciiTheme="majorBidi" w:hAnsiTheme="majorBidi" w:cstheme="majorBidi"/>
          <w:bCs/>
        </w:rPr>
        <w:t>with</w:t>
      </w:r>
      <w:r w:rsidR="000770B7">
        <w:rPr>
          <w:rFonts w:asciiTheme="majorBidi" w:hAnsiTheme="majorBidi" w:cstheme="majorBidi"/>
          <w:bCs/>
        </w:rPr>
        <w:t>i</w:t>
      </w:r>
      <w:r w:rsidR="00B45AA9">
        <w:rPr>
          <w:rFonts w:asciiTheme="majorBidi" w:hAnsiTheme="majorBidi" w:cstheme="majorBidi"/>
          <w:bCs/>
        </w:rPr>
        <w:t xml:space="preserve">n </w:t>
      </w:r>
      <w:r w:rsidR="004B6E11">
        <w:rPr>
          <w:rFonts w:asciiTheme="majorBidi" w:hAnsiTheme="majorBidi" w:cstheme="majorBidi"/>
          <w:bCs/>
        </w:rPr>
        <w:t xml:space="preserve">two </w:t>
      </w:r>
      <w:r w:rsidR="000770B7">
        <w:rPr>
          <w:rFonts w:asciiTheme="majorBidi" w:hAnsiTheme="majorBidi" w:cstheme="majorBidi"/>
          <w:bCs/>
        </w:rPr>
        <w:t xml:space="preserve">separate </w:t>
      </w:r>
      <w:r w:rsidR="004B6E11">
        <w:rPr>
          <w:rFonts w:asciiTheme="majorBidi" w:hAnsiTheme="majorBidi" w:cstheme="majorBidi"/>
          <w:bCs/>
        </w:rPr>
        <w:t xml:space="preserve">pilot experiments </w:t>
      </w:r>
      <w:r w:rsidR="00DA183E">
        <w:rPr>
          <w:rFonts w:asciiTheme="majorBidi" w:hAnsiTheme="majorBidi" w:cstheme="majorBidi"/>
          <w:bCs/>
        </w:rPr>
        <w:t xml:space="preserve">that circulating FGF21 levels were </w:t>
      </w:r>
      <w:r w:rsidR="009C7776">
        <w:rPr>
          <w:rFonts w:asciiTheme="majorBidi" w:hAnsiTheme="majorBidi" w:cstheme="majorBidi"/>
          <w:bCs/>
        </w:rPr>
        <w:t>increased</w:t>
      </w:r>
      <w:r w:rsidR="00DA183E">
        <w:rPr>
          <w:rFonts w:asciiTheme="majorBidi" w:hAnsiTheme="majorBidi" w:cstheme="majorBidi"/>
          <w:bCs/>
        </w:rPr>
        <w:t xml:space="preserve"> </w:t>
      </w:r>
      <w:r w:rsidR="00494215">
        <w:rPr>
          <w:rFonts w:asciiTheme="majorBidi" w:hAnsiTheme="majorBidi" w:cstheme="majorBidi"/>
          <w:bCs/>
        </w:rPr>
        <w:t xml:space="preserve">after a one-day-, but not a seven-day, high-fat overfeeding model </w:t>
      </w:r>
      <w:r w:rsidR="005C2DCB"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"10.1080/02640414.2018.1521633", "ISSN" : "0264-0414", "abstract" : "Fibroblast growth factor 21 (FGF21), fetuin-A and follistatin have been identified as hepatokines which are modulated by energy balance and obesity-related conditions (Meex and Watt, 2017, Nature Reviews Endocrinology, 13, 509-520). Recent research suggests that hepatokines may be regulated by acute changes in nutritional status through means such as fasting and overnutrition, with potential to counteract or contribute to associated perturbations in metabolic homeostasis. One-week of high-fat overfeeding (HFO) increases liver fat and impairs insulin sensitivity and glycaemic control in healthy humans. The present study investigated the effects of 1 and 7 d of HFO on circulating hepatokine concentrations. The study comprises of secondary data analysis on blood samples collected from two previous HFO experiments (1 d paper, Parry et al., 2017, Nutrients, 9, 818; 7 d paper under review). Following institutional ethical approval, 26 healthy males were recruited equally to one of two dietary interventions (1 d: age, 23 \u00b1 2 years; BMI, 26.0 \u00b1 3.3; 7 d: age, 25 \u00b1 4 years; BMI, 25.3 \u00b1 2.0) (mean \u00b1 SD). Participants underwent an oral glucose tolerance test (OGTT) immediately before and after either 1 d (1DAY; +78% excess energy above estimated daily requirement, 68% fat) or 7 d (7DAY; +50% excess energy, 65% fat) of HFO. A standard OGTT (75 g glucose) was performed during 1DAY, whilst 7DAY utilised a modified OGTT (50 g glucose and 15 g protein). Fasting plasma FGF21, fetuin-A, follistatin, glucose and serum insulin were assessed before each OGTT, whilst postprandial glycaemic control was assessed using the area under the time-concentration curve (AUC) for circulating glucose and insulin throughout the OGTTs. Plasma FGF21 was elevated by 55% following 1DAY (ES = 0.64; P &lt; 0.05), whilst plasma fetuin-A tended to increase after 7DAY (ES = 0.40; P = 0.089). In contrast, plasma follistatin was unchanged following either intervention (P &gt; 0.05). Fasting plasma glucose and serum insulin were increased after 7DAY (ES \u2265 0.63; P &lt; 0.05), but 1DAY had no effect (P &gt; 0.05). Postprandial glycaemic control was impaired following both diets, demonstrated by an increase in glucose and insulin AUC (1DAY: ES \u2265 0.52, P &lt; 0.05; 7DAY: ES \u2265 0.81, P &lt; 0.05). In conclusion, alongside impairments in glycaemic control, circulating FGF21 is acutely elevated following 1 d of HFO, however this response appears to be diminished after 7 d. Conversely, fetuin-A may be increased after 7 d of H\u2026", "author" : [ { "dropping-particle" : "", "family" : "Willis", "given" : "Scott A", "non-dropping-particle" : "", "parse-names" : false, "suffix" : "" }, { "dropping-particle" : "", "family" : "King", "given" : "James A", "non-dropping-particle" : "", "parse-names" : false, "suffix" : "" }, { "dropping-particle" : "", "family" : "Parry", "given" : "Si\u00f4n A", "non-dropping-particle" : "", "parse-names" : false, "suffix" : "" }, { "dropping-particle" : "", "family" : "Woods", "given" : "Rachel M", "non-dropping-particle" : "", "parse-names" : false, "suffix" : "" }, { "dropping-particle" : "", "family" : "Sargeant", "given" : "Jack A", "non-dropping-particle" : "", "parse-names" : false, "suffix" : "" }, { "dropping-particle" : "", "family" : "Hulston", "given" : "Carl J", "non-dropping-particle" : "", "parse-names" : false, "suffix" : "" } ], "container-title" : "BASES Conference 2018 \u2013 Programme and Abstracts", "id" : "ITEM-1", "issue" : "sup1", "issued" : { "date-parts" : [ [ "2018", "11" ] ] }, "page" : "60", "publisher" : "Journal of Sports Sciences", "publisher-place" : "Harrogate", "title" : "The effect of acute, high-fat overfeeding on circulating hepatokine concentrations", "type" : "paper-conference", "volume" : "36" }, "uris" : [ "http://www.mendeley.com/documents/?uuid=b14fbdc1-6cca-4a95-869a-0e0f811f81d8" ] } ], "mendeley" : { "formattedCitation" : "(27)", "plainTextFormattedCitation" : "(27)", "previouslyFormattedCitation" : "(27)" }, "properties" : { "noteIndex" : 17 }, "schema" : "https://github.com/citation-style-language/schema/raw/master/csl-citation.json" }</w:instrText>
      </w:r>
      <w:r w:rsidR="005C2DCB" w:rsidRPr="00D731C5">
        <w:rPr>
          <w:rFonts w:asciiTheme="majorBidi" w:hAnsiTheme="majorBidi" w:cstheme="majorBidi"/>
          <w:bCs/>
        </w:rPr>
        <w:fldChar w:fldCharType="separate"/>
      </w:r>
      <w:r w:rsidR="00D377E6" w:rsidRPr="00D377E6">
        <w:rPr>
          <w:rFonts w:asciiTheme="majorBidi" w:hAnsiTheme="majorBidi" w:cstheme="majorBidi"/>
          <w:bCs/>
          <w:noProof/>
        </w:rPr>
        <w:t>(27)</w:t>
      </w:r>
      <w:r w:rsidR="005C2DCB" w:rsidRPr="00D731C5">
        <w:rPr>
          <w:rFonts w:asciiTheme="majorBidi" w:hAnsiTheme="majorBidi" w:cstheme="majorBidi"/>
          <w:bCs/>
        </w:rPr>
        <w:fldChar w:fldCharType="end"/>
      </w:r>
      <w:r w:rsidR="002D4B51">
        <w:rPr>
          <w:rFonts w:asciiTheme="majorBidi" w:hAnsiTheme="majorBidi" w:cstheme="majorBidi"/>
          <w:bCs/>
        </w:rPr>
        <w:t xml:space="preserve">; whilst other authors </w:t>
      </w:r>
      <w:r w:rsidR="00AA44E3">
        <w:rPr>
          <w:rFonts w:asciiTheme="majorBidi" w:hAnsiTheme="majorBidi" w:cstheme="majorBidi"/>
          <w:bCs/>
        </w:rPr>
        <w:t xml:space="preserve">have also </w:t>
      </w:r>
      <w:r w:rsidR="00555854">
        <w:rPr>
          <w:rFonts w:asciiTheme="majorBidi" w:hAnsiTheme="majorBidi" w:cstheme="majorBidi"/>
          <w:bCs/>
        </w:rPr>
        <w:t>reported</w:t>
      </w:r>
      <w:r w:rsidR="00AA44E3">
        <w:rPr>
          <w:rFonts w:asciiTheme="majorBidi" w:hAnsiTheme="majorBidi" w:cstheme="majorBidi"/>
          <w:bCs/>
        </w:rPr>
        <w:t xml:space="preserve"> </w:t>
      </w:r>
      <w:r w:rsidR="009C7776">
        <w:rPr>
          <w:rFonts w:asciiTheme="majorBidi" w:hAnsiTheme="majorBidi" w:cstheme="majorBidi"/>
          <w:bCs/>
        </w:rPr>
        <w:t>elevated</w:t>
      </w:r>
      <w:r w:rsidR="00AA44E3">
        <w:rPr>
          <w:rFonts w:asciiTheme="majorBidi" w:hAnsiTheme="majorBidi" w:cstheme="majorBidi"/>
          <w:bCs/>
        </w:rPr>
        <w:t xml:space="preserve"> </w:t>
      </w:r>
      <w:r w:rsidR="006B4F4D">
        <w:rPr>
          <w:rFonts w:asciiTheme="majorBidi" w:hAnsiTheme="majorBidi" w:cstheme="majorBidi"/>
          <w:bCs/>
        </w:rPr>
        <w:t xml:space="preserve">circulating FGF21 </w:t>
      </w:r>
      <w:r w:rsidR="004147AC">
        <w:rPr>
          <w:rFonts w:asciiTheme="majorBidi" w:hAnsiTheme="majorBidi" w:cstheme="majorBidi"/>
          <w:bCs/>
        </w:rPr>
        <w:t xml:space="preserve">in response to </w:t>
      </w:r>
      <w:r w:rsidR="002236C9">
        <w:rPr>
          <w:rFonts w:asciiTheme="majorBidi" w:hAnsiTheme="majorBidi" w:cstheme="majorBidi"/>
          <w:bCs/>
        </w:rPr>
        <w:t xml:space="preserve">both three </w:t>
      </w:r>
      <w:r w:rsidR="005C2DCB"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"10.1371/journal.pone.0078864", "ISBN" : "1932-6203 (Electronic)\\r1932-6203 (Linking)", "ISSN" : "1932-6203", "PMID" : "24205333", "abstract" : "CONTEXT: Circulating levels of metabolically protective and adverse cytokines are altered in obese humans and rodent models. However, it is not clear whether these cytokines are altered rapidly in response to over-nutrition, or as a later consequence of the obese state.\\n\\nMETHODS: Forty sedentary healthy individuals were examined prior to and at 3 and 28 days of high fat overfeeding (+1250 kCal/day, 45% fat). Insulin sensitivity (hyperinsulinaemic-euglycaemic clamp), adiposity, serum levels of adiponectin and fibroblast growth factor-21 (FGF21), fatty acid binding protein-4 (FABP4), lipocalin-2 and plasminogen activator factor-1 (PAI1) were assessed. Statistics were performed by repeated measures ANOVA.\\n\\nRESULTS: Overfeeding increased weight, body fat and liver fat, fasting glucose, insulin and reduced insulin sensitivity by clamp (all P &lt;0.05). Metabolically protective cytokines, adiponectin and FGF21 were increased at day 3 of overfeeding (P \u22640.001) and adiponectin was also elevated at day 28 (P=0.001). FABP4, lipocalin-2 and PAI-1 were not changed by overfeeding at either time point.\\n\\nCONCLUSION: Metabolically protective cytokines, adiponectin and FGF-21, were increased by over nutrition and weight gain in healthy humans, despite increases in insulin resistance. We speculate that this was in attempt to maintain glucose homeostasis in a state of nutritional excess. PAI-I, FABP4 and lipocalin 2 were not altered by overfeeding suggesting that changes in these cytokines may be a later consequence of the obese state.\\n\\nCLINICAL TRIAL REGISTRATION: www.clinicaltrials.gov (NCT00562393).", "author" : [ { "dropping-particle" : "", "family" : "Heilbronn", "given" : "Leonie Kaye", "non-dropping-particle" : "", "parse-names" : false, "suffix" : "" }, { "dropping-particle" : "V.", "family" : "Campbell", "given" : "Lesley", "non-dropping-particle" : "", "parse-names" : false, "suffix" : "" }, { "dropping-particle" : "", "family" : "Xu", "given" : "Aimin", "non-dropping-particle" : "", "parse-names" : false, "suffix" : "" }, { "dropping-particle" : "", "family" : "Samocha-Bonet", "given" : "Dorit", "non-dropping-particle" : "", "parse-names" : false, "suffix" : "" } ], "container-title" : "PLoS ONE", "editor" : [ { "dropping-particle" : "", "family" : "Galgani", "given" : "Jose", "non-dropping-particle" : "", "parse-names" : false, "suffix" : "" } ], "id" : "ITEM-1", "issue" : "10", "issued" : { "date-parts" : [ [ "2013", "10", "18" ] ] }, "page" : "e78864", "title" : "Metabolically Protective Cytokines Adiponectin and Fibroblast Growth Factor-21 Are Increased by Acute Overfeeding in Healthy Humans", "type" : "article-journal", "volume" : "8" }, "uris" : [ "http://www.mendeley.com/documents/?uuid=ae797d52-063c-48a1-af64-a915ea8229fb" ] } ], "mendeley" : { "formattedCitation" : "(39)", "plainTextFormattedCitation" : "(39)", "previouslyFormattedCitation" : "(39)" }, "properties" : { "noteIndex" : 17 }, "schema" : "https://github.com/citation-style-language/schema/raw/master/csl-citation.json" }</w:instrText>
      </w:r>
      <w:r w:rsidR="005C2DCB" w:rsidRPr="00A53A85">
        <w:rPr>
          <w:rFonts w:asciiTheme="majorBidi" w:hAnsiTheme="majorBidi" w:cstheme="majorBidi"/>
          <w:bCs/>
        </w:rPr>
        <w:fldChar w:fldCharType="separate"/>
      </w:r>
      <w:r w:rsidR="007B52A5" w:rsidRPr="007B52A5">
        <w:rPr>
          <w:rFonts w:asciiTheme="majorBidi" w:hAnsiTheme="majorBidi" w:cstheme="majorBidi"/>
          <w:bCs/>
          <w:noProof/>
        </w:rPr>
        <w:t>(39)</w:t>
      </w:r>
      <w:r w:rsidR="005C2DCB" w:rsidRPr="00A53A85">
        <w:rPr>
          <w:rFonts w:asciiTheme="majorBidi" w:hAnsiTheme="majorBidi" w:cstheme="majorBidi"/>
          <w:bCs/>
        </w:rPr>
        <w:fldChar w:fldCharType="end"/>
      </w:r>
      <w:r w:rsidR="002236C9">
        <w:rPr>
          <w:rFonts w:asciiTheme="majorBidi" w:hAnsiTheme="majorBidi" w:cstheme="majorBidi"/>
          <w:bCs/>
        </w:rPr>
        <w:t xml:space="preserve"> and </w:t>
      </w:r>
      <w:r w:rsidR="00236893">
        <w:rPr>
          <w:rFonts w:asciiTheme="majorBidi" w:hAnsiTheme="majorBidi" w:cstheme="majorBidi"/>
          <w:bCs/>
        </w:rPr>
        <w:t xml:space="preserve">five days </w:t>
      </w:r>
      <w:r w:rsidR="005C2DCB"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"10.1530/EJE-12-0039", "ISBN" : "1479-683X (Electronic)\\r0804-4643 (Linking)", "ISSN" : "0804-4643", "PMID" : "22529197", "abstract" : "OBJECTIVE: Fibroblast growth factor 21 (FGF21) is a metabolic factor involved in glucose and lipid metabolism. However, little is known about the physiological role of FGF21 during a dietary challenge in humans. RESEARCH DESIGN AND METHODS: Twenty healthy low birth weight (LBW) with known risk of type 2 diabetes and 26 control (normal birth weight (NBW)) young men were subjected to 5 days of high-fat (HF) overfeeding (+50%). Basal and clamp insulin-stimulated serum FGF21 levels were examined before and after the diet, and FGF21 mRNA expression was measured in muscle and fat biopsies respectively. RESULTS: Five days of HF overfeeding diet significantly (P&lt;0.001) increased fasting serum FGF21 levels in both the groups (P&lt;0.001). Furthermore, insulin infusion additionally increased serum FGF21 levels to a similar extent in both the groups. Basal mRNA expression of FGF21 in muscle was near the detection limit and not present in fat in both the groups before and after the dietary challenge. However, insulin significantly (P&lt;0.001) increased FGF21 mRNA in both muscle and fat in both the groups during both diets. CONCLUSION: Short-term HF overfeeding markedly increased serum FGF21 levels in healthy young men with and without LBW but failed to increase muscle or fat FGF21 mRNA levels. This suggests that the liver may be responsible for the rise of serum FGF21 levels during overfeeding. In contrast, the increase in serum FGF21 levels during insulin infusion may arise from increased transcription in muscle and fat. We speculate that increased serum FGF21 levels during HF overfeeding may be a compensatory response to increase fatty acid oxidation and energy expenditure.", "author" : [ { "dropping-particle" : "", "family" : "Vienberg", "given" : "Sara G.", "non-dropping-particle" : "", "parse-names" : false, "suffix" : "" }, { "dropping-particle" : "", "family" : "Br\u00f8ns", "given" : "Charlotte", "non-dropping-particle" : "", "parse-names" : false, "suffix" : "" }, { "dropping-particle" : "", "family" : "Nilsson", "given" : "Emma", "non-dropping-particle" : "", "parse-names" : false, "suffix" : "" }, { "dropping-particle" : "", "family" : "Astrup", "given" : "Arne", "non-dropping-particle" : "", "parse-names" : false, "suffix" : "" }, { "dropping-particle" : "", "family" : "Vaag", "given" : "Allan", "non-dropping-particle" : "", "parse-names" : false, "suffix" : "" }, { "dropping-particle" : "", "family" : "Andersen", "given" : "Birgitte", "non-dropping-particle" : "", "parse-names" : false, "suffix" : "" } ], "container-title" : "European Journal of Endocrinology", "id" : "ITEM-1", "issue" : "1", "issued" : { "date-parts" : [ [ "2012", "7" ] ] }, "page" : "49-57", "title" : "Impact of short-term high-fat feeding and insulin-stimulated FGF21 levels in subjects with low birth weight and controls", "type" : "article-journal", "volume" : "167" }, "uris" : [ "http://www.mendeley.com/documents/?uuid=3d87cb70-aeaa-40d8-9b71-eca4cac02546" ] } ], "mendeley" : { "formattedCitation" : "(40)", "plainTextFormattedCitation" : "(40)", "previouslyFormattedCitation" : "(40)" }, "properties" : { "noteIndex" : 17 }, "schema" : "https://github.com/citation-style-language/schema/raw/master/csl-citation.json" }</w:instrText>
      </w:r>
      <w:r w:rsidR="005C2DCB" w:rsidRPr="00A53A85">
        <w:rPr>
          <w:rFonts w:asciiTheme="majorBidi" w:hAnsiTheme="majorBidi" w:cstheme="majorBidi"/>
          <w:bCs/>
        </w:rPr>
        <w:fldChar w:fldCharType="separate"/>
      </w:r>
      <w:r w:rsidR="007B52A5" w:rsidRPr="007B52A5">
        <w:rPr>
          <w:rFonts w:asciiTheme="majorBidi" w:hAnsiTheme="majorBidi" w:cstheme="majorBidi"/>
          <w:bCs/>
          <w:noProof/>
        </w:rPr>
        <w:t>(40)</w:t>
      </w:r>
      <w:r w:rsidR="005C2DCB" w:rsidRPr="00A53A85">
        <w:rPr>
          <w:rFonts w:asciiTheme="majorBidi" w:hAnsiTheme="majorBidi" w:cstheme="majorBidi"/>
          <w:bCs/>
        </w:rPr>
        <w:fldChar w:fldCharType="end"/>
      </w:r>
      <w:r w:rsidR="00A43D93">
        <w:rPr>
          <w:rFonts w:asciiTheme="majorBidi" w:hAnsiTheme="majorBidi" w:cstheme="majorBidi"/>
          <w:bCs/>
        </w:rPr>
        <w:t xml:space="preserve"> of high</w:t>
      </w:r>
      <w:r w:rsidR="00FC181F">
        <w:rPr>
          <w:rFonts w:asciiTheme="majorBidi" w:hAnsiTheme="majorBidi" w:cstheme="majorBidi"/>
          <w:bCs/>
        </w:rPr>
        <w:t>-f</w:t>
      </w:r>
      <w:r w:rsidR="00A431FD">
        <w:rPr>
          <w:rFonts w:asciiTheme="majorBidi" w:hAnsiTheme="majorBidi" w:cstheme="majorBidi"/>
          <w:bCs/>
        </w:rPr>
        <w:t>a</w:t>
      </w:r>
      <w:r w:rsidR="00FC181F">
        <w:rPr>
          <w:rFonts w:asciiTheme="majorBidi" w:hAnsiTheme="majorBidi" w:cstheme="majorBidi"/>
          <w:bCs/>
        </w:rPr>
        <w:t>t overfeeding</w:t>
      </w:r>
      <w:r w:rsidR="00236893">
        <w:rPr>
          <w:rFonts w:asciiTheme="majorBidi" w:hAnsiTheme="majorBidi" w:cstheme="majorBidi"/>
          <w:bCs/>
        </w:rPr>
        <w:t xml:space="preserve">. </w:t>
      </w:r>
      <w:r w:rsidR="0004152B" w:rsidRPr="00825562">
        <w:rPr>
          <w:rFonts w:asciiTheme="majorBidi" w:hAnsiTheme="majorBidi" w:cstheme="majorBidi"/>
          <w:bCs/>
        </w:rPr>
        <w:t>Our</w:t>
      </w:r>
      <w:r w:rsidR="0004152B">
        <w:rPr>
          <w:rFonts w:asciiTheme="majorBidi" w:hAnsiTheme="majorBidi" w:cstheme="majorBidi"/>
          <w:bCs/>
        </w:rPr>
        <w:t xml:space="preserve"> data extend these findings </w:t>
      </w:r>
      <w:r w:rsidR="000F22DB">
        <w:rPr>
          <w:rFonts w:asciiTheme="majorBidi" w:hAnsiTheme="majorBidi" w:cstheme="majorBidi"/>
          <w:bCs/>
        </w:rPr>
        <w:t xml:space="preserve">by reporting a </w:t>
      </w:r>
      <w:r w:rsidR="008B1FD0">
        <w:rPr>
          <w:rFonts w:asciiTheme="majorBidi" w:hAnsiTheme="majorBidi" w:cstheme="majorBidi"/>
          <w:bCs/>
        </w:rPr>
        <w:t xml:space="preserve">novel time-course </w:t>
      </w:r>
      <w:r w:rsidR="009A71FB">
        <w:rPr>
          <w:rFonts w:asciiTheme="majorBidi" w:hAnsiTheme="majorBidi" w:cstheme="majorBidi"/>
          <w:bCs/>
        </w:rPr>
        <w:t xml:space="preserve">for FGF21 in which circulating concentrations are rapidly </w:t>
      </w:r>
      <w:r w:rsidR="00E3638C">
        <w:rPr>
          <w:rFonts w:asciiTheme="majorBidi" w:hAnsiTheme="majorBidi" w:cstheme="majorBidi"/>
          <w:bCs/>
        </w:rPr>
        <w:t xml:space="preserve">increased in response to </w:t>
      </w:r>
      <w:r w:rsidR="0004069C">
        <w:rPr>
          <w:rFonts w:asciiTheme="majorBidi" w:hAnsiTheme="majorBidi" w:cstheme="majorBidi"/>
          <w:bCs/>
        </w:rPr>
        <w:t xml:space="preserve">a </w:t>
      </w:r>
      <w:r w:rsidR="00E73BEE">
        <w:rPr>
          <w:rFonts w:asciiTheme="majorBidi" w:hAnsiTheme="majorBidi" w:cstheme="majorBidi"/>
          <w:bCs/>
        </w:rPr>
        <w:t>HE-HFD</w:t>
      </w:r>
      <w:r w:rsidR="0004069C">
        <w:rPr>
          <w:rFonts w:asciiTheme="majorBidi" w:hAnsiTheme="majorBidi" w:cstheme="majorBidi"/>
          <w:bCs/>
        </w:rPr>
        <w:t xml:space="preserve"> </w:t>
      </w:r>
      <w:r w:rsidR="0011204E">
        <w:rPr>
          <w:rFonts w:asciiTheme="majorBidi" w:hAnsiTheme="majorBidi" w:cstheme="majorBidi"/>
          <w:bCs/>
        </w:rPr>
        <w:t xml:space="preserve">which </w:t>
      </w:r>
      <w:r w:rsidR="00050878">
        <w:rPr>
          <w:rFonts w:asciiTheme="majorBidi" w:hAnsiTheme="majorBidi" w:cstheme="majorBidi"/>
          <w:bCs/>
        </w:rPr>
        <w:t xml:space="preserve">is transient and </w:t>
      </w:r>
      <w:r w:rsidR="00723042">
        <w:rPr>
          <w:rFonts w:asciiTheme="majorBidi" w:hAnsiTheme="majorBidi" w:cstheme="majorBidi"/>
          <w:bCs/>
        </w:rPr>
        <w:t>returns</w:t>
      </w:r>
      <w:r w:rsidR="0004069C">
        <w:rPr>
          <w:rFonts w:asciiTheme="majorBidi" w:hAnsiTheme="majorBidi" w:cstheme="majorBidi"/>
          <w:bCs/>
        </w:rPr>
        <w:t xml:space="preserve"> </w:t>
      </w:r>
      <w:r w:rsidR="00340F44">
        <w:rPr>
          <w:rFonts w:asciiTheme="majorBidi" w:hAnsiTheme="majorBidi" w:cstheme="majorBidi"/>
          <w:bCs/>
        </w:rPr>
        <w:t xml:space="preserve">to </w:t>
      </w:r>
      <w:r w:rsidR="00935E1D">
        <w:rPr>
          <w:rFonts w:asciiTheme="majorBidi" w:hAnsiTheme="majorBidi" w:cstheme="majorBidi"/>
          <w:bCs/>
        </w:rPr>
        <w:t>pre-diet</w:t>
      </w:r>
      <w:r w:rsidR="00BD587D">
        <w:rPr>
          <w:rFonts w:asciiTheme="majorBidi" w:hAnsiTheme="majorBidi" w:cstheme="majorBidi"/>
          <w:bCs/>
        </w:rPr>
        <w:t xml:space="preserve"> </w:t>
      </w:r>
      <w:r w:rsidR="00050878">
        <w:rPr>
          <w:rFonts w:asciiTheme="majorBidi" w:hAnsiTheme="majorBidi" w:cstheme="majorBidi"/>
          <w:bCs/>
        </w:rPr>
        <w:t>levels</w:t>
      </w:r>
      <w:r w:rsidR="00BD587D">
        <w:rPr>
          <w:rFonts w:asciiTheme="majorBidi" w:hAnsiTheme="majorBidi" w:cstheme="majorBidi"/>
          <w:bCs/>
        </w:rPr>
        <w:t xml:space="preserve"> after seven days. </w:t>
      </w:r>
      <w:r w:rsidR="002F3895">
        <w:rPr>
          <w:rFonts w:asciiTheme="majorBidi" w:hAnsiTheme="majorBidi" w:cstheme="majorBidi"/>
          <w:bCs/>
        </w:rPr>
        <w:t>Conversely</w:t>
      </w:r>
      <w:r w:rsidR="00A01FCC">
        <w:rPr>
          <w:rFonts w:asciiTheme="majorBidi" w:hAnsiTheme="majorBidi" w:cstheme="majorBidi"/>
          <w:bCs/>
        </w:rPr>
        <w:t xml:space="preserve">, </w:t>
      </w:r>
      <w:proofErr w:type="spellStart"/>
      <w:r w:rsidR="00A01FCC">
        <w:rPr>
          <w:rFonts w:asciiTheme="majorBidi" w:hAnsiTheme="majorBidi" w:cstheme="majorBidi"/>
          <w:bCs/>
        </w:rPr>
        <w:t>Lundsgaard</w:t>
      </w:r>
      <w:proofErr w:type="spellEnd"/>
      <w:r w:rsidR="00A01FCC">
        <w:rPr>
          <w:rFonts w:asciiTheme="majorBidi" w:hAnsiTheme="majorBidi" w:cstheme="majorBidi"/>
          <w:bCs/>
        </w:rPr>
        <w:t xml:space="preserve"> and colleagues </w:t>
      </w:r>
      <w:r w:rsidR="005C2DCB"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"10.1016/j.molmet.2016.11.001", "ISBN" : "975-92250-1-8", "ISSN" : "22128778", "PMID" : "28123934", "abstract" : "Objective Fibroblast-growth factor 21 (FGF21) is thought to be important in metabolic regulation. Recently, low protein diets have been shown to increase circulating FGF21 levels. However, when energy contribution from dietary protein is lowered, other macronutrients, such as carbohydrates, must be increased to meet eucaloric balance. This raises the possibility that intake of a diet rich in carbohydrates may induce an increase in plasma FGF21 levels per se. Here we studied the role of dietary carbohydrates on the levels of circulating FGF21 and concomitant physiologic effects by feeding healthy men a carbohydrate rich diet without reducing protein intake. Methods A diet enriched in carbohydrates (80 E% carbohydrate; CHO) and a eucaloric control diet (CON) were provided to nine healthy men for three days. The energy intake during the CHO diet was increased (+75% energy) to ensure similar dietary protein intake in CHO and CON. To control for the effect of caloric surplus, we similarly overfed (+75% energy) the same subjects for three days with a fat-rich diet (78 E% fat; FAT), consisting of primarily unsaturated fatty acids. The three diets were provided in random order. Results After CHO, plasma FGF21 concentration increased 8-fold compared to CON (329 \u00b1 99 vs. 39 \u00b1 9 pg ml\u22121, p &lt; 0.05). In contrast, after FAT only a non-significant tendency (p = 0.073) to an increase in plasma FGF21 concentration was found. The increase in FGF21 concentration after CHO correlated closely (r = 0.88, p &lt; 0.01) with increased leg glucose uptake (62%, p &lt; 0.05) and increased hepatic glucose production (17%, p &lt; 0.01), indicating increased glucose turnover. Plasma fatty acid (FA) concentration was decreased by 68% (p &lt; 0.01), supported by reduced subcutaneous adipose tissue HSL Ser660phosphorylation (p &lt; 0.01) and perilipin 1 protein content (p &lt; 0.01), pointing to a suppression of adipose tissue lipolysis. Concomitantly, a 146% increase in the plasma marker of hepatic de novo lipogenesis C16:1 n\u22127 FA (p &lt; 0.01) was observed together with 101% increased plasma TG concentration (p &lt; 0.001) in association with CHO intake and increased plasma FGF21 concentration. Conclusion Excess dietary carbohydrate, but not fat, led to markedly increased FGF21 secretion in humans, notably without protein restriction, and affected glucose and lipid homeostais.", "author" : [ { "dropping-particle" : "", "family" : "Lundsgaard", "given" : "Anne-Marie", "non-dropping-particle" : "", "parse-names" : false, "suffix" : "" }, { "dropping-particle" : "", "family" : "Fritzen", "given" : "Andreas M.", "non-dropping-particle" : "", "parse-names" : false, "suffix" : "" }, { "dropping-particle" : "", "family" : "Sj\u00f8berg", "given" : "Kim A.", "non-dropping-particle" : "", "parse-names" : false, "suffix" : "" }, { "dropping-particle" : "", "family" : "Myrmel", "given" : "Lene S.", "non-dropping-particle" : "", "parse-names" : false, "suffix" : "" }, { "dropping-particle" : "", "family" : "Madsen", "given" : "Lise", "non-dropping-particle" : "", "parse-names" : false, "suffix" : "" }, { "dropping-particle" : "", "family" : "Wojtaszewski", "given" : "J\u00f8rgen F.P.", "non-dropping-particle" : "", "parse-names" : false, "suffix" : "" }, { "dropping-particle" : "", "family" : "Richter", "given" : "Erik A.", "non-dropping-particle" : "", "parse-names" : false, "suffix" : "" }, { "dropping-particle" : "", "family" : "Kiens", "given" : "Bente", "non-dropping-particle" : "", "parse-names" : false, "suffix" : "" } ], "container-title" : "Molecular Metabolism", "id" : "ITEM-1", "issue" : "1", "issued" : { "date-parts" : [ [ "2017", "1" ] ] }, "page" : "22-29", "publisher" : "Elsevier GmbH", "title" : "Circulating FGF21 in humans is potently induced by short term overfeeding of carbohydrates", "type" : "article-journal", "volume" : "6" }, "uris" : [ "http://www.mendeley.com/documents/?uuid=0bc799dd-53a3-4865-97d4-5ee1cec76fcb" ] } ], "mendeley" : { "formattedCitation" : "(41)", "plainTextFormattedCitation" : "(41)", "previouslyFormattedCitation" : "(41)" }, "properties" : { "noteIndex" : 17 }, "schema" : "https://github.com/citation-style-language/schema/raw/master/csl-citation.json" }</w:instrText>
      </w:r>
      <w:r w:rsidR="005C2DCB" w:rsidRPr="00A53A85">
        <w:rPr>
          <w:rFonts w:asciiTheme="majorBidi" w:hAnsiTheme="majorBidi" w:cstheme="majorBidi"/>
          <w:bCs/>
        </w:rPr>
        <w:fldChar w:fldCharType="separate"/>
      </w:r>
      <w:r w:rsidR="007B52A5" w:rsidRPr="007B52A5">
        <w:rPr>
          <w:rFonts w:asciiTheme="majorBidi" w:hAnsiTheme="majorBidi" w:cstheme="majorBidi"/>
          <w:bCs/>
          <w:noProof/>
        </w:rPr>
        <w:t>(41)</w:t>
      </w:r>
      <w:r w:rsidR="005C2DCB" w:rsidRPr="00A53A85">
        <w:rPr>
          <w:rFonts w:asciiTheme="majorBidi" w:hAnsiTheme="majorBidi" w:cstheme="majorBidi"/>
          <w:bCs/>
        </w:rPr>
        <w:fldChar w:fldCharType="end"/>
      </w:r>
      <w:r w:rsidR="00A01FCC">
        <w:rPr>
          <w:rFonts w:asciiTheme="majorBidi" w:hAnsiTheme="majorBidi" w:cstheme="majorBidi"/>
          <w:bCs/>
        </w:rPr>
        <w:t xml:space="preserve"> reported only a tendency (</w:t>
      </w:r>
      <w:r w:rsidR="00A01FCC" w:rsidRPr="000B1B12">
        <w:rPr>
          <w:rFonts w:asciiTheme="majorBidi" w:hAnsiTheme="majorBidi" w:cstheme="majorBidi"/>
          <w:bCs/>
          <w:i/>
        </w:rPr>
        <w:t>P</w:t>
      </w:r>
      <w:r w:rsidR="00A01FCC">
        <w:rPr>
          <w:rFonts w:asciiTheme="majorBidi" w:hAnsiTheme="majorBidi" w:cstheme="majorBidi"/>
          <w:bCs/>
        </w:rPr>
        <w:t xml:space="preserve"> = 0.073) for circulating FGF21 to be increased</w:t>
      </w:r>
      <w:r w:rsidR="00B81B0B">
        <w:rPr>
          <w:rFonts w:asciiTheme="majorBidi" w:hAnsiTheme="majorBidi" w:cstheme="majorBidi"/>
          <w:bCs/>
        </w:rPr>
        <w:t xml:space="preserve"> </w:t>
      </w:r>
      <w:r w:rsidR="00A01FCC">
        <w:rPr>
          <w:rFonts w:asciiTheme="majorBidi" w:hAnsiTheme="majorBidi" w:cstheme="majorBidi"/>
          <w:bCs/>
        </w:rPr>
        <w:t xml:space="preserve">after a </w:t>
      </w:r>
      <w:r w:rsidR="00367FDE">
        <w:rPr>
          <w:rFonts w:asciiTheme="majorBidi" w:hAnsiTheme="majorBidi" w:cstheme="majorBidi"/>
          <w:bCs/>
        </w:rPr>
        <w:t>three</w:t>
      </w:r>
      <w:r w:rsidR="00A01FCC">
        <w:rPr>
          <w:rFonts w:asciiTheme="majorBidi" w:hAnsiTheme="majorBidi" w:cstheme="majorBidi"/>
          <w:bCs/>
        </w:rPr>
        <w:t>-day HE-HFD</w:t>
      </w:r>
      <w:r w:rsidR="00B40055">
        <w:rPr>
          <w:rFonts w:asciiTheme="majorBidi" w:hAnsiTheme="majorBidi" w:cstheme="majorBidi"/>
          <w:bCs/>
        </w:rPr>
        <w:t>,</w:t>
      </w:r>
      <w:r w:rsidR="00A01FCC">
        <w:rPr>
          <w:rFonts w:asciiTheme="majorBidi" w:hAnsiTheme="majorBidi" w:cstheme="majorBidi"/>
          <w:bCs/>
        </w:rPr>
        <w:t xml:space="preserve"> with high-carbohydrate overfeeding</w:t>
      </w:r>
      <w:r w:rsidR="00B40055">
        <w:rPr>
          <w:rFonts w:asciiTheme="majorBidi" w:hAnsiTheme="majorBidi" w:cstheme="majorBidi"/>
          <w:bCs/>
        </w:rPr>
        <w:t xml:space="preserve"> </w:t>
      </w:r>
      <w:r w:rsidR="00340F44">
        <w:rPr>
          <w:rFonts w:asciiTheme="majorBidi" w:hAnsiTheme="majorBidi" w:cstheme="majorBidi"/>
          <w:bCs/>
        </w:rPr>
        <w:t>inducing</w:t>
      </w:r>
      <w:r w:rsidR="00B40055">
        <w:rPr>
          <w:rFonts w:asciiTheme="majorBidi" w:hAnsiTheme="majorBidi" w:cstheme="majorBidi"/>
          <w:bCs/>
        </w:rPr>
        <w:t xml:space="preserve"> a substantially greater response</w:t>
      </w:r>
      <w:r w:rsidR="00B81B0B">
        <w:rPr>
          <w:rFonts w:asciiTheme="majorBidi" w:hAnsiTheme="majorBidi" w:cstheme="majorBidi"/>
          <w:bCs/>
        </w:rPr>
        <w:t xml:space="preserve"> (</w:t>
      </w:r>
      <w:r w:rsidR="00BB4EE8">
        <w:rPr>
          <w:rFonts w:asciiTheme="majorBidi" w:hAnsiTheme="majorBidi" w:cstheme="majorBidi"/>
          <w:bCs/>
        </w:rPr>
        <w:t>2 vs 8-fold increase</w:t>
      </w:r>
      <w:r w:rsidR="00B81B0B">
        <w:rPr>
          <w:rFonts w:asciiTheme="majorBidi" w:hAnsiTheme="majorBidi" w:cstheme="majorBidi"/>
          <w:bCs/>
        </w:rPr>
        <w:t>)</w:t>
      </w:r>
      <w:r w:rsidR="00A01FCC">
        <w:rPr>
          <w:rFonts w:asciiTheme="majorBidi" w:hAnsiTheme="majorBidi" w:cstheme="majorBidi"/>
          <w:bCs/>
        </w:rPr>
        <w:t xml:space="preserve">. </w:t>
      </w:r>
      <w:r w:rsidR="00367FDE">
        <w:rPr>
          <w:rFonts w:asciiTheme="majorBidi" w:hAnsiTheme="majorBidi" w:cstheme="majorBidi"/>
          <w:bCs/>
        </w:rPr>
        <w:t xml:space="preserve">Despite the authors </w:t>
      </w:r>
      <w:r w:rsidR="00D36FFD">
        <w:rPr>
          <w:rFonts w:asciiTheme="majorBidi" w:hAnsiTheme="majorBidi" w:cstheme="majorBidi"/>
          <w:bCs/>
        </w:rPr>
        <w:t xml:space="preserve">overfeeding </w:t>
      </w:r>
      <w:r w:rsidR="00B81A43">
        <w:rPr>
          <w:rFonts w:asciiTheme="majorBidi" w:hAnsiTheme="majorBidi" w:cstheme="majorBidi"/>
          <w:bCs/>
        </w:rPr>
        <w:t>their participants</w:t>
      </w:r>
      <w:r w:rsidR="00250E55">
        <w:rPr>
          <w:rFonts w:asciiTheme="majorBidi" w:hAnsiTheme="majorBidi" w:cstheme="majorBidi"/>
          <w:bCs/>
        </w:rPr>
        <w:t xml:space="preserve"> </w:t>
      </w:r>
      <w:r w:rsidR="00E9201F">
        <w:rPr>
          <w:rFonts w:asciiTheme="majorBidi" w:hAnsiTheme="majorBidi" w:cstheme="majorBidi"/>
          <w:bCs/>
        </w:rPr>
        <w:t>to a greater degre</w:t>
      </w:r>
      <w:r w:rsidR="003F4E6F">
        <w:rPr>
          <w:rFonts w:asciiTheme="majorBidi" w:hAnsiTheme="majorBidi" w:cstheme="majorBidi"/>
          <w:bCs/>
        </w:rPr>
        <w:t>e</w:t>
      </w:r>
      <w:r w:rsidR="00E9201F">
        <w:rPr>
          <w:rFonts w:asciiTheme="majorBidi" w:hAnsiTheme="majorBidi" w:cstheme="majorBidi"/>
          <w:bCs/>
        </w:rPr>
        <w:t xml:space="preserve"> </w:t>
      </w:r>
      <w:r w:rsidR="000C65D9">
        <w:rPr>
          <w:rFonts w:asciiTheme="majorBidi" w:hAnsiTheme="majorBidi" w:cstheme="majorBidi"/>
          <w:bCs/>
        </w:rPr>
        <w:t xml:space="preserve">(+75% </w:t>
      </w:r>
      <w:r w:rsidR="0092260F">
        <w:rPr>
          <w:rFonts w:asciiTheme="majorBidi" w:hAnsiTheme="majorBidi" w:cstheme="majorBidi"/>
          <w:bCs/>
        </w:rPr>
        <w:t>vs</w:t>
      </w:r>
      <w:r w:rsidR="000C65D9">
        <w:rPr>
          <w:rFonts w:asciiTheme="majorBidi" w:hAnsiTheme="majorBidi" w:cstheme="majorBidi"/>
          <w:bCs/>
        </w:rPr>
        <w:t xml:space="preserve"> </w:t>
      </w:r>
      <w:r w:rsidR="008A7BB0">
        <w:rPr>
          <w:rFonts w:asciiTheme="majorBidi" w:hAnsiTheme="majorBidi" w:cstheme="majorBidi"/>
          <w:bCs/>
        </w:rPr>
        <w:t xml:space="preserve">+50% </w:t>
      </w:r>
      <w:r w:rsidR="009F353D">
        <w:rPr>
          <w:rFonts w:asciiTheme="majorBidi" w:hAnsiTheme="majorBidi" w:cstheme="majorBidi"/>
          <w:bCs/>
        </w:rPr>
        <w:t xml:space="preserve">estimated </w:t>
      </w:r>
      <w:r w:rsidR="008A7BB0">
        <w:rPr>
          <w:rFonts w:asciiTheme="majorBidi" w:hAnsiTheme="majorBidi" w:cstheme="majorBidi"/>
          <w:bCs/>
        </w:rPr>
        <w:t>energy</w:t>
      </w:r>
      <w:r w:rsidR="009F353D">
        <w:rPr>
          <w:rFonts w:asciiTheme="majorBidi" w:hAnsiTheme="majorBidi" w:cstheme="majorBidi"/>
          <w:bCs/>
        </w:rPr>
        <w:t xml:space="preserve"> requirements</w:t>
      </w:r>
      <w:r w:rsidR="000F0CD3">
        <w:rPr>
          <w:rFonts w:asciiTheme="majorBidi" w:hAnsiTheme="majorBidi" w:cstheme="majorBidi"/>
          <w:bCs/>
        </w:rPr>
        <w:t xml:space="preserve">), the greater </w:t>
      </w:r>
      <w:r w:rsidR="00BF2584">
        <w:rPr>
          <w:rFonts w:asciiTheme="majorBidi" w:hAnsiTheme="majorBidi" w:cstheme="majorBidi"/>
          <w:bCs/>
        </w:rPr>
        <w:t xml:space="preserve">increase </w:t>
      </w:r>
      <w:r w:rsidR="004E710B">
        <w:rPr>
          <w:rFonts w:asciiTheme="majorBidi" w:hAnsiTheme="majorBidi" w:cstheme="majorBidi"/>
          <w:bCs/>
        </w:rPr>
        <w:t xml:space="preserve">in FGF21 seen </w:t>
      </w:r>
      <w:r w:rsidR="00DF1646">
        <w:rPr>
          <w:rFonts w:asciiTheme="majorBidi" w:hAnsiTheme="majorBidi" w:cstheme="majorBidi"/>
          <w:bCs/>
        </w:rPr>
        <w:t xml:space="preserve">in the present study </w:t>
      </w:r>
      <w:r w:rsidR="00BF2584">
        <w:rPr>
          <w:rFonts w:asciiTheme="majorBidi" w:hAnsiTheme="majorBidi" w:cstheme="majorBidi"/>
          <w:bCs/>
        </w:rPr>
        <w:t xml:space="preserve">after three days of high-fat overfeeding may be related </w:t>
      </w:r>
      <w:r w:rsidR="00DB090B">
        <w:rPr>
          <w:rFonts w:asciiTheme="majorBidi" w:hAnsiTheme="majorBidi" w:cstheme="majorBidi"/>
          <w:bCs/>
        </w:rPr>
        <w:t xml:space="preserve">to the </w:t>
      </w:r>
      <w:r w:rsidR="00076C1B">
        <w:rPr>
          <w:rFonts w:asciiTheme="majorBidi" w:hAnsiTheme="majorBidi" w:cstheme="majorBidi"/>
          <w:bCs/>
        </w:rPr>
        <w:t>higher</w:t>
      </w:r>
      <w:r w:rsidR="00DB090B">
        <w:rPr>
          <w:rFonts w:asciiTheme="majorBidi" w:hAnsiTheme="majorBidi" w:cstheme="majorBidi"/>
          <w:bCs/>
        </w:rPr>
        <w:t xml:space="preserve"> </w:t>
      </w:r>
      <w:r w:rsidR="00E47993">
        <w:rPr>
          <w:rFonts w:asciiTheme="majorBidi" w:hAnsiTheme="majorBidi" w:cstheme="majorBidi"/>
          <w:bCs/>
        </w:rPr>
        <w:t xml:space="preserve">saturated fatty acid composition of </w:t>
      </w:r>
      <w:r w:rsidR="004634EC">
        <w:rPr>
          <w:rFonts w:asciiTheme="majorBidi" w:hAnsiTheme="majorBidi" w:cstheme="majorBidi"/>
          <w:bCs/>
        </w:rPr>
        <w:t>the</w:t>
      </w:r>
      <w:r w:rsidR="00E47993">
        <w:rPr>
          <w:rFonts w:asciiTheme="majorBidi" w:hAnsiTheme="majorBidi" w:cstheme="majorBidi"/>
          <w:bCs/>
        </w:rPr>
        <w:t xml:space="preserve"> diet </w:t>
      </w:r>
      <w:r w:rsidR="00671535" w:rsidRPr="00176381">
        <w:rPr>
          <w:rFonts w:asciiTheme="majorBidi" w:hAnsiTheme="majorBidi" w:cstheme="majorBidi"/>
          <w:bCs/>
        </w:rPr>
        <w:t>(</w:t>
      </w:r>
      <w:r w:rsidR="00711383" w:rsidRPr="00176381">
        <w:rPr>
          <w:rFonts w:asciiTheme="majorBidi" w:hAnsiTheme="majorBidi" w:cstheme="majorBidi"/>
          <w:bCs/>
        </w:rPr>
        <w:t>32%</w:t>
      </w:r>
      <w:r w:rsidR="00286031" w:rsidRPr="00176381">
        <w:rPr>
          <w:rFonts w:asciiTheme="majorBidi" w:hAnsiTheme="majorBidi" w:cstheme="majorBidi"/>
          <w:bCs/>
        </w:rPr>
        <w:t xml:space="preserve"> vs </w:t>
      </w:r>
      <w:r w:rsidR="00FB21A1" w:rsidRPr="00176381">
        <w:rPr>
          <w:rFonts w:asciiTheme="majorBidi" w:hAnsiTheme="majorBidi" w:cstheme="majorBidi"/>
          <w:bCs/>
        </w:rPr>
        <w:t>10</w:t>
      </w:r>
      <w:r w:rsidR="00286031" w:rsidRPr="00176381">
        <w:rPr>
          <w:rFonts w:asciiTheme="majorBidi" w:hAnsiTheme="majorBidi" w:cstheme="majorBidi"/>
          <w:bCs/>
        </w:rPr>
        <w:t>%</w:t>
      </w:r>
      <w:r w:rsidR="00FB21A1" w:rsidRPr="00176381">
        <w:rPr>
          <w:rFonts w:asciiTheme="majorBidi" w:hAnsiTheme="majorBidi" w:cstheme="majorBidi"/>
          <w:bCs/>
        </w:rPr>
        <w:t xml:space="preserve"> energy</w:t>
      </w:r>
      <w:r w:rsidR="00176381">
        <w:rPr>
          <w:rFonts w:asciiTheme="majorBidi" w:hAnsiTheme="majorBidi" w:cstheme="majorBidi"/>
          <w:bCs/>
        </w:rPr>
        <w:t>)</w:t>
      </w:r>
      <w:r w:rsidR="00324907">
        <w:rPr>
          <w:rFonts w:asciiTheme="majorBidi" w:hAnsiTheme="majorBidi" w:cstheme="majorBidi"/>
          <w:bCs/>
        </w:rPr>
        <w:t>,</w:t>
      </w:r>
      <w:r w:rsidR="00176381">
        <w:rPr>
          <w:rFonts w:asciiTheme="majorBidi" w:hAnsiTheme="majorBidi" w:cstheme="majorBidi"/>
          <w:bCs/>
        </w:rPr>
        <w:t xml:space="preserve"> </w:t>
      </w:r>
      <w:r w:rsidR="00C12E1B" w:rsidRPr="00176381">
        <w:rPr>
          <w:rFonts w:asciiTheme="majorBidi" w:hAnsiTheme="majorBidi" w:cstheme="majorBidi"/>
          <w:bCs/>
        </w:rPr>
        <w:t>which</w:t>
      </w:r>
      <w:r w:rsidR="00C12E1B">
        <w:rPr>
          <w:rFonts w:asciiTheme="majorBidi" w:hAnsiTheme="majorBidi" w:cstheme="majorBidi"/>
          <w:bCs/>
        </w:rPr>
        <w:t xml:space="preserve"> has bee</w:t>
      </w:r>
      <w:r w:rsidR="008A579A">
        <w:rPr>
          <w:rFonts w:asciiTheme="majorBidi" w:hAnsiTheme="majorBidi" w:cstheme="majorBidi"/>
          <w:bCs/>
        </w:rPr>
        <w:t xml:space="preserve">n found to be more metabolically harmful </w:t>
      </w:r>
      <w:r w:rsidR="0075102C">
        <w:rPr>
          <w:rFonts w:asciiTheme="majorBidi" w:hAnsiTheme="majorBidi" w:cstheme="majorBidi"/>
          <w:bCs/>
        </w:rPr>
        <w:t>than a predominantly unsaturated fat diet</w:t>
      </w:r>
      <w:r w:rsidR="002840F7">
        <w:rPr>
          <w:rFonts w:asciiTheme="majorBidi" w:hAnsiTheme="majorBidi" w:cstheme="majorBidi"/>
          <w:bCs/>
        </w:rPr>
        <w:t xml:space="preserve"> </w:t>
      </w:r>
      <w:r w:rsidR="002840F7"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"10.2337/dc18-0071", "ISSN" : "0149-5992", "author" : [ { "dropping-particle" : "", "family" : "Luukkonen", "given" : "Panu K.", "non-dropping-particle" : "", "parse-names" : false, "suffix" : "" }, { "dropping-particle" : "", "family" : "S\u00e4devirta", "given" : "Sanja", "non-dropping-particle" : "", "parse-names" : false, "suffix" : "" }, { "dropping-particle" : "", "family" : "Zhou", "given" : "You", "non-dropping-particle" : "", "parse-names" : false, "suffix" : "" }, { "dropping-particle" : "", "family" : "Kayser", "given" : "Brandon", "non-dropping-particle" : "", "parse-names" : false, "suffix" : "" }, { "dropping-particle" : "", "family" : "Ali", "given" : "Ashfaq", "non-dropping-particle" : "", "parse-names" : false, "suffix" : "" }, { "dropping-particle" : "", "family" : "Ahonen", "given" : "Linda", "non-dropping-particle" : "", "parse-names" : false, "suffix" : "" }, { "dropping-particle" : "", "family" : "Lallukka", "given" : "Susanna", "non-dropping-particle" : "", "parse-names" : false, "suffix" : "" }, { "dropping-particle" : "", "family" : "Pelloux", "given" : "V\u00e9ronique", "non-dropping-particle" : "", "parse-names" : false, "suffix" : "" }, { "dropping-particle" : "", "family" : "Gaggini", "given" : "Melania", "non-dropping-particle" : "", "parse-names" : false, "suffix" : "" }, { "dropping-particle" : "", "family" : "Jian", "given" : "Ching", "non-dropping-particle" : "", "parse-names" : false, "suffix" : "" }, { "dropping-particle" : "", "family" : "Hakkarainen", "given" : "Antti", "non-dropping-particle" : "", "parse-names" : false, "suffix" : "" }, { "dropping-particle" : "", "family" : "Lundbom", "given" : "Nina", "non-dropping-particle" : "", "parse-names" : false, "suffix" : "" }, { "dropping-particle" : "", "family" : "Gylling", "given" : "Helena", "non-dropping-particle" : "", "parse-names" : false, "suffix" : "" }, { "dropping-particle" : "", "family" : "Salonen", "given" : "Anne", "non-dropping-particle" : "", "parse-names" : false, "suffix" : "" }, { "dropping-particle" : "", "family" : "Ore\u0161i\u010d", "given" : "Matej", "non-dropping-particle" : "", "parse-names" : false, "suffix" : "" }, { "dropping-particle" : "", "family" : "Hy\u00f6tyl\u00e4inen", "given" : "Tuulia", "non-dropping-particle" : "", "parse-names" : false, "suffix" : "" }, { "dropping-particle" : "", "family" : "Orho-Melander", "given" : "Marju", "non-dropping-particle" : "", "parse-names" : false, "suffix" : "" }, { "dropping-particle" : "", "family" : "Rissanen", "given" : "Aila", "non-dropping-particle" : "", "parse-names" : false, "suffix" : "" }, { "dropping-particle" : "", "family" : "Gastaldelli", "given" : "Amalia", "non-dropping-particle" : "", "parse-names" : false, "suffix" : "" }, { "dropping-particle" : "", "family" : "Cl\u00e9ment", "given" : "Karine", "non-dropping-particle" : "", "parse-names" : false, "suffix" : "" }, { "dropping-particle" : "", "family" : "Hodson", "given" : "Leanne", "non-dropping-particle" : "", "parse-names" : false, "suffix" : "" }, { "dropping-particle" : "", "family" : "Yki-J\u00e4rvinen", "given" : "Hannele", "non-dropping-particle" : "", "parse-names" : false, "suffix" : "" } ], "container-title" : "Diabetes Care", "id" : "ITEM-1", "issue" : "8", "issued" : { "date-parts" : [ [ "2018", "8" ] ] }, "page" : "1732-1739", "title" : "Saturated Fat Is More Metabolically Harmful for the Human Liver Than Unsaturated Fat or Simple Sugars", "type" : "article-journal", "volume" : "41" }, "uris" : [ "http://www.mendeley.com/documents/?uuid=3bd3b52c-3d2e-4e29-9400-9c491869275b" ] } ], "mendeley" : { "formattedCitation" : "(42)", "plainTextFormattedCitation" : "(42)", "previouslyFormattedCitation" : "(42)" }, "properties" : { "noteIndex" : 17 }, "schema" : "https://github.com/citation-style-language/schema/raw/master/csl-citation.json" }</w:instrText>
      </w:r>
      <w:r w:rsidR="002840F7" w:rsidRPr="00A53A85">
        <w:rPr>
          <w:rFonts w:asciiTheme="majorBidi" w:hAnsiTheme="majorBidi" w:cstheme="majorBidi"/>
          <w:bCs/>
        </w:rPr>
        <w:fldChar w:fldCharType="separate"/>
      </w:r>
      <w:r w:rsidR="007B52A5" w:rsidRPr="007B52A5">
        <w:rPr>
          <w:rFonts w:asciiTheme="majorBidi" w:hAnsiTheme="majorBidi" w:cstheme="majorBidi"/>
          <w:bCs/>
          <w:noProof/>
        </w:rPr>
        <w:t>(42)</w:t>
      </w:r>
      <w:r w:rsidR="002840F7" w:rsidRPr="00A53A85">
        <w:rPr>
          <w:rFonts w:asciiTheme="majorBidi" w:hAnsiTheme="majorBidi" w:cstheme="majorBidi"/>
          <w:bCs/>
        </w:rPr>
        <w:fldChar w:fldCharType="end"/>
      </w:r>
      <w:r w:rsidR="002840F7">
        <w:rPr>
          <w:rFonts w:asciiTheme="majorBidi" w:hAnsiTheme="majorBidi" w:cstheme="majorBidi"/>
          <w:bCs/>
        </w:rPr>
        <w:t>.</w:t>
      </w:r>
    </w:p>
    <w:p w14:paraId="68DD7442" w14:textId="6D50E9FE" w:rsidR="00B075C3" w:rsidRDefault="00851369" w:rsidP="003E1817">
      <w:pPr>
        <w:spacing w:line="480" w:lineRule="auto"/>
        <w:jc w:val="both"/>
        <w:rPr>
          <w:rFonts w:asciiTheme="majorBidi" w:hAnsiTheme="majorBidi" w:cstheme="majorBidi"/>
          <w:color w:val="000000" w:themeColor="text1"/>
        </w:rPr>
      </w:pPr>
      <w:r>
        <w:rPr>
          <w:rFonts w:asciiTheme="majorBidi" w:hAnsiTheme="majorBidi" w:cstheme="majorBidi"/>
          <w:bCs/>
        </w:rPr>
        <w:lastRenderedPageBreak/>
        <w:t xml:space="preserve">FGF21 </w:t>
      </w:r>
      <w:r w:rsidR="00E108D5">
        <w:rPr>
          <w:rFonts w:asciiTheme="majorBidi" w:hAnsiTheme="majorBidi" w:cstheme="majorBidi"/>
          <w:bCs/>
        </w:rPr>
        <w:t>modulates</w:t>
      </w:r>
      <w:r w:rsidR="000347CB">
        <w:rPr>
          <w:rFonts w:asciiTheme="majorBidi" w:hAnsiTheme="majorBidi" w:cstheme="majorBidi"/>
          <w:bCs/>
        </w:rPr>
        <w:t xml:space="preserve"> whole-body lipid metabolism through inhibiting adipose tissue lipolysis and enhancing hepatic fat oxidation </w:t>
      </w:r>
      <w:r w:rsidR="005C2DCB"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"10.1016/j.cmet.2007.05.002", "ISSN" : "15504131", "author" : [ { "dropping-particle" : "", "family" : "Badman", "given" : "Michael K.", "non-dropping-particle" : "", "parse-names" : false, "suffix" : "" }, { "dropping-particle" : "", "family" : "Pissios", "given" : "Pavlos", "non-dropping-particle" : "", "parse-names" : false, "suffix" : "" }, { "dropping-particle" : "", "family" : "Kennedy", "given" : "Adam R.", "non-dropping-particle" : "", "parse-names" : false, "suffix" : "" }, { "dropping-particle" : "", "family" : "Koukos", "given" : "George", "non-dropping-particle" : "", "parse-names" : false, "suffix" : "" }, { "dropping-particle" : "", "family" : "Flier", "given" : "Jeffrey S.", "non-dropping-particle" : "", "parse-names" : false, "suffix" : "" }, { "dropping-particle" : "", "family" : "Maratos-Flier", "given" : "Eleftheria", "non-dropping-particle" : "", "parse-names" : false, "suffix" : "" } ], "container-title" : "Cell Metabolism", "id" : "ITEM-1", "issue" : "6", "issued" : { "date-parts" : [ [ "2007", "6" ] ] }, "page" : "426-437", "title" : "Hepatic Fibroblast Growth Factor 21 Is Regulated by PPAR\u03b1 and Is a Key Mediator of Hepatic Lipid Metabolism in Ketotic States", "type" : "article-journal", "volume" : "5" }, "uris" : [ "http://www.mendeley.com/documents/?uuid=8c0474e3-02d2-4b77-b707-8ebfae5d3388" ] }, { "id" : "ITEM-2", "itemData" : { "DOI" : "10.1016/j.febslet.2008.04.038", "ISSN" : "00145793", "author" : [ { "dropping-particle" : "", "family" : "Arner", "given" : "Peter", "non-dropping-particle" : "", "parse-names" : false, "suffix" : "" }, { "dropping-particle" : "", "family" : "Pettersson", "given" : "Amanda", "non-dropping-particle" : "", "parse-names" : false, "suffix" : "" }, { "dropping-particle" : "", "family" : "Mitchell", "given" : "Pamela J.", "non-dropping-particle" : "", "parse-names" : false, "suffix" : "" }, { "dropping-particle" : "", "family" : "Dunbar", "given" : "James D.", "non-dropping-particle" : "", "parse-names" : false, "suffix" : "" }, { "dropping-particle" : "", "family" : "Kharitonenkov", "given" : "Alexei", "non-dropping-particle" : "", "parse-names" : false, "suffix" : "" }, { "dropping-particle" : "", "family" : "Ryd\u00e9n", "given" : "Mikael", "non-dropping-particle" : "", "parse-names" : false, "suffix" : "" } ], "container-title" : "FEBS Letters", "id" : "ITEM-2", "issue" : "12", "issued" : { "date-parts" : [ [ "2008", "5", "28" ] ] }, "page" : "1725-1730", "title" : "FGF21 attenuates lipolysis in human adipocytes - A possible link to improved insulin sensitivity", "type" : "article-journal", "volume" : "582" }, "uris" : [ "http://www.mendeley.com/documents/?uuid=2f147de3-f7bd-433a-a025-721832d18c28" ] }, { "id" : "ITEM-3", "itemData" : { "DOI" : "10.1186/1743-7075-9-94", "ISSN" : "1743-7075", "abstract" : "UNLABELLED: \\n\\nBACKGROUND: Endocrine FGF19 and FGF21 exert their effects on metabolic homeostasis through fibroblast growth factor receptor (FGFR) and co-factor betaKlotho (KLB). Ileal FGF19 regulates bile acid metabolism through specifically FGFR4-KLB in hepatocytes where FGFR1 is not significant. Both FGF19 and FGF21 activate FGFR1-KLB whose function predominates in adipocytes. Recent studies using administration of FGF19 and FGF21 and genetic ablation of KLB or adipocyte FGFR1 indicate that FGFR1-KLB mediates the response of adipocytes to both FGF21 and FGF19. Here we show that adipose FGFR1 regulates lipid metabolism through direct effect on adipose tissue and indirect effects on liver under starvation conditions that cause hepatic stress.\\n\\nMETHODS: We employed adipocyte-specific ablations of FGFR1 and FGFR2 genes in mice, and analyzed metabolic consequences in adipose tissue, liver and systemic parameters under normal, fasting and starvation conditions.\\n\\nRESULTS: Under normal conditions, the ablation of adipose FGFR1 had little effect on adipocytes, but caused shifts in expression of hepatic genes involved in lipid metabolism. Starvation conditions precipitated a concurrent elevation of serum triglycerides and non-esterified fatty acids, and increased hepatic steatosis and adipose lipolysis in the FGFR1-deficient mice. Little effect on glucose or ketone bodies due to the FGFR1 deficiency was observed.\\n\\nCONCLUSIONS: Our results suggest an adipocyte-hepatocyte communication network mediated by adipocyte FGFR1 that concurrently dampens hepatic lipogenesis and adipocyte lipolysis. We propose that this serves overall to mete out and extend lipid reserves for neural fuels (glucose and ketone bodies), while at the same time governing extent of hepatosteatosis during metabolic extremes and other conditions causing hepatic stress.", "author" : [ { "dropping-particle" : "", "family" : "Yang", "given" : "Chaofeng", "non-dropping-particle" : "", "parse-names" : false, "suffix" : "" }, { "dropping-particle" : "", "family" : "Wang", "given" : "Cong", "non-dropping-particle" : "", "parse-names" : false, "suffix" : "" }, { "dropping-particle" : "", "family" : "Ye", "given" : "Min", "non-dropping-particle" : "", "parse-names" : false, "suffix" : "" }, { "dropping-particle" : "", "family" : "Jin", "given" : "Chengliu", "non-dropping-particle" : "", "parse-names" : false, "suffix" : "" }, { "dropping-particle" : "", "family" : "He", "given" : "Weimin", "non-dropping-particle" : "", "parse-names" : false, "suffix" : "" }, { "dropping-particle" : "", "family" : "Wang", "given" : "Fen", "non-dropping-particle" : "", "parse-names" : false, "suffix" : "" }, { "dropping-particle" : "", "family" : "McKeehan", "given" : "Wallace L.", "non-dropping-particle" : "", "parse-names" : false, "suffix" : "" }, { "dropping-particle" : "", "family" : "Luo", "given" : "Yongde", "non-dropping-particle" : "", "parse-names" : false, "suffix" : "" } ], "container-title" : "Nutrition &amp; Metabolism", "id" : "ITEM-3", "issue" : "1", "issued" : { "date-parts" : [ [ "2012" ] ] }, "page" : "94", "publisher" : "Nutrition &amp; Metabolism", "title" : "Control of lipid metabolism by adipocyte FGFR1-mediated adipohepatic communication during hepatic stress", "type" : "article-journal", "volume" : "9" }, "uris" : [ "http://www.mendeley.com/documents/?uuid=afb52400-0794-4d71-ba1e-9b863c92dcad" ] }, { "id" : "ITEM-4", "itemData" : { "DOI" : "10.1053/j.gastro.2014.07.044", "ISSN" : "00165085", "abstract" : "Background &amp; Aims Nonalcoholic fatty liver disease is a common consequence of human and rodent obesity. Disruptions in lipid metabolism lead to accumulation of triglycerides and fatty acids, which can promote inflammation and fibrosis and lead to nonalcoholic steatohepatitis. Circulating levels of fibroblast growth factor (FGF)21 increase in patients with nonalcoholic fatty liver disease or nonalcoholic steatohepatitis; therefore, we assessed the role of FGF21 in the progression of murine fatty liver disease, independent of obesity, caused by methionine and choline deficiency. Methods C57BL/6 wild-type and FGF21-knockout (FGF21-KO) mice were placed on methionine- and choline-deficient (MCD), high-fat, or control diets for 8-16 weeks. Mice were weighed, and serum and liver tissues were collected and analyzed for histology, levels of malondialdehyde and liver enzymes, gene expression, and lipid content. Results The MCD diet increased hepatic levels of FGF21 messenger RNA more than 50-fold and serum levels 16-fold, compared with the control diet. FGF21-KO mice had more severe steatosis, fibrosis, inflammation, and peroxidative damage than wild-type C57BL/6 mice. FGF21-KO mice had reduced hepatic fatty acid activation and \u03b2-oxidation, resulting in increased levels of free fatty acid. FGF21-KO mice given continuous subcutaneous infusions of FGF21 for 4 weeks while on an MCD diet had reduced steatosis and peroxidative damage, compared with mice not receiving FGF21. The expression of genes that regulate inflammation and fibrosis were reduced in FGF21-KO mice given FGF21, similar to those of wild-type mice. Conclusions FGF21 regulates fatty acid activation and oxidation in livers of mice. In the absence of FGF21, accumulation of inactivated fatty acids results in lipotoxic damage and increased steatosis.", "author" : [ { "dropping-particle" : "", "family" : "Fisher", "given" : "Ffolliott M.", "non-dropping-particle" : "", "parse-names" : false, "suffix" : "" }, { "dropping-particle" : "", "family" : "Chui", "given" : "Patricia C.", "non-dropping-particle" : "", "parse-names" : false, "suffix" : "" }, { "dropping-particle" : "", "family" : "Nasser", "given" : "Imad A.", "non-dropping-particle" : "", "parse-names" : false, "suffix" : "" }, { "dropping-particle" : "", "family" : "Popov", "given" : "Yury", "non-dropping-particle" : "", "parse-names" : false, "suffix" : "" }, { "dropping-particle" : "", "family" : "Cunniff", "given" : "Jeremy C.", "non-dropping-particle" : "", "parse-names" : false, "suffix" : "" }, { "dropping-particle" : "", "family" : "Lundasen", "given" : "Thomas", "non-dropping-particle" : "", "parse-names" : false, "suffix" : "" }, { "dropping-particle" : "", "family" : "Kharitonenkov", "given" : "Alexei", "non-dropping-particle" : "", "parse-names" : false, "suffix" : "" }, { "dropping-particle" : "", "family" : "Schuppan", "given" : "Detlef", "non-dropping-particle" : "", "parse-names" : false, "suffix" : "" }, { "dropping-particle" : "", "family" : "Flier", "given" : "Jeffrey S.", "non-dropping-particle" : "", "parse-names" : false, "suffix" : "" }, { "dropping-particle" : "", "family" : "Maratos-Flier", "given" : "Eleftheria", "non-dropping-particle" : "", "parse-names" : false, "suffix" : "" } ], "container-title" : "Gastroenterology", "id" : "ITEM-4", "issue" : "5", "issued" : { "date-parts" : [ [ "2014", "11" ] ] }, "page" : "1073-1083.e6", "publisher" : "Elsevier, Inc", "title" : "Fibroblast Growth Factor 21 Limits Lipotoxicity by Promoting Hepatic Fatty Acid Activation in Mice on Methionine and Choline-Deficient Diets", "type" : "article-journal", "volume" : "147" }, "uris" : [ "http://www.mendeley.com/documents/?uuid=2a9db752-9647-4be3-99e7-4e3b96596792" ] } ], "mendeley" : { "formattedCitation" : "(43\u201346)", "plainTextFormattedCitation" : "(43\u201346)", "previouslyFormattedCitation" : "(43\u201346)" }, "properties" : { "noteIndex" : 18 }, "schema" : "https://github.com/citation-style-language/schema/raw/master/csl-citation.json" }</w:instrText>
      </w:r>
      <w:r w:rsidR="005C2DCB" w:rsidRPr="00A53A85">
        <w:rPr>
          <w:rFonts w:asciiTheme="majorBidi" w:hAnsiTheme="majorBidi" w:cstheme="majorBidi"/>
          <w:bCs/>
        </w:rPr>
        <w:fldChar w:fldCharType="separate"/>
      </w:r>
      <w:r w:rsidR="007B52A5" w:rsidRPr="007B52A5">
        <w:rPr>
          <w:rFonts w:asciiTheme="majorBidi" w:hAnsiTheme="majorBidi" w:cstheme="majorBidi"/>
          <w:bCs/>
          <w:noProof/>
        </w:rPr>
        <w:t>(43–46)</w:t>
      </w:r>
      <w:r w:rsidR="005C2DCB" w:rsidRPr="00A53A85">
        <w:rPr>
          <w:rFonts w:asciiTheme="majorBidi" w:hAnsiTheme="majorBidi" w:cstheme="majorBidi"/>
          <w:bCs/>
        </w:rPr>
        <w:fldChar w:fldCharType="end"/>
      </w:r>
      <w:r w:rsidR="004548D4">
        <w:rPr>
          <w:rFonts w:asciiTheme="majorBidi" w:hAnsiTheme="majorBidi" w:cstheme="majorBidi"/>
          <w:bCs/>
        </w:rPr>
        <w:t xml:space="preserve"> via the fatty-acid induced activation of peroxisome proliferator-activated receptor-</w:t>
      </w:r>
      <w:r w:rsidR="000104C6" w:rsidRPr="000104C6">
        <w:rPr>
          <w:rFonts w:asciiTheme="majorBidi" w:hAnsiTheme="majorBidi" w:cstheme="majorBidi"/>
          <w:color w:val="000000" w:themeColor="text1"/>
        </w:rPr>
        <w:t>α</w:t>
      </w:r>
      <w:r w:rsidR="00785B3F">
        <w:rPr>
          <w:rFonts w:asciiTheme="majorBidi" w:hAnsiTheme="majorBidi" w:cstheme="majorBidi"/>
          <w:color w:val="000000" w:themeColor="text1"/>
        </w:rPr>
        <w:t xml:space="preserve">. </w:t>
      </w:r>
      <w:r w:rsidR="0094221A">
        <w:rPr>
          <w:rFonts w:asciiTheme="majorBidi" w:hAnsiTheme="majorBidi" w:cstheme="majorBidi"/>
          <w:color w:val="000000" w:themeColor="text1"/>
        </w:rPr>
        <w:t>Consequently</w:t>
      </w:r>
      <w:r w:rsidR="002F7AB4">
        <w:rPr>
          <w:rFonts w:asciiTheme="majorBidi" w:hAnsiTheme="majorBidi" w:cstheme="majorBidi"/>
          <w:color w:val="000000" w:themeColor="text1"/>
        </w:rPr>
        <w:t xml:space="preserve">, the augmented circulating FGF21 levels in the </w:t>
      </w:r>
      <w:r w:rsidR="00C36363">
        <w:rPr>
          <w:rFonts w:asciiTheme="majorBidi" w:hAnsiTheme="majorBidi" w:cstheme="majorBidi"/>
          <w:color w:val="000000" w:themeColor="text1"/>
        </w:rPr>
        <w:t xml:space="preserve">present study could represent </w:t>
      </w:r>
      <w:r w:rsidR="00C66A3A">
        <w:rPr>
          <w:rFonts w:asciiTheme="majorBidi" w:hAnsiTheme="majorBidi" w:cstheme="majorBidi"/>
          <w:color w:val="000000" w:themeColor="text1"/>
        </w:rPr>
        <w:t>a compensatory mechanism to counteract the excessive fatty acid influx during the HE-HFD</w:t>
      </w:r>
      <w:r w:rsidR="00EA0B94">
        <w:rPr>
          <w:rFonts w:asciiTheme="majorBidi" w:hAnsiTheme="majorBidi" w:cstheme="majorBidi"/>
          <w:color w:val="000000" w:themeColor="text1"/>
        </w:rPr>
        <w:t xml:space="preserve"> </w:t>
      </w:r>
      <w:r w:rsidR="005C2DCB" w:rsidRPr="00A53A85">
        <w:rPr>
          <w:rFonts w:asciiTheme="majorBidi" w:hAnsiTheme="majorBidi" w:cstheme="majorBidi"/>
          <w:color w:val="000000" w:themeColor="text1"/>
        </w:rPr>
        <w:fldChar w:fldCharType="begin" w:fldLock="1"/>
      </w:r>
      <w:r w:rsidR="007B52A5">
        <w:rPr>
          <w:rFonts w:asciiTheme="majorBidi" w:hAnsiTheme="majorBidi" w:cstheme="majorBidi"/>
          <w:color w:val="000000" w:themeColor="text1"/>
        </w:rPr>
        <w:instrText>ADDIN CSL_CITATION { "citationItems" : [ { "id" : "ITEM-1", "itemData" : { "DOI" : "10.1530/EJE-12-0039", "ISBN" : "1479-683X (Electronic)\\r0804-4643 (Linking)", "ISSN" : "0804-4643", "PMID" : "22529197", "abstract" : "OBJECTIVE: Fibroblast growth factor 21 (FGF21) is a metabolic factor involved in glucose and lipid metabolism. However, little is known about the physiological role of FGF21 during a dietary challenge in humans. RESEARCH DESIGN AND METHODS: Twenty healthy low birth weight (LBW) with known risk of type 2 diabetes and 26 control (normal birth weight (NBW)) young men were subjected to 5 days of high-fat (HF) overfeeding (+50%). Basal and clamp insulin-stimulated serum FGF21 levels were examined before and after the diet, and FGF21 mRNA expression was measured in muscle and fat biopsies respectively. RESULTS: Five days of HF overfeeding diet significantly (P&lt;0.001) increased fasting serum FGF21 levels in both the groups (P&lt;0.001). Furthermore, insulin infusion additionally increased serum FGF21 levels to a similar extent in both the groups. Basal mRNA expression of FGF21 in muscle was near the detection limit and not present in fat in both the groups before and after the dietary challenge. However, insulin significantly (P&lt;0.001) increased FGF21 mRNA in both muscle and fat in both the groups during both diets. CONCLUSION: Short-term HF overfeeding markedly increased serum FGF21 levels in healthy young men with and without LBW but failed to increase muscle or fat FGF21 mRNA levels. This suggests that the liver may be responsible for the rise of serum FGF21 levels during overfeeding. In contrast, the increase in serum FGF21 levels during insulin infusion may arise from increased transcription in muscle and fat. We speculate that increased serum FGF21 levels during HF overfeeding may be a compensatory response to increase fatty acid oxidation and energy expenditure.", "author" : [ { "dropping-particle" : "", "family" : "Vienberg", "given" : "Sara G.", "non-dropping-particle" : "", "parse-names" : false, "suffix" : "" }, { "dropping-particle" : "", "family" : "Br\u00f8ns", "given" : "Charlotte", "non-dropping-particle" : "", "parse-names" : false, "suffix" : "" }, { "dropping-particle" : "", "family" : "Nilsson", "given" : "Emma", "non-dropping-particle" : "", "parse-names" : false, "suffix" : "" }, { "dropping-particle" : "", "family" : "Astrup", "given" : "Arne", "non-dropping-particle" : "", "parse-names" : false, "suffix" : "" }, { "dropping-particle" : "", "family" : "Vaag", "given" : "Allan", "non-dropping-particle" : "", "parse-names" : false, "suffix" : "" }, { "dropping-particle" : "", "family" : "Andersen", "given" : "Birgitte", "non-dropping-particle" : "", "parse-names" : false, "suffix" : "" } ], "container-title" : "European Journal of Endocrinology", "id" : "ITEM-1", "issue" : "1", "issued" : { "date-parts" : [ [ "2012", "7" ] ] }, "page" : "49-57", "title" : "Impact of short-term high-fat feeding and insulin-stimulated FGF21 levels in subjects with low birth weight and controls", "type" : "article-journal", "volume" : "167" }, "uris" : [ "http://www.mendeley.com/documents/?uuid=3d87cb70-aeaa-40d8-9b71-eca4cac02546" ] }, { "id" : "ITEM-2", "itemData" : { "DOI" : "10.1371/journal.pone.0078864", "ISBN" : "1932-6203 (Electronic)\\r1932-6203 (Linking)", "ISSN" : "1932-6203", "PMID" : "24205333", "abstract" : "CONTEXT: Circulating levels of metabolically protective and adverse cytokines are altered in obese humans and rodent models. However, it is not clear whether these cytokines are altered rapidly in response to over-nutrition, or as a later consequence of the obese state.\\n\\nMETHODS: Forty sedentary healthy individuals were examined prior to and at 3 and 28 days of high fat overfeeding (+1250 kCal/day, 45% fat). Insulin sensitivity (hyperinsulinaemic-euglycaemic clamp), adiposity, serum levels of adiponectin and fibroblast growth factor-21 (FGF21), fatty acid binding protein-4 (FABP4), lipocalin-2 and plasminogen activator factor-1 (PAI1) were assessed. Statistics were performed by repeated measures ANOVA.\\n\\nRESULTS: Overfeeding increased weight, body fat and liver fat, fasting glucose, insulin and reduced insulin sensitivity by clamp (all P &lt;0.05). Metabolically protective cytokines, adiponectin and FGF21 were increased at day 3 of overfeeding (P \u22640.001) and adiponectin was also elevated at day 28 (P=0.001). FABP4, lipocalin-2 and PAI-1 were not changed by overfeeding at either time point.\\n\\nCONCLUSION: Metabolically protective cytokines, adiponectin and FGF-21, were increased by over nutrition and weight gain in healthy humans, despite increases in insulin resistance. We speculate that this was in attempt to maintain glucose homeostasis in a state of nutritional excess. PAI-I, FABP4 and lipocalin 2 were not altered by overfeeding suggesting that changes in these cytokines may be a later consequence of the obese state.\\n\\nCLINICAL TRIAL REGISTRATION: www.clinicaltrials.gov (NCT00562393).", "author" : [ { "dropping-particle" : "", "family" : "Heilbronn", "given" : "Leonie Kaye", "non-dropping-particle" : "", "parse-names" : false, "suffix" : "" }, { "dropping-particle" : "V.", "family" : "Campbell", "given" : "Lesley", "non-dropping-particle" : "", "parse-names" : false, "suffix" : "" }, { "dropping-particle" : "", "family" : "Xu", "given" : "Aimin", "non-dropping-particle" : "", "parse-names" : false, "suffix" : "" }, { "dropping-particle" : "", "family" : "Samocha-Bonet", "given" : "Dorit", "non-dropping-particle" : "", "parse-names" : false, "suffix" : "" } ], "container-title" : "PLoS ONE", "editor" : [ { "dropping-particle" : "", "family" : "Galgani", "given" : "Jose", "non-dropping-particle" : "", "parse-names" : false, "suffix" : "" } ], "id" : "ITEM-2", "issue" : "10", "issued" : { "date-parts" : [ [ "2013", "10", "18" ] ] }, "page" : "e78864", "title" : "Metabolically Protective Cytokines Adiponectin and Fibroblast Growth Factor-21 Are Increased by Acute Overfeeding in Healthy Humans", "type" : "article-journal", "volume" : "8" }, "uris" : [ "http://www.mendeley.com/documents/?uuid=ae797d52-063c-48a1-af64-a915ea8229fb" ] } ], "mendeley" : { "formattedCitation" : "(39,40)", "plainTextFormattedCitation" : "(39,40)", "previouslyFormattedCitation" : "(39,40)" }, "properties" : { "noteIndex" : 18 }, "schema" : "https://github.com/citation-style-language/schema/raw/master/csl-citation.json" }</w:instrText>
      </w:r>
      <w:r w:rsidR="005C2DCB" w:rsidRPr="00A53A85">
        <w:rPr>
          <w:rFonts w:asciiTheme="majorBidi" w:hAnsiTheme="majorBidi" w:cstheme="majorBidi"/>
          <w:color w:val="000000" w:themeColor="text1"/>
        </w:rPr>
        <w:fldChar w:fldCharType="separate"/>
      </w:r>
      <w:r w:rsidR="007B52A5" w:rsidRPr="007B52A5">
        <w:rPr>
          <w:rFonts w:asciiTheme="majorBidi" w:hAnsiTheme="majorBidi" w:cstheme="majorBidi"/>
          <w:noProof/>
          <w:color w:val="000000" w:themeColor="text1"/>
        </w:rPr>
        <w:t>(39,40)</w:t>
      </w:r>
      <w:r w:rsidR="005C2DCB" w:rsidRPr="00A53A85">
        <w:rPr>
          <w:rFonts w:asciiTheme="majorBidi" w:hAnsiTheme="majorBidi" w:cstheme="majorBidi"/>
          <w:color w:val="000000" w:themeColor="text1"/>
        </w:rPr>
        <w:fldChar w:fldCharType="end"/>
      </w:r>
      <w:r w:rsidR="00EA0B94">
        <w:rPr>
          <w:rFonts w:asciiTheme="majorBidi" w:hAnsiTheme="majorBidi" w:cstheme="majorBidi"/>
          <w:color w:val="000000" w:themeColor="text1"/>
        </w:rPr>
        <w:t>.</w:t>
      </w:r>
      <w:r w:rsidR="00793FC6">
        <w:rPr>
          <w:rFonts w:asciiTheme="majorBidi" w:hAnsiTheme="majorBidi" w:cstheme="majorBidi"/>
          <w:color w:val="000000" w:themeColor="text1"/>
        </w:rPr>
        <w:t xml:space="preserve"> </w:t>
      </w:r>
      <w:r w:rsidR="0029740D">
        <w:rPr>
          <w:rFonts w:asciiTheme="majorBidi" w:hAnsiTheme="majorBidi" w:cstheme="majorBidi"/>
          <w:color w:val="000000" w:themeColor="text1"/>
        </w:rPr>
        <w:t xml:space="preserve">Alternatively, this response </w:t>
      </w:r>
      <w:r w:rsidR="00962332">
        <w:rPr>
          <w:rFonts w:asciiTheme="majorBidi" w:hAnsiTheme="majorBidi" w:cstheme="majorBidi"/>
          <w:color w:val="000000" w:themeColor="text1"/>
        </w:rPr>
        <w:t xml:space="preserve">could be </w:t>
      </w:r>
      <w:r w:rsidR="00781150">
        <w:rPr>
          <w:rFonts w:asciiTheme="majorBidi" w:hAnsiTheme="majorBidi" w:cstheme="majorBidi"/>
          <w:color w:val="000000" w:themeColor="text1"/>
        </w:rPr>
        <w:t xml:space="preserve">attributed to FGF21’s </w:t>
      </w:r>
      <w:r w:rsidR="00E8612B">
        <w:rPr>
          <w:rFonts w:asciiTheme="majorBidi" w:hAnsiTheme="majorBidi" w:cstheme="majorBidi"/>
          <w:color w:val="000000" w:themeColor="text1"/>
        </w:rPr>
        <w:t xml:space="preserve">role in the integrated stress response </w:t>
      </w:r>
      <w:r w:rsidR="005C2DCB" w:rsidRPr="00D731C5">
        <w:rPr>
          <w:rFonts w:asciiTheme="majorBidi" w:hAnsiTheme="majorBidi" w:cstheme="majorBidi"/>
          <w:color w:val="000000" w:themeColor="text1"/>
        </w:rPr>
        <w:fldChar w:fldCharType="begin" w:fldLock="1"/>
      </w:r>
      <w:r w:rsidR="004E386F">
        <w:rPr>
          <w:rFonts w:asciiTheme="majorBidi" w:hAnsiTheme="majorBidi" w:cstheme="majorBidi"/>
          <w:color w:val="000000" w:themeColor="text1"/>
        </w:rPr>
        <w:instrText>ADDIN CSL_CITATION { "citationItems" : [ { "id" : "ITEM-1", "itemData" : { "DOI" : "10.1016/j.cellsig.2017.08.009", "ISSN" : "08986568", "PMID" : "28844867", "abstract" : "FGF21 is a multifunctional metabolic and stress hormone which is normally expressed in liver but cellular stress, e.g. mitochondrial or endoplasmic reticulum (ER) stress, can induce its expression and subsequent secretion from several mammalian tissues. The stress kinases of the integrated stress response (ISR) pathway stimulate the expression of FGF21 through the activation of ATF4 transcription factor, thus enhancing cellular stress resistance. The metabolic and stress-inducible transactivation mechanisms of FGF21 gene are mostly mediated through separate pathways. FGF21 is an interorgan regulator which can alleviate many age-related metabolic and stress disorders, e.g. through the activation of AMPK signaling. FGF21 signaling is also involved in circadian and torpor regulation. Given that circulating FGF21 can attenuate organelle stress, e.g. mitochondrial and ER stresses, it resembles a stress-induced cell non-autonomous regulation of proteostasis and longevity present in model organisms. The overexpression of FGF21 can even extend the lifespan of mice, probably by improving the healthspan. We will clarify the positive and negative signaling mechanisms which control the stress-related expression of FGF21 through the ISR pathway. Moreover, we will examine the role of FGF21 as an interorgan coordinator of survival functions in metabolic and stress disorders. We conclude that FGF21 can be viewed as a cell non-autonomous enhancer of longevity in mammals.", "author" : [ { "dropping-particle" : "", "family" : "Salminen", "given" : "Antero", "non-dropping-particle" : "", "parse-names" : false, "suffix" : "" }, { "dropping-particle" : "", "family" : "Kaarniranta", "given" : "Kai", "non-dropping-particle" : "", "parse-names" : false, "suffix" : "" }, { "dropping-particle" : "", "family" : "Kauppinen", "given" : "Anu", "non-dropping-particle" : "", "parse-names" : false, "suffix" : "" } ], "container-title" : "Cellular Signalling", "id" : "ITEM-1", "issue" : "May", "issued" : { "date-parts" : [ [ "2017", "12" ] ] }, "page" : "10-21", "publisher" : "Elsevier", "title" : "Integrated stress response stimulates FGF21 expression: Systemic enhancer of longevity", "type" : "article-journal", "volume" : "40" }, "uris" : [ "http://www.mendeley.com/documents/?uuid=80833750-e191-49c1-a1b6-d5becfd951a4" ] } ], "mendeley" : { "formattedCitation" : "(24)", "plainTextFormattedCitation" : "(24)", "previouslyFormattedCitation" : "(24)" }, "properties" : { "noteIndex" : 18 }, "schema" : "https://github.com/citation-style-language/schema/raw/master/csl-citation.json" }</w:instrText>
      </w:r>
      <w:r w:rsidR="005C2DCB" w:rsidRPr="00D731C5">
        <w:rPr>
          <w:rFonts w:asciiTheme="majorBidi" w:hAnsiTheme="majorBidi" w:cstheme="majorBidi"/>
          <w:color w:val="000000" w:themeColor="text1"/>
        </w:rPr>
        <w:fldChar w:fldCharType="separate"/>
      </w:r>
      <w:r w:rsidR="00D377E6" w:rsidRPr="00D377E6">
        <w:rPr>
          <w:rFonts w:asciiTheme="majorBidi" w:hAnsiTheme="majorBidi" w:cstheme="majorBidi"/>
          <w:noProof/>
          <w:color w:val="000000" w:themeColor="text1"/>
        </w:rPr>
        <w:t>(24)</w:t>
      </w:r>
      <w:r w:rsidR="005C2DCB" w:rsidRPr="00D731C5">
        <w:rPr>
          <w:rFonts w:asciiTheme="majorBidi" w:hAnsiTheme="majorBidi" w:cstheme="majorBidi"/>
          <w:color w:val="000000" w:themeColor="text1"/>
        </w:rPr>
        <w:fldChar w:fldCharType="end"/>
      </w:r>
      <w:r w:rsidR="0031341F">
        <w:rPr>
          <w:rFonts w:asciiTheme="majorBidi" w:hAnsiTheme="majorBidi" w:cstheme="majorBidi"/>
          <w:color w:val="000000" w:themeColor="text1"/>
        </w:rPr>
        <w:t xml:space="preserve">. </w:t>
      </w:r>
      <w:r w:rsidR="0031341F" w:rsidRPr="00051B72">
        <w:rPr>
          <w:rFonts w:asciiTheme="majorBidi" w:hAnsiTheme="majorBidi" w:cstheme="majorBidi"/>
          <w:color w:val="000000" w:themeColor="text1"/>
        </w:rPr>
        <w:t xml:space="preserve">FGF21 production </w:t>
      </w:r>
      <w:r w:rsidR="00881CBD" w:rsidRPr="00051B72">
        <w:rPr>
          <w:rFonts w:asciiTheme="majorBidi" w:hAnsiTheme="majorBidi" w:cstheme="majorBidi"/>
          <w:color w:val="000000" w:themeColor="text1"/>
        </w:rPr>
        <w:t>is elevated</w:t>
      </w:r>
      <w:r w:rsidR="00881CBD">
        <w:rPr>
          <w:rFonts w:asciiTheme="majorBidi" w:hAnsiTheme="majorBidi" w:cstheme="majorBidi"/>
          <w:color w:val="000000" w:themeColor="text1"/>
        </w:rPr>
        <w:t xml:space="preserve"> in response to hepatic lipotoxicity </w:t>
      </w:r>
      <w:r w:rsidR="00967D44">
        <w:rPr>
          <w:rFonts w:asciiTheme="majorBidi" w:hAnsiTheme="majorBidi" w:cstheme="majorBidi"/>
          <w:color w:val="000000" w:themeColor="text1"/>
        </w:rPr>
        <w:t>and endoplasmic reticulum stress</w:t>
      </w:r>
      <w:r w:rsidR="00885269">
        <w:rPr>
          <w:rFonts w:asciiTheme="majorBidi" w:hAnsiTheme="majorBidi" w:cstheme="majorBidi"/>
          <w:color w:val="000000" w:themeColor="text1"/>
        </w:rPr>
        <w:t xml:space="preserve"> through the </w:t>
      </w:r>
      <w:r w:rsidR="00885269" w:rsidRPr="00FE274B">
        <w:rPr>
          <w:rFonts w:asciiTheme="majorBidi" w:hAnsiTheme="majorBidi" w:cstheme="majorBidi"/>
          <w:color w:val="000000" w:themeColor="text1"/>
        </w:rPr>
        <w:t>PERK-</w:t>
      </w:r>
      <w:r w:rsidR="00FE274B" w:rsidRPr="00FE274B">
        <w:rPr>
          <w:rFonts w:asciiTheme="majorBidi" w:hAnsiTheme="majorBidi" w:cstheme="majorBidi"/>
          <w:color w:val="000000" w:themeColor="text1"/>
        </w:rPr>
        <w:t>eIF2α-ATF4 pathway</w:t>
      </w:r>
      <w:r w:rsidR="00EA0B94" w:rsidRPr="00FE274B">
        <w:rPr>
          <w:rFonts w:asciiTheme="majorBidi" w:hAnsiTheme="majorBidi" w:cstheme="majorBidi"/>
          <w:color w:val="000000" w:themeColor="text1"/>
        </w:rPr>
        <w:t xml:space="preserve"> </w:t>
      </w:r>
      <w:r w:rsidR="005C2DCB" w:rsidRPr="00D731C5">
        <w:rPr>
          <w:rFonts w:asciiTheme="majorBidi" w:hAnsiTheme="majorBidi" w:cstheme="majorBidi"/>
          <w:color w:val="000000" w:themeColor="text1"/>
        </w:rPr>
        <w:fldChar w:fldCharType="begin" w:fldLock="1"/>
      </w:r>
      <w:r w:rsidR="004E386F">
        <w:rPr>
          <w:rFonts w:asciiTheme="majorBidi" w:hAnsiTheme="majorBidi" w:cstheme="majorBidi"/>
          <w:color w:val="000000" w:themeColor="text1"/>
        </w:rPr>
        <w:instrText>ADDIN CSL_CITATION { "citationItems" : [ { "id" : "ITEM-1", "itemData" : { "DOI" : "10.3177/jnsv.64.200", "ISSN" : "0301-4800", "author" : [ { "dropping-particle" : "", "family" : "MARUYAMA", "given" : "Ryuto", "non-dropping-particle" : "", "parse-names" : false, "suffix" : "" }, { "dropping-particle" : "", "family" : "SHIMIZU", "given" : "Makoto", "non-dropping-particle" : "", "parse-names" : false, "suffix" : "" }, { "dropping-particle" : "", "family" : "HASHIDUME", "given" : "Tsutomu", "non-dropping-particle" : "", "parse-names" : false, "suffix" : "" }, { "dropping-particle" : "", "family" : "INOUE", "given" : "Jun", "non-dropping-particle" : "", "parse-names" : false, "suffix" : "" }, { "dropping-particle" : "", "family" : "ITOH", "given" : "Nobuyuki", "non-dropping-particle" : "", "parse-names" : false, "suffix" : "" }, { "dropping-particle" : "", "family" : "SATO", "given" : "Ryuichiro", "non-dropping-particle" : "", "parse-names" : false, "suffix" : "" } ], "container-title" : "Journal of Nutritional Science and Vitaminology", "id" : "ITEM-1", "issue" : "3", "issued" : { "date-parts" : [ [ "2018" ] ] }, "page" : "200-208", "title" : "FGF21 Alleviates Hepatic Endoplasmic Reticulum Stress under Physiological Conditions", "type" : "article-journal", "volume" : "64" }, "uris" : [ "http://www.mendeley.com/documents/?uuid=8e815608-8e5e-45a5-bff0-91fee5f4103e" ] }, { "id" : "ITEM-2", "itemData" : { "DOI" : "10.1002/hep.30060", "ISBN" : "4993120140021", "ISSN" : "02709139", "PMID" : "29698569", "abstract" : "The integrated stress response (ISR) is a signaling system in which the phosphorylation of eukaryotic translation initiation factor 2\u03b1 (eIF2\u03b1) by stress-specific kinases and the subsequent activation of activation transcription factor (ATF) 4 help restore cellular homeostasis following exposure to environmental stresses. ISR activation has been observed in metabolic diseases including hepatic steatosis, steatohepatitis and insulin resistance, but it remains unclear whether ISR contributes to the disease pathogenesis, or represents an innate defense mechanism against metabolic stresses. Constitutive repressor of eIF2\u03b1 phosphorylation (CReP) is a critical regulatory subunit of the eIF2\u03b1 phosphatase complex. Here we show that CReP ablation causes constitutive eIF2\u03b1 phosphorylation in the liver, which leads to activation of the ATF4 transcriptional program including increased Fibroblast growth factor 21 (FGF21) production. Liver-specific CReP knockout (CRePLKO ) mice exhibited marked browning of white adipose tissue, increased energy expenditure and insulin sensitivity in a FGF21-dependent manner. Furthermore, CRePLKO mice were protected from high fat diet (HFD)-induced obesity, hepatic steatosis, and insulin resistance. Acute CReP ablation in the liver of HFD-induced obese mice also reduced adiposity and improved glucose homeostasis. CONCLUSION These data suggest that CReP abundance is a critical determinant for eIF2\u03b1 phosphorylation and ensuing ISR activation in the liver. Constitutive ISR activation in the liver induces FGF21 and confers protection from high-fat diet (HFD)-induced adiposity, insulin resistance and hepatic steatosis in mice. Augmenting hepatic ISR may represent a novel therapeutic approach to treat metabolic disorders. This article is protected by copyright. All rights reserved.", "author" : [ { "dropping-particle" : "", "family" : "Xu", "given" : "Xu", "non-dropping-particle" : "", "parse-names" : false, "suffix" : "" }, { "dropping-particle" : "", "family" : "Krumm", "given" : "Christopher", "non-dropping-particle" : "", "parse-names" : false, "suffix" : "" }, { "dropping-particle" : "", "family" : "So", "given" : "Jae-Seon", "non-dropping-particle" : "", "parse-names" : false, "suffix" : "" }, { "dropping-particle" : "", "family" : "Bare", "given" : "Curtis J.", "non-dropping-particle" : "", "parse-names" : false, "suffix" : "" }, { "dropping-particle" : "", "family" : "Holman", "given" : "Corey", "non-dropping-particle" : "", "parse-names" : false, "suffix" : "" }, { "dropping-particle" : "", "family" : "Gromada", "given" : "Jesper", "non-dropping-particle" : "", "parse-names" : false, "suffix" : "" }, { "dropping-particle" : "", "family" : "Cohen", "given" : "David E.", "non-dropping-particle" : "", "parse-names" : false, "suffix" : "" }, { "dropping-particle" : "", "family" : "Lee", "given" : "Ann-Hwee", "non-dropping-particle" : "", "parse-names" : false, "suffix" : "" } ], "container-title" : "Hepatology", "id" : "ITEM-2", "issue" : "6", "issued" : { "date-parts" : [ [ "2018", "12", "26" ] ] }, "page" : "2167-2181", "title" : "Preemptive Activation of the Integrated Stress Response Protects Mice From Diet-Induced Obesity and Insulin Resistance by Fibroblast Growth Factor 21 Induction", "type" : "article-journal", "volume" : "68" }, "uris" : [ "http://www.mendeley.com/documents/?uuid=652c71b6-7d20-4edd-9a9b-17410fec0f57" ] } ], "mendeley" : { "formattedCitation" : "(25,26)", "plainTextFormattedCitation" : "(25,26)", "previouslyFormattedCitation" : "(25,26)" }, "properties" : { "noteIndex" : 18 }, "schema" : "https://github.com/citation-style-language/schema/raw/master/csl-citation.json" }</w:instrText>
      </w:r>
      <w:r w:rsidR="005C2DCB" w:rsidRPr="00D731C5">
        <w:rPr>
          <w:rFonts w:asciiTheme="majorBidi" w:hAnsiTheme="majorBidi" w:cstheme="majorBidi"/>
          <w:color w:val="000000" w:themeColor="text1"/>
        </w:rPr>
        <w:fldChar w:fldCharType="separate"/>
      </w:r>
      <w:r w:rsidR="00D377E6" w:rsidRPr="00D377E6">
        <w:rPr>
          <w:rFonts w:asciiTheme="majorBidi" w:hAnsiTheme="majorBidi" w:cstheme="majorBidi"/>
          <w:noProof/>
          <w:color w:val="000000" w:themeColor="text1"/>
        </w:rPr>
        <w:t>(25,26)</w:t>
      </w:r>
      <w:r w:rsidR="005C2DCB" w:rsidRPr="00D731C5">
        <w:rPr>
          <w:rFonts w:asciiTheme="majorBidi" w:hAnsiTheme="majorBidi" w:cstheme="majorBidi"/>
          <w:color w:val="000000" w:themeColor="text1"/>
        </w:rPr>
        <w:fldChar w:fldCharType="end"/>
      </w:r>
      <w:r w:rsidR="007D6618">
        <w:rPr>
          <w:rFonts w:asciiTheme="majorBidi" w:hAnsiTheme="majorBidi" w:cstheme="majorBidi"/>
          <w:color w:val="000000" w:themeColor="text1"/>
        </w:rPr>
        <w:t>.</w:t>
      </w:r>
      <w:r w:rsidR="004F765E">
        <w:rPr>
          <w:rFonts w:asciiTheme="majorBidi" w:hAnsiTheme="majorBidi" w:cstheme="majorBidi"/>
          <w:color w:val="000000" w:themeColor="text1"/>
        </w:rPr>
        <w:t xml:space="preserve"> </w:t>
      </w:r>
      <w:r w:rsidR="007D6618">
        <w:rPr>
          <w:rFonts w:asciiTheme="majorBidi" w:hAnsiTheme="majorBidi" w:cstheme="majorBidi"/>
          <w:color w:val="000000" w:themeColor="text1"/>
        </w:rPr>
        <w:t>Notably</w:t>
      </w:r>
      <w:r w:rsidR="004F765E">
        <w:rPr>
          <w:rFonts w:asciiTheme="majorBidi" w:hAnsiTheme="majorBidi" w:cstheme="majorBidi"/>
          <w:color w:val="000000" w:themeColor="text1"/>
        </w:rPr>
        <w:t xml:space="preserve">, this pathway </w:t>
      </w:r>
      <w:r w:rsidR="00372E83">
        <w:rPr>
          <w:rFonts w:asciiTheme="majorBidi" w:hAnsiTheme="majorBidi" w:cstheme="majorBidi"/>
          <w:color w:val="000000" w:themeColor="text1"/>
        </w:rPr>
        <w:t>is</w:t>
      </w:r>
      <w:r w:rsidR="004F765E">
        <w:rPr>
          <w:rFonts w:asciiTheme="majorBidi" w:hAnsiTheme="majorBidi" w:cstheme="majorBidi"/>
          <w:color w:val="000000" w:themeColor="text1"/>
        </w:rPr>
        <w:t xml:space="preserve"> activated </w:t>
      </w:r>
      <w:r w:rsidR="00E81B8A">
        <w:rPr>
          <w:rFonts w:asciiTheme="majorBidi" w:hAnsiTheme="majorBidi" w:cstheme="majorBidi"/>
          <w:color w:val="000000" w:themeColor="text1"/>
        </w:rPr>
        <w:t xml:space="preserve">by the consumption of a high-fat diet </w:t>
      </w:r>
      <w:r w:rsidR="005C2DCB" w:rsidRPr="00A53A85">
        <w:rPr>
          <w:rFonts w:asciiTheme="majorBidi" w:hAnsiTheme="majorBidi" w:cstheme="majorBidi"/>
          <w:color w:val="000000" w:themeColor="text1"/>
        </w:rPr>
        <w:fldChar w:fldCharType="begin" w:fldLock="1"/>
      </w:r>
      <w:r w:rsidR="007B52A5">
        <w:rPr>
          <w:rFonts w:asciiTheme="majorBidi" w:hAnsiTheme="majorBidi" w:cstheme="majorBidi"/>
          <w:color w:val="000000" w:themeColor="text1"/>
        </w:rPr>
        <w:instrText>ADDIN CSL_CITATION { "citationItems" : [ { "id" : "ITEM-1", "itemData" : { "DOI" : "10.1074/jbc.M111.228817", "ISSN" : "0021-9258", "abstract" : "Recent studies have implicated endoplasmic reticulum (ER) stress in insulin resistance associated with caloric excess. Surprisingly we did not detect activation of ER stress pathways in mice placed on a 3 day high fat diet (HFD), despite hepatic lipid accumulation and insulin resistance. However, infusion of insulin in a hyperinsulinemic euglycemic clamp induced conspicuous ER stress in the 3day HFD mice, which was mirrored by enhanced ER stress markers following exposure of primary hepatocytes to insulin in vitro. To clarify the role of the liver ER stress-dependent eIF2\u03b1-P pathway in response to acute caloric excess on liver and muscle glucose and lipid metabolism, we studied transgenic mice in which the hepatic ER stress-dependent eIF2\u03b1-P pathway was inhibited by over-expressing a constitutively active C-terminal fragment of GADD34/PPP1R15a (GC), a regulatory subunit of phosphatase that terminates ER stress signaling by phospho-eIF2\u03b1. Inhibition of the eIF2\u03b1-P signaling in liver led to a decrease in fasting plasma glucose concentration, which could be attributed to reduced hepatic glucose production in the basal and clamped state. In contrast, these mice were surprisingly found to have impaired insulin-stimulated muscle and adipose tissue insulin sensitivity. This latter effect could be attributed to an increase in circulating IGFBP-3 levels in the transgenic animals. These data imply that hepatic ER stress signaling is not requisite for hepatic insulin resistance and may be a consequence of hyperinsulinemia. Moreover, hepatic ER stress-dependent eIF2\u03b1-P signaling is implicated in an unanticipated cross-talk between the liver and peripheral organs to influences insulin sensitivity via IGBBP-3.", "author" : [ { "dropping-particle" : "", "family" : "Birkenfeld", "given" : "Andreas L", "non-dropping-particle" : "", "parse-names" : false, "suffix" : "" }, { "dropping-particle" : "", "family" : "Lee", "given" : "Hui-Young", "non-dropping-particle" : "", "parse-names" : false, "suffix" : "" }, { "dropping-particle" : "", "family" : "Majumdar", "given" : "Sachin", "non-dropping-particle" : "", "parse-names" : false, "suffix" : "" }, { "dropping-particle" : "", "family" : "Jurczak", "given" : "Michael J.", "non-dropping-particle" : "", "parse-names" : false, "suffix" : "" }, { "dropping-particle" : "", "family" : "Camporez", "given" : "Joao Paulo", "non-dropping-particle" : "", "parse-names" : false, "suffix" : "" }, { "dropping-particle" : "", "family" : "Jornayvaz", "given" : "Francois R", "non-dropping-particle" : "", "parse-names" : false, "suffix" : "" }, { "dropping-particle" : "", "family" : "Frederick", "given" : "David W", "non-dropping-particle" : "", "parse-names" : false, "suffix" : "" }, { "dropping-particle" : "", "family" : "Guigni", "given" : "Blas", "non-dropping-particle" : "", "parse-names" : false, "suffix" : "" }, { "dropping-particle" : "", "family" : "Kahn", "given" : "Mario", "non-dropping-particle" : "", "parse-names" : false, "suffix" : "" }, { "dropping-particle" : "", "family" : "Zhang", "given" : "Dongyang", "non-dropping-particle" : "", "parse-names" : false, "suffix" : "" }, { "dropping-particle" : "", "family" : "Weismann", "given" : "Dirk", "non-dropping-particle" : "", "parse-names" : false, "suffix" : "" }, { "dropping-particle" : "", "family" : "Arafat", "given" : "Ayman M", "non-dropping-particle" : "", "parse-names" : false, "suffix" : "" }, { "dropping-particle" : "", "family" : "Pfeiffer", "given" : "Andreas F", "non-dropping-particle" : "", "parse-names" : false, "suffix" : "" }, { "dropping-particle" : "", "family" : "Lieske", "given" : "Stefanie", "non-dropping-particle" : "", "parse-names" : false, "suffix" : "" }, { "dropping-particle" : "", "family" : "Oyadomari", "given" : "Seiichi", "non-dropping-particle" : "", "parse-names" : false, "suffix" : "" }, { "dropping-particle" : "", "family" : "Ron", "given" : "David", "non-dropping-particle" : "", "parse-names" : false, "suffix" : "" }, { "dropping-particle" : "", "family" : "Samuel", "given" : "Varman T", "non-dropping-particle" : "", "parse-names" : false, "suffix" : "" }, { "dropping-particle" : "", "family" : "Shulman", "given" : "Gerald I", "non-dropping-particle" : "", "parse-names" : false, "suffix" : "" } ], "container-title" : "Journal of Biological Chemistry", "id" : "ITEM-1", "issue" : "42", "issued" : { "date-parts" : [ [ "2011", "10", "21" ] ] }, "page" : "36163-36170", "title" : "Influence of the Hepatic Eukaryotic Initiation Factor 2\u03b1 (eIF2\u03b1) Endoplasmic Reticulum (ER) Stress Response Pathway on Insulin-mediated ER Stress and Hepatic and Peripheral Glucose Metabolism", "type" : "article-journal", "volume" : "286" }, "uris" : [ "http://www.mendeley.com/documents/?uuid=acab869d-5e39-4fab-9a50-101e3cf93d70" ] } ], "mendeley" : { "formattedCitation" : "(47)", "manualFormatting" : "(44", "plainTextFormattedCitation" : "(47)", "previouslyFormattedCitation" : "(47)" }, "properties" : { "noteIndex" : 18 }, "schema" : "https://github.com/citation-style-language/schema/raw/master/csl-citation.json" }</w:instrText>
      </w:r>
      <w:r w:rsidR="005C2DCB" w:rsidRPr="00A53A85">
        <w:rPr>
          <w:rFonts w:asciiTheme="majorBidi" w:hAnsiTheme="majorBidi" w:cstheme="majorBidi"/>
          <w:color w:val="000000" w:themeColor="text1"/>
        </w:rPr>
        <w:fldChar w:fldCharType="separate"/>
      </w:r>
      <w:r w:rsidR="00D47604" w:rsidRPr="00D47604">
        <w:rPr>
          <w:rFonts w:asciiTheme="majorBidi" w:hAnsiTheme="majorBidi" w:cstheme="majorBidi"/>
          <w:noProof/>
          <w:color w:val="000000" w:themeColor="text1"/>
        </w:rPr>
        <w:t>(4</w:t>
      </w:r>
      <w:r w:rsidR="00E25617">
        <w:rPr>
          <w:rFonts w:asciiTheme="majorBidi" w:hAnsiTheme="majorBidi" w:cstheme="majorBidi"/>
          <w:noProof/>
          <w:color w:val="000000" w:themeColor="text1"/>
        </w:rPr>
        <w:t>7</w:t>
      </w:r>
      <w:r w:rsidR="005C2DCB" w:rsidRPr="00A53A85">
        <w:rPr>
          <w:rFonts w:asciiTheme="majorBidi" w:hAnsiTheme="majorBidi" w:cstheme="majorBidi"/>
          <w:color w:val="000000" w:themeColor="text1"/>
        </w:rPr>
        <w:fldChar w:fldCharType="end"/>
      </w:r>
      <w:r w:rsidR="00177373" w:rsidRPr="00177373">
        <w:rPr>
          <w:rFonts w:asciiTheme="majorBidi" w:hAnsiTheme="majorBidi" w:cstheme="majorBidi"/>
          <w:color w:val="000000" w:themeColor="text1"/>
        </w:rPr>
        <w:t>,</w:t>
      </w:r>
      <w:r w:rsidR="0054113C">
        <w:rPr>
          <w:rFonts w:asciiTheme="majorBidi" w:hAnsiTheme="majorBidi" w:cstheme="majorBidi"/>
          <w:noProof/>
          <w:color w:val="000000" w:themeColor="text1"/>
        </w:rPr>
        <w:fldChar w:fldCharType="begin" w:fldLock="1"/>
      </w:r>
      <w:r w:rsidR="007B52A5">
        <w:rPr>
          <w:rFonts w:asciiTheme="majorBidi" w:hAnsiTheme="majorBidi" w:cstheme="majorBidi"/>
          <w:noProof/>
          <w:color w:val="000000" w:themeColor="text1"/>
        </w:rPr>
        <w:instrText>ADDIN CSL_CITATION { "citationItems" : [ { "id" : "ITEM-1", "itemData" : { "DOI" : "10.1038/oby.2011.71", "ISSN" : "1930-7381", "abstract" : "Endoplasmic reticulum (ER) stress has recently been implicated as a cause for obesity-related insulin resistance; however, what causes ER stress in obesity has remained uncertain. Here, we have tested the hypothesis that macronutrients can cause acute (ER) stress in rat liver. Examined were the effects of intravenously infused glucose and/or lipids on proximal ER stress sensor activation (PERK, eIF2-\u03b1, ATF4, Xbox protein 1 (XBP1s)), unfolded protein response (UPR) proteins (GRP78, calnexin, calreticulin, protein disulphide isomerase (PDI), stress kinases (JNK, p38 MAPK) and insulin signaling (insulin/receptor substrate (IRS) 1/2 associated phosphoinositol-3-kinase (PI3K)) in rat liver. Glucose and/or lipid infusions, ranging from 23.8 to 69.5 kJ/4 h (equivalent to between ~17% and ~50% of normal daily energy intake), activated the proximal ER stress sensor PERK and ATF6 increased the protein abundance of calnexin, calreticulin and PDI and increased two GRP78 isoforms. Glucose and glucose plus lipid infusions induced comparable degrees of ER stress, but only infusions containing lipid activated stress kinases (JNK and p38 MAPK) and inhibited insulin signaling (PI3K). In summary, physiologic amounts of both glucose and lipids acutely increased ER stress in livers 12-h fasted rats and dependent on the presence of fat, caused insulin resistance. We conclude that this type of acute ER stress is likely to occur during normal daily nutrient intake.", "author" : [ { "dropping-particle" : "", "family" : "Boden", "given" : "Guenther", "non-dropping-particle" : "", "parse-names" : false, "suffix" : "" }, { "dropping-particle" : "", "family" : "Song", "given" : "Weiwei", "non-dropping-particle" : "", "parse-names" : false, "suffix" : "" }, { "dropping-particle" : "", "family" : "Duan", "given" : "Xunbao", "non-dropping-particle" : "", "parse-names" : false, "suffix" : "" }, { "dropping-particle" : "", "family" : "Cheung", "given" : "Peter", "non-dropping-particle" : "", "parse-names" : false, "suffix" : "" }, { "dropping-particle" : "", "family" : "Kresge", "given" : "Karen", "non-dropping-particle" : "", "parse-names" : false, "suffix" : "" }, { "dropping-particle" : "", "family" : "Barrero", "given" : "Carlos", "non-dropping-particle" : "", "parse-names" : false, "suffix" : "" }, { "dropping-particle" : "", "family" : "Merali", "given" : "Salim", "non-dropping-particle" : "", "parse-names" : false, "suffix" : "" } ], "container-title" : "Obesity", "id" : "ITEM-1", "issue" : "7", "issued" : { "date-parts" : [ [ "2011", "7", "7" ] ] }, "page" : "1366-1373", "publisher" : "Nature Publishing Group", "title" : "Infusion of Glucose and Lipids at Physiological Rates Causes Acute Endoplasmic Reticulum Stress in Rat Liver", "type" : "article-journal", "volume" : "19" }, "uris" : [ "http://www.mendeley.com/documents/?uuid=0da23479-b1ae-4b2a-95dd-653a69b4ca98" ] } ], "mendeley" : { "formattedCitation" : "(48)", "manualFormatting" : "45)", "plainTextFormattedCitation" : "(48)", "previouslyFormattedCitation" : "(48)" }, "properties" : { "noteIndex" : 19 }, "schema" : "https://github.com/citation-style-language/schema/raw/master/csl-citation.json" }</w:instrText>
      </w:r>
      <w:r w:rsidR="0054113C">
        <w:rPr>
          <w:rFonts w:asciiTheme="majorBidi" w:hAnsiTheme="majorBidi" w:cstheme="majorBidi"/>
          <w:noProof/>
          <w:color w:val="000000" w:themeColor="text1"/>
        </w:rPr>
        <w:fldChar w:fldCharType="separate"/>
      </w:r>
      <w:r w:rsidR="0054113C" w:rsidRPr="0054113C">
        <w:rPr>
          <w:rFonts w:asciiTheme="majorBidi" w:hAnsiTheme="majorBidi" w:cstheme="majorBidi"/>
          <w:noProof/>
          <w:color w:val="000000" w:themeColor="text1"/>
        </w:rPr>
        <w:t>4</w:t>
      </w:r>
      <w:r w:rsidR="00E25617">
        <w:rPr>
          <w:rFonts w:asciiTheme="majorBidi" w:hAnsiTheme="majorBidi" w:cstheme="majorBidi"/>
          <w:noProof/>
          <w:color w:val="000000" w:themeColor="text1"/>
        </w:rPr>
        <w:t>8</w:t>
      </w:r>
      <w:r w:rsidR="0054113C" w:rsidRPr="0054113C">
        <w:rPr>
          <w:rFonts w:asciiTheme="majorBidi" w:hAnsiTheme="majorBidi" w:cstheme="majorBidi"/>
          <w:noProof/>
          <w:color w:val="000000" w:themeColor="text1"/>
        </w:rPr>
        <w:t>)</w:t>
      </w:r>
      <w:r w:rsidR="0054113C">
        <w:rPr>
          <w:rFonts w:asciiTheme="majorBidi" w:hAnsiTheme="majorBidi" w:cstheme="majorBidi"/>
          <w:noProof/>
          <w:color w:val="000000" w:themeColor="text1"/>
        </w:rPr>
        <w:fldChar w:fldCharType="end"/>
      </w:r>
      <w:r w:rsidR="007D6618">
        <w:rPr>
          <w:rFonts w:asciiTheme="majorBidi" w:hAnsiTheme="majorBidi" w:cstheme="majorBidi"/>
          <w:color w:val="000000" w:themeColor="text1"/>
        </w:rPr>
        <w:t>;</w:t>
      </w:r>
      <w:r w:rsidR="00E81B8A" w:rsidRPr="00177373">
        <w:rPr>
          <w:rFonts w:asciiTheme="majorBidi" w:hAnsiTheme="majorBidi" w:cstheme="majorBidi"/>
          <w:color w:val="000000" w:themeColor="text1"/>
        </w:rPr>
        <w:t xml:space="preserve"> </w:t>
      </w:r>
      <w:r w:rsidR="00C03B81" w:rsidRPr="00177373">
        <w:rPr>
          <w:rFonts w:asciiTheme="majorBidi" w:hAnsiTheme="majorBidi" w:cstheme="majorBidi"/>
          <w:color w:val="000000" w:themeColor="text1"/>
        </w:rPr>
        <w:t>particular</w:t>
      </w:r>
      <w:r w:rsidR="006F1032">
        <w:rPr>
          <w:rFonts w:asciiTheme="majorBidi" w:hAnsiTheme="majorBidi" w:cstheme="majorBidi"/>
          <w:color w:val="000000" w:themeColor="text1"/>
        </w:rPr>
        <w:t>ly diets high in</w:t>
      </w:r>
      <w:r w:rsidR="00C03B81" w:rsidRPr="00177373">
        <w:rPr>
          <w:rFonts w:asciiTheme="majorBidi" w:hAnsiTheme="majorBidi" w:cstheme="majorBidi"/>
          <w:color w:val="000000" w:themeColor="text1"/>
        </w:rPr>
        <w:t xml:space="preserve"> sa</w:t>
      </w:r>
      <w:r w:rsidR="00F16B89" w:rsidRPr="00177373">
        <w:rPr>
          <w:rFonts w:asciiTheme="majorBidi" w:hAnsiTheme="majorBidi" w:cstheme="majorBidi"/>
          <w:color w:val="000000" w:themeColor="text1"/>
        </w:rPr>
        <w:t>turated fatty acids</w:t>
      </w:r>
      <w:r w:rsidR="00827B2C" w:rsidRPr="00177373">
        <w:rPr>
          <w:rFonts w:asciiTheme="majorBidi" w:hAnsiTheme="majorBidi" w:cstheme="majorBidi"/>
          <w:color w:val="000000" w:themeColor="text1"/>
        </w:rPr>
        <w:t xml:space="preserve"> </w:t>
      </w:r>
      <w:r w:rsidR="0054113C">
        <w:rPr>
          <w:rFonts w:asciiTheme="majorBidi" w:hAnsiTheme="majorBidi" w:cstheme="majorBidi"/>
          <w:color w:val="000000" w:themeColor="text1"/>
        </w:rPr>
        <w:fldChar w:fldCharType="begin" w:fldLock="1"/>
      </w:r>
      <w:r w:rsidR="007B52A5">
        <w:rPr>
          <w:rFonts w:asciiTheme="majorBidi" w:hAnsiTheme="majorBidi" w:cstheme="majorBidi"/>
          <w:color w:val="000000" w:themeColor="text1"/>
        </w:rPr>
        <w:instrText>ADDIN CSL_CITATION { "citationItems" : [ { "id" : "ITEM-1", "itemData" : { "DOI" : "10.1194/jlr.M050237", "ISSN" : "0022-2275", "abstract" : "Alcoholic liver disease (ALD) is a serious liver problem in western countries. Our previous study has demonstrated that vitamin C plays a protective role in ALD. The vitamin C homeostasis is tightly regulated by sodium-dependent vitamin C transporters (SVCTs) 1 and 2. But the role of two SVCTs in ALD is less understood. In this study, we examined the expression patterns of two SVCTs in mice after alcohol consumption. Our results suggested that alcohol consumption obviously increased the expression of two SVCTs in liver and SVCT1 in kidney and intestine, which is important for vitamin C absorption. Vitamin C supplement increased the sera vitamin C content and ameliorated the symptom of ALD. Intestinal absorption and renal re-absorption mediated by SVCT1 are key factors to increase the sera vitamin C content after alcohol consumption. We proposed that both reactive oxygen species and low vitamin C concentration regulate the expression of SVCTs, and the protective role of vitamin C is mediated by suppressing the stability of hypoxia-inducible factor-1alpha. Thus, our study is significant for the understanding of vitamin C homeostasis in ALD and for better use of other antioxidants in ALD therapy.", "author" : [ { "dropping-particle" : "", "family" : "Leamy", "given" : "Alexandra K.", "non-dropping-particle" : "", "parse-names" : false, "suffix" : "" }, { "dropping-particle" : "", "family" : "Egnatchik", "given" : "Robert A.", "non-dropping-particle" : "", "parse-names" : false, "suffix" : "" }, { "dropping-particle" : "", "family" : "Shiota", "given" : "Masakazu", "non-dropping-particle" : "", "parse-names" : false, "suffix" : "" }, { "dropping-particle" : "", "family" : "Ivanova", "given" : "Pavlina T.", "non-dropping-particle" : "", "parse-names" : false, "suffix" : "" }, { "dropping-particle" : "", "family" : "Myers", "given" : "David S.", "non-dropping-particle" : "", "parse-names" : false, "suffix" : "" }, { "dropping-particle" : "", "family" : "Brown", "given" : "H. Alex", "non-dropping-particle" : "", "parse-names" : false, "suffix" : "" }, { "dropping-particle" : "", "family" : "Young", "given" : "Jamey D.", "non-dropping-particle" : "", "parse-names" : false, "suffix" : "" } ], "container-title" : "Journal of Lipid Research", "id" : "ITEM-1", "issue" : "7", "issued" : { "date-parts" : [ [ "2014", "7" ] ] }, "page" : "1478-1488", "title" : "Enhanced synthesis of saturated phospholipids is associated with ER stress and lipotoxicity in palmitate treated hepatic cells", "type" : "article-journal", "volume" : "55" }, "uris" : [ "http://www.mendeley.com/documents/?uuid=6e6aaf21-1fa1-4432-9ec8-92bf1e6f75a1" ] } ], "mendeley" : { "formattedCitation" : "(49)", "plainTextFormattedCitation" : "(49)", "previouslyFormattedCitation" : "(49)" }, "properties" : { "noteIndex" : 19 }, "schema" : "https://github.com/citation-style-language/schema/raw/master/csl-citation.json" }</w:instrText>
      </w:r>
      <w:r w:rsidR="0054113C">
        <w:rPr>
          <w:rFonts w:asciiTheme="majorBidi" w:hAnsiTheme="majorBidi" w:cstheme="majorBidi"/>
          <w:color w:val="000000" w:themeColor="text1"/>
        </w:rPr>
        <w:fldChar w:fldCharType="separate"/>
      </w:r>
      <w:r w:rsidR="007B52A5" w:rsidRPr="007B52A5">
        <w:rPr>
          <w:rFonts w:asciiTheme="majorBidi" w:hAnsiTheme="majorBidi" w:cstheme="majorBidi"/>
          <w:noProof/>
          <w:color w:val="000000" w:themeColor="text1"/>
        </w:rPr>
        <w:t>(49)</w:t>
      </w:r>
      <w:r w:rsidR="0054113C">
        <w:rPr>
          <w:rFonts w:asciiTheme="majorBidi" w:hAnsiTheme="majorBidi" w:cstheme="majorBidi"/>
          <w:color w:val="000000" w:themeColor="text1"/>
        </w:rPr>
        <w:fldChar w:fldCharType="end"/>
      </w:r>
      <w:r w:rsidR="00827B2C" w:rsidRPr="00177373">
        <w:rPr>
          <w:rFonts w:asciiTheme="majorBidi" w:hAnsiTheme="majorBidi" w:cstheme="majorBidi"/>
          <w:color w:val="000000" w:themeColor="text1"/>
        </w:rPr>
        <w:t xml:space="preserve">. </w:t>
      </w:r>
      <w:r w:rsidR="00825165" w:rsidRPr="00177373">
        <w:rPr>
          <w:rFonts w:asciiTheme="majorBidi" w:hAnsiTheme="majorBidi" w:cstheme="majorBidi"/>
          <w:color w:val="000000" w:themeColor="text1"/>
        </w:rPr>
        <w:t>Therefore</w:t>
      </w:r>
      <w:r w:rsidR="00825165">
        <w:rPr>
          <w:rFonts w:asciiTheme="majorBidi" w:hAnsiTheme="majorBidi" w:cstheme="majorBidi"/>
          <w:color w:val="000000" w:themeColor="text1"/>
        </w:rPr>
        <w:t xml:space="preserve">, the rapid induction </w:t>
      </w:r>
      <w:r w:rsidR="00FA66DA">
        <w:rPr>
          <w:rFonts w:asciiTheme="majorBidi" w:hAnsiTheme="majorBidi" w:cstheme="majorBidi"/>
          <w:color w:val="000000" w:themeColor="text1"/>
        </w:rPr>
        <w:t>of FGF21 may be an adaptive response to maintain metabolic function in a state of nutritional</w:t>
      </w:r>
      <w:r w:rsidR="00EA0C92">
        <w:rPr>
          <w:rFonts w:asciiTheme="majorBidi" w:hAnsiTheme="majorBidi" w:cstheme="majorBidi"/>
          <w:color w:val="000000" w:themeColor="text1"/>
        </w:rPr>
        <w:t xml:space="preserve"> and energetic stress; however, the exact physiological role in humans needs to be explored </w:t>
      </w:r>
      <w:r w:rsidR="004634EC">
        <w:rPr>
          <w:rFonts w:asciiTheme="majorBidi" w:hAnsiTheme="majorBidi" w:cstheme="majorBidi"/>
          <w:color w:val="000000" w:themeColor="text1"/>
        </w:rPr>
        <w:t>further</w:t>
      </w:r>
      <w:r w:rsidR="00EA0C92">
        <w:rPr>
          <w:rFonts w:asciiTheme="majorBidi" w:hAnsiTheme="majorBidi" w:cstheme="majorBidi"/>
          <w:color w:val="000000" w:themeColor="text1"/>
        </w:rPr>
        <w:t xml:space="preserve">. </w:t>
      </w:r>
    </w:p>
    <w:p w14:paraId="69644A66" w14:textId="4664ACC9" w:rsidR="00CF394A" w:rsidRPr="00954E06" w:rsidRDefault="008A23C7" w:rsidP="003E1817">
      <w:pPr>
        <w:spacing w:line="480" w:lineRule="auto"/>
        <w:jc w:val="both"/>
        <w:rPr>
          <w:rFonts w:asciiTheme="majorBidi" w:hAnsiTheme="majorBidi" w:cstheme="majorBidi"/>
          <w:bCs/>
        </w:rPr>
      </w:pPr>
      <w:r>
        <w:rPr>
          <w:rFonts w:asciiTheme="majorBidi" w:hAnsiTheme="majorBidi" w:cstheme="majorBidi"/>
          <w:color w:val="000000" w:themeColor="text1"/>
        </w:rPr>
        <w:t>It is unclear</w:t>
      </w:r>
      <w:r w:rsidR="000B692C">
        <w:rPr>
          <w:rFonts w:asciiTheme="majorBidi" w:hAnsiTheme="majorBidi" w:cstheme="majorBidi"/>
          <w:color w:val="000000" w:themeColor="text1"/>
        </w:rPr>
        <w:t xml:space="preserve"> </w:t>
      </w:r>
      <w:r w:rsidR="002F52F9">
        <w:rPr>
          <w:rFonts w:asciiTheme="majorBidi" w:hAnsiTheme="majorBidi" w:cstheme="majorBidi"/>
          <w:color w:val="000000" w:themeColor="text1"/>
        </w:rPr>
        <w:t xml:space="preserve">why </w:t>
      </w:r>
      <w:r w:rsidR="00FE0ECF">
        <w:rPr>
          <w:rFonts w:asciiTheme="majorBidi" w:hAnsiTheme="majorBidi" w:cstheme="majorBidi"/>
          <w:color w:val="000000" w:themeColor="text1"/>
        </w:rPr>
        <w:t xml:space="preserve">the elevation in circulating FGF21 did not persist after seven days. </w:t>
      </w:r>
      <w:r w:rsidR="00EA623E">
        <w:rPr>
          <w:rFonts w:asciiTheme="majorBidi" w:hAnsiTheme="majorBidi" w:cstheme="majorBidi"/>
          <w:color w:val="000000" w:themeColor="text1"/>
        </w:rPr>
        <w:t xml:space="preserve">A speculative hypothesis could be </w:t>
      </w:r>
      <w:r w:rsidR="00B9191B">
        <w:rPr>
          <w:rFonts w:asciiTheme="majorBidi" w:hAnsiTheme="majorBidi" w:cstheme="majorBidi"/>
          <w:color w:val="000000" w:themeColor="text1"/>
        </w:rPr>
        <w:t>related to</w:t>
      </w:r>
      <w:r w:rsidR="00E64E72">
        <w:rPr>
          <w:rFonts w:asciiTheme="majorBidi" w:hAnsiTheme="majorBidi" w:cstheme="majorBidi"/>
          <w:color w:val="000000" w:themeColor="text1"/>
        </w:rPr>
        <w:t xml:space="preserve"> </w:t>
      </w:r>
      <w:r w:rsidR="00241101">
        <w:rPr>
          <w:rFonts w:asciiTheme="majorBidi" w:hAnsiTheme="majorBidi" w:cstheme="majorBidi"/>
          <w:color w:val="000000" w:themeColor="text1"/>
        </w:rPr>
        <w:t>the sample</w:t>
      </w:r>
      <w:r w:rsidR="00E64E72">
        <w:rPr>
          <w:rFonts w:asciiTheme="majorBidi" w:hAnsiTheme="majorBidi" w:cstheme="majorBidi"/>
          <w:color w:val="000000" w:themeColor="text1"/>
        </w:rPr>
        <w:t xml:space="preserve"> of healthy and ‘metabolically flexible’ participants </w:t>
      </w:r>
      <w:r w:rsidR="00782D59">
        <w:rPr>
          <w:rFonts w:asciiTheme="majorBidi" w:hAnsiTheme="majorBidi" w:cstheme="majorBidi"/>
          <w:color w:val="000000" w:themeColor="text1"/>
        </w:rPr>
        <w:t>being</w:t>
      </w:r>
      <w:r w:rsidR="00367003">
        <w:rPr>
          <w:rFonts w:asciiTheme="majorBidi" w:hAnsiTheme="majorBidi" w:cstheme="majorBidi"/>
          <w:color w:val="000000" w:themeColor="text1"/>
        </w:rPr>
        <w:t xml:space="preserve"> able to increase their sensitivity to FGF21</w:t>
      </w:r>
      <w:r w:rsidR="00494B65">
        <w:rPr>
          <w:rFonts w:asciiTheme="majorBidi" w:hAnsiTheme="majorBidi" w:cstheme="majorBidi"/>
          <w:color w:val="000000" w:themeColor="text1"/>
        </w:rPr>
        <w:t xml:space="preserve">, thereby </w:t>
      </w:r>
      <w:r w:rsidR="00367003">
        <w:rPr>
          <w:rFonts w:asciiTheme="majorBidi" w:hAnsiTheme="majorBidi" w:cstheme="majorBidi"/>
          <w:color w:val="000000" w:themeColor="text1"/>
        </w:rPr>
        <w:t>normalis</w:t>
      </w:r>
      <w:r w:rsidR="00494B65">
        <w:rPr>
          <w:rFonts w:asciiTheme="majorBidi" w:hAnsiTheme="majorBidi" w:cstheme="majorBidi"/>
          <w:color w:val="000000" w:themeColor="text1"/>
        </w:rPr>
        <w:t>ing</w:t>
      </w:r>
      <w:r w:rsidR="00367003">
        <w:rPr>
          <w:rFonts w:asciiTheme="majorBidi" w:hAnsiTheme="majorBidi" w:cstheme="majorBidi"/>
          <w:color w:val="000000" w:themeColor="text1"/>
        </w:rPr>
        <w:t xml:space="preserve"> </w:t>
      </w:r>
      <w:r w:rsidR="00B103D7">
        <w:rPr>
          <w:rFonts w:asciiTheme="majorBidi" w:hAnsiTheme="majorBidi" w:cstheme="majorBidi"/>
          <w:color w:val="000000" w:themeColor="text1"/>
        </w:rPr>
        <w:t xml:space="preserve">circulating concentrations. </w:t>
      </w:r>
      <w:r w:rsidR="001C5632">
        <w:rPr>
          <w:rFonts w:asciiTheme="majorBidi" w:hAnsiTheme="majorBidi" w:cstheme="majorBidi"/>
          <w:color w:val="000000" w:themeColor="text1"/>
        </w:rPr>
        <w:t>Recently</w:t>
      </w:r>
      <w:r w:rsidR="006C5924">
        <w:rPr>
          <w:rFonts w:asciiTheme="majorBidi" w:hAnsiTheme="majorBidi" w:cstheme="majorBidi"/>
          <w:color w:val="000000" w:themeColor="text1"/>
        </w:rPr>
        <w:t>, it was shown that a</w:t>
      </w:r>
      <w:r w:rsidR="00CD5DA0">
        <w:rPr>
          <w:rFonts w:asciiTheme="majorBidi" w:hAnsiTheme="majorBidi" w:cstheme="majorBidi"/>
          <w:color w:val="000000" w:themeColor="text1"/>
        </w:rPr>
        <w:t xml:space="preserve">dipose tissue expression of FGF21 receptors </w:t>
      </w:r>
      <w:r w:rsidR="006C5924">
        <w:rPr>
          <w:rFonts w:asciiTheme="majorBidi" w:hAnsiTheme="majorBidi" w:cstheme="majorBidi"/>
          <w:color w:val="000000" w:themeColor="text1"/>
        </w:rPr>
        <w:t>is</w:t>
      </w:r>
      <w:r w:rsidR="0072594A">
        <w:rPr>
          <w:rFonts w:asciiTheme="majorBidi" w:hAnsiTheme="majorBidi" w:cstheme="majorBidi"/>
          <w:color w:val="000000" w:themeColor="text1"/>
        </w:rPr>
        <w:t xml:space="preserve"> altered after 60 hours of fasting in humans</w:t>
      </w:r>
      <w:r w:rsidR="0060554A">
        <w:rPr>
          <w:rFonts w:asciiTheme="majorBidi" w:hAnsiTheme="majorBidi" w:cstheme="majorBidi"/>
          <w:color w:val="000000" w:themeColor="text1"/>
        </w:rPr>
        <w:t xml:space="preserve"> </w:t>
      </w:r>
      <w:r w:rsidR="00717E43" w:rsidRPr="00A53A85">
        <w:rPr>
          <w:rFonts w:asciiTheme="majorBidi" w:hAnsiTheme="majorBidi" w:cstheme="majorBidi"/>
          <w:color w:val="000000" w:themeColor="text1"/>
        </w:rPr>
        <w:fldChar w:fldCharType="begin" w:fldLock="1"/>
      </w:r>
      <w:r w:rsidR="007B52A5">
        <w:rPr>
          <w:rFonts w:asciiTheme="majorBidi" w:hAnsiTheme="majorBidi" w:cstheme="majorBidi"/>
          <w:color w:val="000000" w:themeColor="text1"/>
        </w:rPr>
        <w:instrText>ADDIN CSL_CITATION { "citationItems" : [ { "id" : "ITEM-1", "itemData" : { "DOI" : "10.1530/JOE-18-0002", "ISSN" : "0022-0795", "abstract" : "Fibroblast growth factor 21 (FGF21) is a metabolic regulator of energy and lipid metabolism. FGF21 is highly expressed in liver while FGF21 receptors (beta-klotho (KLB) and FGFR1c) are highly expressed in white adipose tissues (WATs). Plasma FGF21 has been shown to be increased after 7\u201310 days of fasting but oppositely plasma FGF21 is also increased in obesity. The aim of this study was to measure the effect of 60 h of fasting on plasma FGF21 levels in obese and lean subjects and to determine the gene expression of KLB and FGFR1c in the subcutaneous WAT before, during and after 60 h of fasting. Eight obese (BMI &gt;30 kg/m 2 ) and seven lean subjects (BMI &lt;25 kg/m 2 ) were fasted for 60 h and blood samples were taken at time 0 and after 12, 36 and 60 h of fasting. A biopsy from the subcutaneous WAT was taken at time 0, 12 and 60 h of fasting. FGF21 was measured in plasma by an ELISA and mRNA expression of KLB and FGFR1c was measured in WAT by quantitative PCR (qPCR). The fast significantly decreased plasma FGF21 in obese subjects while no change in plasma FGF21 was observed in lean subjects. Interestingly, KLB was significantly decreased in WAT in response to fasting in both lean and obese subjects indicating a potential important adaptive regulation of KLB in response to fasting.", "author" : [ { "dropping-particle" : "", "family" : "Nygaard", "given" : "Eva B", "non-dropping-particle" : "", "parse-names" : false, "suffix" : "" }, { "dropping-particle" : "", "family" : "\u00d8rskov", "given" : "Cathrine", "non-dropping-particle" : "", "parse-names" : false, "suffix" : "" }, { "dropping-particle" : "", "family" : "Almdal", "given" : "Thomas", "non-dropping-particle" : "", "parse-names" : false, "suffix" : "" }, { "dropping-particle" : "", "family" : "Vestergaard", "given" : "Henrik", "non-dropping-particle" : "", "parse-names" : false, "suffix" : "" }, { "dropping-particle" : "", "family" : "Andersen", "given" : "Birgitte", "non-dropping-particle" : "", "parse-names" : false, "suffix" : "" } ], "container-title" : "Journal of Endocrinology", "id" : "ITEM-1", "issue" : "1", "issued" : { "date-parts" : [ [ "2018", "10" ] ] }, "page" : "73-80", "title" : "Fasting decreases plasma FGF21 in obese subjects and the expression of FGF21 receptors in adipose tissue in both lean and obese subjects", "type" : "article-journal", "volume" : "239" }, "uris" : [ "http://www.mendeley.com/documents/?uuid=1c165848-de2b-45af-8663-8a22990a8a0d" ] } ], "mendeley" : { "formattedCitation" : "(50)", "plainTextFormattedCitation" : "(50)", "previouslyFormattedCitation" : "(50)" }, "properties" : { "noteIndex" : 18 }, "schema" : "https://github.com/citation-style-language/schema/raw/master/csl-citation.json" }</w:instrText>
      </w:r>
      <w:r w:rsidR="00717E43" w:rsidRPr="00A53A85">
        <w:rPr>
          <w:rFonts w:asciiTheme="majorBidi" w:hAnsiTheme="majorBidi" w:cstheme="majorBidi"/>
          <w:color w:val="000000" w:themeColor="text1"/>
        </w:rPr>
        <w:fldChar w:fldCharType="separate"/>
      </w:r>
      <w:r w:rsidR="007B52A5" w:rsidRPr="007B52A5">
        <w:rPr>
          <w:rFonts w:asciiTheme="majorBidi" w:hAnsiTheme="majorBidi" w:cstheme="majorBidi"/>
          <w:noProof/>
          <w:color w:val="000000" w:themeColor="text1"/>
        </w:rPr>
        <w:t>(50)</w:t>
      </w:r>
      <w:r w:rsidR="00717E43" w:rsidRPr="00A53A85">
        <w:rPr>
          <w:rFonts w:asciiTheme="majorBidi" w:hAnsiTheme="majorBidi" w:cstheme="majorBidi"/>
          <w:color w:val="000000" w:themeColor="text1"/>
        </w:rPr>
        <w:fldChar w:fldCharType="end"/>
      </w:r>
      <w:r w:rsidR="005236F2">
        <w:rPr>
          <w:rFonts w:asciiTheme="majorBidi" w:hAnsiTheme="majorBidi" w:cstheme="majorBidi"/>
          <w:color w:val="000000" w:themeColor="text1"/>
        </w:rPr>
        <w:t xml:space="preserve">; </w:t>
      </w:r>
      <w:r w:rsidR="00805ACF">
        <w:rPr>
          <w:rFonts w:asciiTheme="majorBidi" w:hAnsiTheme="majorBidi" w:cstheme="majorBidi"/>
          <w:color w:val="000000" w:themeColor="text1"/>
        </w:rPr>
        <w:t>therefore,</w:t>
      </w:r>
      <w:r w:rsidR="005236F2">
        <w:rPr>
          <w:rFonts w:asciiTheme="majorBidi" w:hAnsiTheme="majorBidi" w:cstheme="majorBidi"/>
          <w:color w:val="000000" w:themeColor="text1"/>
        </w:rPr>
        <w:t xml:space="preserve"> this time-frame </w:t>
      </w:r>
      <w:r w:rsidR="00805ACF">
        <w:rPr>
          <w:rFonts w:asciiTheme="majorBidi" w:hAnsiTheme="majorBidi" w:cstheme="majorBidi"/>
          <w:color w:val="000000" w:themeColor="text1"/>
        </w:rPr>
        <w:t>could be</w:t>
      </w:r>
      <w:r w:rsidR="00C0082A">
        <w:rPr>
          <w:rFonts w:asciiTheme="majorBidi" w:hAnsiTheme="majorBidi" w:cstheme="majorBidi"/>
          <w:color w:val="000000" w:themeColor="text1"/>
        </w:rPr>
        <w:t xml:space="preserve"> feasible</w:t>
      </w:r>
      <w:r w:rsidR="00CB71EF">
        <w:rPr>
          <w:rFonts w:asciiTheme="majorBidi" w:hAnsiTheme="majorBidi" w:cstheme="majorBidi"/>
          <w:color w:val="000000" w:themeColor="text1"/>
        </w:rPr>
        <w:t>.</w:t>
      </w:r>
      <w:r w:rsidR="00C0082A">
        <w:rPr>
          <w:rFonts w:asciiTheme="majorBidi" w:hAnsiTheme="majorBidi" w:cstheme="majorBidi"/>
          <w:color w:val="000000" w:themeColor="text1"/>
        </w:rPr>
        <w:t xml:space="preserve"> </w:t>
      </w:r>
      <w:r w:rsidR="00CB71EF">
        <w:rPr>
          <w:rFonts w:asciiTheme="majorBidi" w:hAnsiTheme="majorBidi" w:cstheme="majorBidi"/>
          <w:color w:val="000000" w:themeColor="text1"/>
        </w:rPr>
        <w:t>F</w:t>
      </w:r>
      <w:r w:rsidR="00C0082A">
        <w:rPr>
          <w:rFonts w:asciiTheme="majorBidi" w:hAnsiTheme="majorBidi" w:cstheme="majorBidi"/>
          <w:color w:val="000000" w:themeColor="text1"/>
        </w:rPr>
        <w:t>urther mechanistic studies are required</w:t>
      </w:r>
      <w:r w:rsidR="00241101">
        <w:rPr>
          <w:rFonts w:asciiTheme="majorBidi" w:hAnsiTheme="majorBidi" w:cstheme="majorBidi"/>
          <w:color w:val="000000" w:themeColor="text1"/>
        </w:rPr>
        <w:t xml:space="preserve"> </w:t>
      </w:r>
      <w:r w:rsidR="00C0082A">
        <w:rPr>
          <w:rFonts w:asciiTheme="majorBidi" w:hAnsiTheme="majorBidi" w:cstheme="majorBidi"/>
          <w:color w:val="000000" w:themeColor="text1"/>
        </w:rPr>
        <w:t xml:space="preserve">to </w:t>
      </w:r>
      <w:r w:rsidR="000B692C">
        <w:rPr>
          <w:rFonts w:asciiTheme="majorBidi" w:hAnsiTheme="majorBidi" w:cstheme="majorBidi"/>
          <w:color w:val="000000" w:themeColor="text1"/>
        </w:rPr>
        <w:t xml:space="preserve">understand the </w:t>
      </w:r>
      <w:r w:rsidR="008556C8">
        <w:rPr>
          <w:rFonts w:asciiTheme="majorBidi" w:hAnsiTheme="majorBidi" w:cstheme="majorBidi"/>
          <w:color w:val="000000" w:themeColor="text1"/>
        </w:rPr>
        <w:t xml:space="preserve">novel </w:t>
      </w:r>
      <w:r w:rsidR="000B692C">
        <w:rPr>
          <w:rFonts w:asciiTheme="majorBidi" w:hAnsiTheme="majorBidi" w:cstheme="majorBidi"/>
          <w:color w:val="000000" w:themeColor="text1"/>
        </w:rPr>
        <w:t xml:space="preserve">time-course observed in the </w:t>
      </w:r>
      <w:r w:rsidR="008556C8">
        <w:rPr>
          <w:rFonts w:asciiTheme="majorBidi" w:hAnsiTheme="majorBidi" w:cstheme="majorBidi"/>
          <w:color w:val="000000" w:themeColor="text1"/>
        </w:rPr>
        <w:t>current</w:t>
      </w:r>
      <w:r w:rsidR="000B692C">
        <w:rPr>
          <w:rFonts w:asciiTheme="majorBidi" w:hAnsiTheme="majorBidi" w:cstheme="majorBidi"/>
          <w:color w:val="000000" w:themeColor="text1"/>
        </w:rPr>
        <w:t xml:space="preserve"> study. </w:t>
      </w:r>
      <w:r w:rsidR="0060554A">
        <w:rPr>
          <w:rFonts w:asciiTheme="majorBidi" w:hAnsiTheme="majorBidi" w:cstheme="majorBidi"/>
          <w:color w:val="000000" w:themeColor="text1"/>
        </w:rPr>
        <w:t xml:space="preserve"> </w:t>
      </w:r>
    </w:p>
    <w:p w14:paraId="6FE23D80" w14:textId="35826CC2" w:rsidR="00D65EE0" w:rsidRDefault="00D65EE0" w:rsidP="00D65EE0">
      <w:pPr>
        <w:spacing w:line="480" w:lineRule="auto"/>
        <w:jc w:val="both"/>
        <w:rPr>
          <w:rFonts w:asciiTheme="majorBidi" w:hAnsiTheme="majorBidi" w:cstheme="majorBidi"/>
          <w:bCs/>
        </w:rPr>
      </w:pPr>
      <w:r>
        <w:rPr>
          <w:rFonts w:asciiTheme="majorBidi" w:hAnsiTheme="majorBidi" w:cstheme="majorBidi"/>
          <w:bCs/>
        </w:rPr>
        <w:t xml:space="preserve">In response to the HE-HFD, we </w:t>
      </w:r>
      <w:r w:rsidR="003351A0">
        <w:rPr>
          <w:rFonts w:asciiTheme="majorBidi" w:hAnsiTheme="majorBidi" w:cstheme="majorBidi"/>
          <w:bCs/>
        </w:rPr>
        <w:t xml:space="preserve">also </w:t>
      </w:r>
      <w:r>
        <w:rPr>
          <w:rFonts w:asciiTheme="majorBidi" w:hAnsiTheme="majorBidi" w:cstheme="majorBidi"/>
          <w:bCs/>
        </w:rPr>
        <w:t xml:space="preserve">observed a progressive and sustained increase in circulating LECT2 concentrations across seven days. Specifically, circulating LECT2 tended to be higher than control after one day of high-fat overfeeding but was substantially elevated after three and seven days. This finding has extended knowledge about LECT2 by demonstrating that it is responsive to short-term changes in energy balance in humans; in addition to chronic energetic status </w:t>
      </w:r>
      <w:r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"10.5582/bst.2013.v7.6.276", "ISBN" : "1881-7815", "ISSN" : "18817815", "PMID" : "24390366", "abstract" : "Leukocyte cell-derived chemotaxin 2 (LECT2) is a signaling molecule expressed in the liver and regulated by Wnt/beta-catenin pathways implicated in hepatic metabolism. However, the clinical relevance of LECT2 in obesity and fatty liver is unknown. The objective of this study was to determine whether serum LECT2 levels are affected by of obesity and fatty liver. A cross sectional study comprising 231 Japanese adult subjects were tested for LECT2 using a highly sensitive assay. We evaluated the associations between LECT2 and the anthropometric or clinical markers of obesity and fatty liver. The mean serum LECT2 levels were 43.5 +/- 13.6 ng/mL. LECT2 positively correlated with all the anthropometric measures of obesity: body mass index, waist circumference, waist-to-hip ratio, and waist-to-height ratio (W/Ht). Multiple regression analysis revealed that LECT2 is independently related to gamma-glutamyl transpeptidase (gamma-GTP), triglyceride, and age in males, whereas in females it was related to the homeostasis model assessment ratio, blood urea nitrogen, high-density lipoprotein cholesterol, and gamma-GTP. Receiver operating characteristics curve analyses revealed that LECT2 correlated with obesity [area under the curve (AUC) 0.655, 95% confidence interval (CI) = 0.551-0.758, p = 0.002 in males; AUC 0.670, 95% CI = 0.570-0.770, p &lt; 0.001 in females] and fatty liver (AUC 0.646, 95% CI = 0.544-0.749, p = 0.004 in males; AUC 0.733, 95% CI = 0.621-0.844, p &lt; 0.001 in females). The present study indicates that serum LECT2 levels are increased by obesity and fatty liver, and suggests that LECT2 is a novel obesity-related protein.", "author" : [ { "dropping-particle" : "", "family" : "Okumura", "given" : "A", "non-dropping-particle" : "", "parse-names" : false, "suffix" : "" }, { "dropping-particle" : "", "family" : "Unoki-Kubota", "given" : "H", "non-dropping-particle" : "", "parse-names" : false, "suffix" : "" }, { "dropping-particle" : "", "family" : "Matsushita", "given" : "Y", "non-dropping-particle" : "", "parse-names" : false, "suffix" : "" }, { "dropping-particle" : "", "family" : "Shiga", "given" : "T", "non-dropping-particle" : "", "parse-names" : false, "suffix" : "" }, { "dropping-particle" : "", "family" : "Moriyoshi", "given" : "Y", "non-dropping-particle" : "", "parse-names" : false, "suffix" : "" }, { "dropping-particle" : "", "family" : "Yamagoe", "given" : "S", "non-dropping-particle" : "", "parse-names" : false, "suffix" : "" }, { "dropping-particle" : "", "family" : "Kaburagi", "given" : "Y", "non-dropping-particle" : "", "parse-names" : false, "suffix" : "" } ], "container-title" : "BioScience Trends", "id" : "ITEM-1", "issue" : "6", "issued" : { "date-parts" : [ [ "2013" ] ] }, "page" : "276-283", "title" : "Increased serum leukocyte cell-derived chemotaxin 2 (LECT2) levels in obesity and fatty liver", "type" : "article-journal", "volume" : "7" }, "uris" : [ "http://www.mendeley.com/documents/?uuid=f30d4de6-c575-4dd6-88b0-b938f2bf0712" ] }, { "id" : "ITEM-2", "itemData" : { "DOI" : "10.1371/journal.pone.0174717", "ISBN" : "1111111111", "ISSN" : "1932-6203", "PMID" : "28376109", "abstract" : "OBJECTIVE: Previous studies have shown that leukocyte cell-derived chemotaxin 2 (LECT2), a recently discovered hepatokine, is associated with the inflammatory response and insulin resistance. We examined circulating plasma LECT2 levels in the subjects with non-alcoholic fatty liver disease (NAFLD) or metabolic syndrome. METHODS: We analyzed plasma LECT2 levels from the subjects of age- and sex-matched 320 adults with or without NAFLD who completed a health check-up at the Health Promotion Center of Korea University Guro Hospital. RESULTS: Individuals with NAFLD showed significantly higher LECT2 levels (31.2 [20.9, 41.5] vs. 24.5[16.3, 32.7] ng/ml, P &lt;0.001) as well as components of MetS compared to those without NAFLD. Furthermore, circulating LECT2 concentrations were greater in subjects with MetS (32.6 [17.8, 45.0] vs. 27.0 [18.7, 33.7] ng/ml, P = 0.016) and were associated with anthropometric measures of obesity, lipid profiles, high sensitivity C-reactive protein (hsCRP) and liver aminotransferase levels. However, there was no significant relationship between LECT2 levels and indicators of subclinical atherosclerosis, such as carotid intima-media thickness (CIMT) and brachial ankle pulse wave velocity (baPWV). Multivariate analysis demonstrated a progressively increasing trend of odds ratios for NAFLD according to quartiles of LECT2 levels after adjusting for risk factors, although the relationship was attenuated after further adjustment for waist circumference and lipid levels. CONCLUSION: Circulating LECT2 concentrations were increased in individuals with NAFLD and those with MetS, but not in those with atherosclerosis. The relationship between LECT2 and both NAFLD and MetS might be mediated by its association with abdominal obesity and lipid metabolism. TRIAL REGISTRATION: Clinicaltrials.gov NCT01594710.", "author" : [ { "dropping-particle" : "", "family" : "Yoo", "given" : "Hye Jin", "non-dropping-particle" : "", "parse-names" : false, "suffix" : "" }, { "dropping-particle" : "", "family" : "Hwang", "given" : "Soon Young", "non-dropping-particle" : "", "parse-names" : false, "suffix" : "" }, { "dropping-particle" : "", "family" : "Choi", "given" : "Ju-Hee", "non-dropping-particle" : "", "parse-names" : false, "suffix" : "" }, { "dropping-particle" : "", "family" : "Lee", "given" : "Hyun Jung", "non-dropping-particle" : "", "parse-names" : false, "suffix" : "" }, { "dropping-particle" : "", "family" : "Chung", "given" : "Hye Soo", "non-dropping-particle" : "", "parse-names" : false, "suffix" : "" }, { "dropping-particle" : "", "family" : "Seo", "given" : "Ji-A", "non-dropping-particle" : "", "parse-names" : false, "suffix" : "" }, { "dropping-particle" : "", "family" : "Kim", "given" : "Sin Gon", "non-dropping-particle" : "", "parse-names" : false, "suffix" : "" }, { "dropping-particle" : "", "family" : "Kim", "given" : "Nan Hee", "non-dropping-particle" : "", "parse-names" : false, "suffix" : "" }, { "dropping-particle" : "", "family" : "Baik", "given" : "Sei Hyun", "non-dropping-particle" : "", "parse-names" : false, "suffix" : "" }, { "dropping-particle" : "", "family" : "Choi", "given" : "Dong Seop", "non-dropping-particle" : "", "parse-names" : false, "suffix" : "" }, { "dropping-particle" : "", "family" : "Choi", "given" : "Kyung Mook", "non-dropping-particle" : "", "parse-names" : false, "suffix" : "" } ], "container-title" : "PLOS ONE", "editor" : [ { "dropping-particle" : "", "family" : "Strnad", "given" : "Pavel", "non-dropping-particle" : "", "parse-names" : false, "suffix" : "" } ], "id" : "ITEM-2", "issue" : "4", "issued" : { "date-parts" : [ [ "2017", "4", "4" ] ] }, "page" : "e0174717", "title" : "Association of leukocyte cell-derived chemotaxin 2 (LECT2) with NAFLD, metabolic syndrome, and atherosclerosis", "type" : "article-journal", "volume" : "12" }, "uris" : [ "http://www.mendeley.com/documents/?uuid=33f297bb-81c0-4686-a334-36a8a2171d92" ] }, { "id" : "ITEM-3", "itemData" : { "DOI" : "10.1371/journal.pone.0173310", "ISBN" : "1111111111", "ISSN" : "1932-6203", "PMID" : "28278265", "abstract" : "BACKGROUND Leukocyte cell-derived chemotaxin 2 (LECT2) is a hepatokine linking obesity to skeletal muscle insulin resistance. Although previous studies reported that obesity was associated with high levels of circulating LECT2 in human, the associations of detailed body fat distribution with LECT2 levels have not been examined. Furthermore, although animal study suggested that exercise decreased circulating LECT2 levels, it remains unknown whether physical fitness is associated with LECT2 levels in human. We therefore examined the relationship of plasma LECT2 levels with various adiposity indices and cardiorespiratory fitness (CRF) in middle-aged and elderly Japanese men. Furthermore, we examined the relationship of LECT2 levels with the presence of metabolic syndrome, hypertension, insulin resistance and dyslipidemia to determine the clinical significance of measuring circulating LECT2. MATERIALS AND METHODS This was a cross-sectional study of 143 Japanese men (age: 30-79 years). Participants' plasma LECT2 levels were measured by an enzyme-linked immunosorbent assay. To assess their abdominal fat distributions, visceral fat area (VFA) and subcutaneous fat area (SFA) were measured using magnetic resonance imaging. CRF was assessed by measuring peak oxygen uptake ([Formula: see text]). RESULTS All adiposity indices measured in this study were positively correlated with plasma LECT2 levels, while [Formula: see text] was negatively correlated with LECT2 levels after adjustment for age. The correlations, except for VFA were no longer significant with further adjustment for VFA. Stepwise multiple linear regression analysis revealed that VFA was the strongest predictor of plasma LECT2 levels. Plasma LECT2 levels differed based on the presence of metabolic syndrome and dyslipidemia, but not hypertension and insulin resistance. Logistic regression analyses revealed that plasma LECT2 levels were significantly associated with dyslipidemia independently of VFA; VFA was not significantly associated with dyslipidemia after adjustment for LECT2. CONCLUSION VFA was the strongest predictor of plasma LECT2 that is a potential biomarker linking visceral obesity to dyslipidemia.", "author" : [ { "dropping-particle" : "", "family" : "Tanisawa", "given" : "Kumpei", "non-dropping-particle" : "", "parse-names" : false, "suffix" : "" }, { "dropping-particle" : "", "family" : "Taniguchi", "given" : "Hirokazu", "non-dropping-particle" : "", "parse-names" : false, "suffix" : "" }, { "dropping-particle" : "", "family" : "Sun", "given" : "Xiaomin", "non-dropping-particle" : "", "parse-names" : false, "suffix" : "" }, { "dropping-particle" : "", "family" : "Ito", "given" : "Tomoko", "non-dropping-particle" : "", "parse-names" : false, "suffix" : "" }, { "dropping-particle" : "", "family" : "Kawakami", "given" : "Ryoko", "non-dropping-particle" : "", "parse-names" : false, "suffix" : "" }, { "dropping-particle" : "", "family" : "Sakamoto", "given" : "Shizuo", "non-dropping-particle" : "", "parse-names" : false, "suffix" : "" }, { "dropping-particle" : "", "family" : "Higuchi", "given" : "Mitsuru", "non-dropping-particle" : "", "parse-names" : false, "suffix" : "" } ], "container-title" : "PLOS ONE", "editor" : [ { "dropping-particle" : "", "family" : "Sadoshima", "given" : "Junichi", "non-dropping-particle" : "", "parse-names" : false, "suffix" : "" } ], "id" : "ITEM-3", "issue" : "3", "issued" : { "date-parts" : [ [ "2017", "3", "9" ] ] }, "page" : "e0173310", "title" : "Visceral fat area is a strong predictor of leukocyte cell-derived chemotaxin 2, a potential biomarker of dyslipidemia", "type" : "article-journal", "volume" : "12" }, "uris" : [ "http://www.mendeley.com/documents/?uuid=9e09277f-9e64-41a0-8b00-b54871902b3e" ] }, { "id" : "ITEM-4", "itemData" : { "DOI" : "10.1097/MD.0000000000010354", "ISBN" : "0000000000", "ISSN" : "0025-7974", "abstract" : "Leukocyte cell-derived chemotaxin 2 (LECT2) is a hepatokine expressed in hepatocytes and appears to be involved in energy metabolism. The aim of this study was to determine plasma LECT2 levels in newly diagnosed type 2 diabetic patients and to correlate the results with various metabolic parameters.A total of 93 newly diagnosed type 2 diabetic patients and 80 age- and sex-matched nondiabetes mellitus ones were enrolled in the study. Plasma LECT2 levels were measured by enzyme-linked immunosorbent assay.Circulating LECT2 levels were approximately 1.3 times higher in newly diagnosed type 2 diabetic patients than in controls (mean 30.30 vs 23.23 ng/mL, P &lt; .001). Correlation analysis showed that LECT2 was negatively associated with high-density lipoprotein-cholesterol (HDL-C) levels in type 2 diabetic patients and obese subjects (P &lt; .05). In multiple stepwise regression analysis, HDL-C, HOMA-IR, BMI, FINS, and TG were significantly independent determinants for LECT2 (P &lt; .05).Our study showed that circulating LECT2 concentrations are significantly higher in newly diagnosed type 2 diabetic patients and further elevated in obese type 2 diabetic patients. LECT2 concentrations are significantly negatively associated with HDL-cholesterol levels in newly diagnosed type 2 diabetic patients and obese subjects.", "author" : [ { "dropping-particle" : "", "family" : "Zhang", "given" : "Zhen", "non-dropping-particle" : "", "parse-names" : false, "suffix" : "" }, { "dropping-particle" : "", "family" : "Zeng", "given" : "Huixian", "non-dropping-particle" : "", "parse-names" : false, "suffix" : "" }, { "dropping-particle" : "", "family" : "Lin", "given" : "Jianghong", "non-dropping-particle" : "", "parse-names" : false, "suffix" : "" }, { "dropping-particle" : "", "family" : "Hu", "given" : "Yinghui", "non-dropping-particle" : "", "parse-names" : false, "suffix" : "" }, { "dropping-particle" : "", "family" : "Yang", "given" : "Rui", "non-dropping-particle" : "", "parse-names" : false, "suffix" : "" }, { "dropping-particle" : "", "family" : "Sun", "given" : "Jia", "non-dropping-particle" : "", "parse-names" : false, "suffix" : "" }, { "dropping-particle" : "", "family" : "Chen", "given" : "Rongping", "non-dropping-particle" : "", "parse-names" : false, "suffix" : "" }, { "dropping-particle" : "", "family" : "Chen", "given" : "Hong", "non-dropping-particle" : "", "parse-names" : false, "suffix" : "" } ], "container-title" : "Medicine", "id" : "ITEM-4", "issue" : "15", "issued" : { "date-parts" : [ [ "2018", "4" ] ] }, "page" : "e0354", "title" : "Circulating LECT2 levels in newly diagnosed type 2 diabetes mellitus and their association with metabolic parameters", "type" : "article-journal", "volume" : "97" }, "uris" : [ "http://www.mendeley.com/documents/?uuid=79afa6da-8208-4a1a-ba3a-be38c9ba7d72" ] } ], "mendeley" : { "formattedCitation" : "(51\u201354)", "plainTextFormattedCitation" : "(51\u201354)", "previouslyFormattedCitation" : "(51\u201354)" }, "properties" : { "noteIndex" : 16 }, "schema" : "https://github.com/citation-style-language/schema/raw/master/csl-citation.json" }</w:instrText>
      </w:r>
      <w:r w:rsidRPr="00A53A85">
        <w:rPr>
          <w:rFonts w:asciiTheme="majorBidi" w:hAnsiTheme="majorBidi" w:cstheme="majorBidi"/>
          <w:bCs/>
        </w:rPr>
        <w:fldChar w:fldCharType="separate"/>
      </w:r>
      <w:r w:rsidR="007B52A5" w:rsidRPr="007B52A5">
        <w:rPr>
          <w:rFonts w:asciiTheme="majorBidi" w:hAnsiTheme="majorBidi" w:cstheme="majorBidi"/>
          <w:bCs/>
          <w:noProof/>
        </w:rPr>
        <w:t>(51–54)</w:t>
      </w:r>
      <w:r w:rsidRPr="00A53A85">
        <w:rPr>
          <w:rFonts w:asciiTheme="majorBidi" w:hAnsiTheme="majorBidi" w:cstheme="majorBidi"/>
          <w:bCs/>
        </w:rPr>
        <w:fldChar w:fldCharType="end"/>
      </w:r>
      <w:r>
        <w:rPr>
          <w:rFonts w:asciiTheme="majorBidi" w:hAnsiTheme="majorBidi" w:cstheme="majorBidi"/>
          <w:bCs/>
        </w:rPr>
        <w:t xml:space="preserve">. </w:t>
      </w:r>
    </w:p>
    <w:p w14:paraId="555E5800" w14:textId="44270DE4" w:rsidR="00D65EE0" w:rsidRDefault="00D65EE0" w:rsidP="00D65EE0">
      <w:pPr>
        <w:spacing w:line="480" w:lineRule="auto"/>
        <w:jc w:val="both"/>
        <w:rPr>
          <w:rFonts w:asciiTheme="majorBidi" w:hAnsiTheme="majorBidi" w:cstheme="majorBidi"/>
          <w:bCs/>
        </w:rPr>
      </w:pPr>
      <w:r>
        <w:rPr>
          <w:rFonts w:asciiTheme="majorBidi" w:hAnsiTheme="majorBidi" w:cstheme="majorBidi"/>
          <w:bCs/>
        </w:rPr>
        <w:lastRenderedPageBreak/>
        <w:t xml:space="preserve">This novel finding is consistent with recent data obtained from rodent models </w:t>
      </w:r>
      <w:r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"id" : "ITEM-2", "itemData" : { "DOI" : "10.1016/j.bbrc.2016.08.117", "ISSN" : "0006291X", "PMID" : "27562717", "abstract" : "Dieting often leads to body weight cycling involving repeated weight loss and regain. However, little information is available regarding rapid-response serum markers of overnutrition that predict body weight alterations during weight cycling. Here, we report the rapid response of serum leukocyte cell-derived chemotaxin 2 (LECT2), a hepatokine that induces insulin resistance in skeletal muscle, during diet-induced weight cycling in mice. A switch from a high-fat diet (HFD) to a regular diet (RD) in obese mice gradually decreased body weight but rapidly decreased serum LECT2 levels within 10 days. In contrast, a switch from a RD to a HFD rapidly elevated serum LECT2 levels. Serum LECT2 levels showed a positive correlation with liver triglyceride contents but not with adipose tissue weight. This study demonstrates the rapid response of LECT2 preceding body weight alterations during weight cycling in mice and suggests that measurement of serum LECT2 may be clinically useful in the management of obesity.", "author" : [ { "dropping-particle" : "", "family" : "Chikamoto", "given" : "Keita", "non-dropping-particle" : "", "parse-names" : false, "suffix" : "" }, { "dropping-particle" : "", "family" : "Misu", "given" : "Hirofumi",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"Ishii", "given" : "Kiyo-aki", "non-dropping-particle" : "", "parse-names" : false, "suffix" : "" }, { "dropping-particle" : "", "family" : "Lan", "given" : "Fei", "non-dropping-particle" : "", "parse-names" : false, "suffix" : "" }, { "dropping-particle" : "", "family" : "Takata", "given" : "Noboru", "non-dropping-particle" : "", "parse-names" : false, "suffix" : "" }, { "dropping-particle" : "", "family" : "Tajima-Shirasaki", "given" : "Natsumi", "non-dropping-particle" : "", "parse-names" : false, "suffix" : "" }, { "dropping-particle" : "", "family" : "Takeshita", "given" : "Yumie", "non-dropping-particle" : "", "parse-names" : false, "suffix" : "" }, { "dropping-particle" : "", "family" : "Tsugane", "given" : "Hirohiko", "non-dropping-particle" : "", "parse-names" : false, "suffix" : "" }, { "dropping-particle" : "", "family" : "Kaneko", "given" : "Shuichi", "non-dropping-particle" : "", "parse-names" : false, "suffix" : "" }, { "dropping-particle" : "", "family" : "Matsugo", "given" : "Seiichi", "non-dropping-particle" : "", "parse-names" : false, "suffix" : "" }, { "dropping-particle" : "", "family" : "Takamura", "given" : "Toshinari", "non-dropping-particle" : "", "parse-names" : false, "suffix" : "" } ], "container-title" : "Biochemical and Biophysical Research Communications", "id" : "ITEM-2", "issue" : "3", "issued" : { "date-parts" : [ [ "2016", "9" ] ] }, "page" : "1310-1316", "publisher" : "Elsevier Ltd", "title" : "Rapid response of the steatosis-sensing hepatokine LECT2 during diet-induced weight cycling in mice", "type" : "article-journal", "volume" : "478" }, "uris" : [ "http://www.mendeley.com/documents/?uuid=a4135e4b-4dd0-4aee-bb36-abd4512c54a4" ] } ], "mendeley" : { "formattedCitation" : "(7,15)", "plainTextFormattedCitation" : "(7,15)", "previouslyFormattedCitation" : "(7,15)" }, "properties" : { "noteIndex" : 16 }, "schema" : "https://github.com/citation-style-language/schema/raw/master/csl-citation.json" }</w:instrText>
      </w:r>
      <w:r w:rsidRPr="00D731C5">
        <w:rPr>
          <w:rFonts w:asciiTheme="majorBidi" w:hAnsiTheme="majorBidi" w:cstheme="majorBidi"/>
          <w:bCs/>
        </w:rPr>
        <w:fldChar w:fldCharType="separate"/>
      </w:r>
      <w:r w:rsidR="00D377E6" w:rsidRPr="00D377E6">
        <w:rPr>
          <w:rFonts w:asciiTheme="majorBidi" w:hAnsiTheme="majorBidi" w:cstheme="majorBidi"/>
          <w:bCs/>
          <w:noProof/>
        </w:rPr>
        <w:t>(7,15)</w:t>
      </w:r>
      <w:r w:rsidRPr="00D731C5">
        <w:rPr>
          <w:rFonts w:asciiTheme="majorBidi" w:hAnsiTheme="majorBidi" w:cstheme="majorBidi"/>
          <w:bCs/>
        </w:rPr>
        <w:fldChar w:fldCharType="end"/>
      </w:r>
      <w:r>
        <w:rPr>
          <w:rFonts w:asciiTheme="majorBidi" w:hAnsiTheme="majorBidi" w:cstheme="majorBidi"/>
          <w:bCs/>
        </w:rPr>
        <w:t xml:space="preserve">. Specifically, </w:t>
      </w:r>
      <w:proofErr w:type="spellStart"/>
      <w:r>
        <w:rPr>
          <w:rFonts w:asciiTheme="majorBidi" w:hAnsiTheme="majorBidi" w:cstheme="majorBidi"/>
          <w:bCs/>
        </w:rPr>
        <w:t>Chikamoto</w:t>
      </w:r>
      <w:proofErr w:type="spellEnd"/>
      <w:r>
        <w:rPr>
          <w:rFonts w:asciiTheme="majorBidi" w:hAnsiTheme="majorBidi" w:cstheme="majorBidi"/>
          <w:bCs/>
        </w:rPr>
        <w:t xml:space="preserve"> et al </w:t>
      </w:r>
      <w:r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"10.1016/j.bbrc.2016.08.117", "ISSN" : "0006291X", "PMID" : "27562717", "abstract" : "Dieting often leads to body weight cycling involving repeated weight loss and regain. However, little information is available regarding rapid-response serum markers of overnutrition that predict body weight alterations during weight cycling. Here, we report the rapid response of serum leukocyte cell-derived chemotaxin 2 (LECT2), a hepatokine that induces insulin resistance in skeletal muscle, during diet-induced weight cycling in mice. A switch from a high-fat diet (HFD) to a regular diet (RD) in obese mice gradually decreased body weight but rapidly decreased serum LECT2 levels within 10 days. In contrast, a switch from a RD to a HFD rapidly elevated serum LECT2 levels. Serum LECT2 levels showed a positive correlation with liver triglyceride contents but not with adipose tissue weight. This study demonstrates the rapid response of LECT2 preceding body weight alterations during weight cycling in mice and suggests that measurement of serum LECT2 may be clinically useful in the management of obesity.", "author" : [ { "dropping-particle" : "", "family" : "Chikamoto", "given" : "Keita", "non-dropping-particle" : "", "parse-names" : false, "suffix" : "" }, { "dropping-particle" : "", "family" : "Misu", "given" : "Hirofumi",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"Ishii", "given" : "Kiyo-aki", "non-dropping-particle" : "", "parse-names" : false, "suffix" : "" }, { "dropping-particle" : "", "family" : "Lan", "given" : "Fei", "non-dropping-particle" : "", "parse-names" : false, "suffix" : "" }, { "dropping-particle" : "", "family" : "Takata", "given" : "Noboru", "non-dropping-particle" : "", "parse-names" : false, "suffix" : "" }, { "dropping-particle" : "", "family" : "Tajima-Shirasaki", "given" : "Natsumi", "non-dropping-particle" : "", "parse-names" : false, "suffix" : "" }, { "dropping-particle" : "", "family" : "Takeshita", "given" : "Yumie", "non-dropping-particle" : "", "parse-names" : false, "suffix" : "" }, { "dropping-particle" : "", "family" : "Tsugane", "given" : "Hirohiko", "non-dropping-particle" : "", "parse-names" : false, "suffix" : "" }, { "dropping-particle" : "", "family" : "Kaneko", "given" : "Shuichi", "non-dropping-particle" : "", "parse-names" : false, "suffix" : "" }, { "dropping-particle" : "", "family" : "Matsugo", "given" : "Seiichi", "non-dropping-particle" : "", "parse-names" : false, "suffix" : "" }, { "dropping-particle" : "", "family" : "Takamura", "given" : "Toshinari", "non-dropping-particle" : "", "parse-names" : false, "suffix" : "" } ], "container-title" : "Biochemical and Biophysical Research Communications", "id" : "ITEM-1", "issue" : "3", "issued" : { "date-parts" : [ [ "2016", "9" ] ] }, "page" : "1310-1316", "publisher" : "Elsevier Ltd", "title" : "Rapid response of the steatosis-sensing hepatokine LECT2 during diet-induced weight cycling in mice", "type" : "article-journal", "volume" : "478" }, "uris" : [ "http://www.mendeley.com/documents/?uuid=a4135e4b-4dd0-4aee-bb36-abd4512c54a4" ] } ], "mendeley" : { "formattedCitation" : "(15)", "plainTextFormattedCitation" : "(15)", "previouslyFormattedCitation" : "(15)" }, "properties" : { "noteIndex" : 16 }, "schema" : "https://github.com/citation-style-language/schema/raw/master/csl-citation.json" }</w:instrText>
      </w:r>
      <w:r w:rsidRPr="00D731C5">
        <w:rPr>
          <w:rFonts w:asciiTheme="majorBidi" w:hAnsiTheme="majorBidi" w:cstheme="majorBidi"/>
          <w:bCs/>
        </w:rPr>
        <w:fldChar w:fldCharType="separate"/>
      </w:r>
      <w:r w:rsidR="00D377E6" w:rsidRPr="00D377E6">
        <w:rPr>
          <w:rFonts w:asciiTheme="majorBidi" w:hAnsiTheme="majorBidi" w:cstheme="majorBidi"/>
          <w:bCs/>
          <w:noProof/>
        </w:rPr>
        <w:t>(15)</w:t>
      </w:r>
      <w:r w:rsidRPr="00D731C5">
        <w:rPr>
          <w:rFonts w:asciiTheme="majorBidi" w:hAnsiTheme="majorBidi" w:cstheme="majorBidi"/>
          <w:bCs/>
        </w:rPr>
        <w:fldChar w:fldCharType="end"/>
      </w:r>
      <w:r>
        <w:rPr>
          <w:rFonts w:asciiTheme="majorBidi" w:hAnsiTheme="majorBidi" w:cstheme="majorBidi"/>
          <w:bCs/>
        </w:rPr>
        <w:t xml:space="preserve"> showed that LECT2 responds dynamically to alternating periods of hypercaloric and </w:t>
      </w:r>
      <w:proofErr w:type="spellStart"/>
      <w:r>
        <w:rPr>
          <w:rFonts w:asciiTheme="majorBidi" w:hAnsiTheme="majorBidi" w:cstheme="majorBidi"/>
          <w:bCs/>
        </w:rPr>
        <w:t>eucaloric</w:t>
      </w:r>
      <w:proofErr w:type="spellEnd"/>
      <w:r>
        <w:rPr>
          <w:rFonts w:asciiTheme="majorBidi" w:hAnsiTheme="majorBidi" w:cstheme="majorBidi"/>
          <w:bCs/>
        </w:rPr>
        <w:t xml:space="preserve"> feeding in a rodent weight cycling model. Furthermore, in C57BL/6J mice, Lan et al </w:t>
      </w:r>
      <w:r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"mendeley" : { "formattedCitation" : "(7)", "plainTextFormattedCitation" : "(7)", "previouslyFormattedCitation" : "(7)" }, "properties" : { "noteIndex" : 16 }, "schema" : "https://github.com/citation-style-language/schema/raw/master/csl-citation.json" }</w:instrText>
      </w:r>
      <w:r w:rsidRPr="00D731C5">
        <w:rPr>
          <w:rFonts w:asciiTheme="majorBidi" w:hAnsiTheme="majorBidi" w:cstheme="majorBidi"/>
          <w:bCs/>
        </w:rPr>
        <w:fldChar w:fldCharType="separate"/>
      </w:r>
      <w:r w:rsidR="00D377E6" w:rsidRPr="00D377E6">
        <w:rPr>
          <w:rFonts w:asciiTheme="majorBidi" w:hAnsiTheme="majorBidi" w:cstheme="majorBidi"/>
          <w:bCs/>
          <w:noProof/>
        </w:rPr>
        <w:t>(7)</w:t>
      </w:r>
      <w:r w:rsidRPr="00D731C5">
        <w:rPr>
          <w:rFonts w:asciiTheme="majorBidi" w:hAnsiTheme="majorBidi" w:cstheme="majorBidi"/>
          <w:bCs/>
        </w:rPr>
        <w:fldChar w:fldCharType="end"/>
      </w:r>
      <w:r>
        <w:rPr>
          <w:rFonts w:asciiTheme="majorBidi" w:hAnsiTheme="majorBidi" w:cstheme="majorBidi"/>
          <w:bCs/>
        </w:rPr>
        <w:t xml:space="preserve"> reported an approximate doubling of circulating LECT2 in the fed vs fasted state; and in response to one</w:t>
      </w:r>
      <w:r w:rsidR="006733C3">
        <w:rPr>
          <w:rFonts w:asciiTheme="majorBidi" w:hAnsiTheme="majorBidi" w:cstheme="majorBidi"/>
          <w:bCs/>
        </w:rPr>
        <w:t xml:space="preserve"> </w:t>
      </w:r>
      <w:r>
        <w:rPr>
          <w:rFonts w:asciiTheme="majorBidi" w:hAnsiTheme="majorBidi" w:cstheme="majorBidi"/>
          <w:bCs/>
        </w:rPr>
        <w:t xml:space="preserve">week of a high-fat diet. When contrasting data obtained from rodents and humans, it is interesting to note that individual meals (augment) and single bouts of exercise (suppress) modulate circulating LECT2 in animals </w:t>
      </w:r>
      <w:r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"mendeley" : { "formattedCitation" : "(7)", "plainTextFormattedCitation" : "(7)", "previouslyFormattedCitation" : "(7)" }, "properties" : { "noteIndex" : 16 }, "schema" : "https://github.com/citation-style-language/schema/raw/master/csl-citation.json" }</w:instrText>
      </w:r>
      <w:r w:rsidRPr="00D731C5">
        <w:rPr>
          <w:rFonts w:asciiTheme="majorBidi" w:hAnsiTheme="majorBidi" w:cstheme="majorBidi"/>
          <w:bCs/>
        </w:rPr>
        <w:fldChar w:fldCharType="separate"/>
      </w:r>
      <w:r w:rsidR="00D377E6" w:rsidRPr="00D377E6">
        <w:rPr>
          <w:rFonts w:asciiTheme="majorBidi" w:hAnsiTheme="majorBidi" w:cstheme="majorBidi"/>
          <w:bCs/>
          <w:noProof/>
        </w:rPr>
        <w:t>(7)</w:t>
      </w:r>
      <w:r w:rsidRPr="00D731C5">
        <w:rPr>
          <w:rFonts w:asciiTheme="majorBidi" w:hAnsiTheme="majorBidi" w:cstheme="majorBidi"/>
          <w:bCs/>
        </w:rPr>
        <w:fldChar w:fldCharType="end"/>
      </w:r>
      <w:r>
        <w:rPr>
          <w:rFonts w:asciiTheme="majorBidi" w:hAnsiTheme="majorBidi" w:cstheme="majorBidi"/>
          <w:bCs/>
        </w:rPr>
        <w:t xml:space="preserve"> but not in humans</w:t>
      </w:r>
      <w:r w:rsidR="00A27F1F">
        <w:rPr>
          <w:rFonts w:asciiTheme="majorBidi" w:hAnsiTheme="majorBidi" w:cstheme="majorBidi"/>
          <w:bCs/>
        </w:rPr>
        <w:t xml:space="preserve"> </w:t>
      </w:r>
      <w:r w:rsidR="00A27F1F">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"10.1139/apnm-2018-0818", "ISSN" : "1715-5312", "abstract" : "Introduction: Hepatokines such as fibroblast growth factor 21 (FGF21), follistatin and leukocyte cell\u2010derived chemotaxin 2 (LECT2) are liver\u2010derived proteins which contribute to the regulation of whole\u2010body glucose and lipid metabolism. Acute shifts in energy balance, through means such as exercise, modulate circulating concentrations of these hepatokines; however the influence of exercise intensity has not been fully explored. This study examined the effect of exercise intensity on circulating hepatokine concentrations in healthy men. Methods: In a randomized, crossover design, 10 healthy men (see Table 1 for participant characteristics) completed three experimental trials, commencing with either a moderate\u2010intensity run (55% peak oxygen uptake (VO2 peak); MOD), high\u2010intensity run (75% VO2 peak; HIGH) or control period (rest; CON). The duration of MOD and HIGH differed (mean +/\u2010 SD: 57 +/\u2010 8 vs 42 +/\u2010 6 min, respectively) so that total energy expenditure was matched (target 600 kcal). After exercise, participants rested for 7 h, with standardised meals consumed at 2 and 6 h post\u2010exercise. Venous blood samples were taken before exercise and at 0, 1, 2, 4 and 7 h post\u2010exercise for measurement of plasma FGF21, follistatin and LECT2 concentrations (ELISA). Results: Total energy expenditure was similar between the two exercise trials (MOD vs HIGH: 591 +/\u2010 17 vs 595 +/\u2010 14 kcal; P = 0.46). Two\u2010way ANOVA revealed a significant trial main effect and trial\u2010time interaction for FGF21 (both P &lt; 0.001), indicating a greater increase in plasma FGF21 concentrations at 1, 2 and 4 h after HIGH compared to MOD (all P &lt; 0.03; Figure 1A). A significant trial main effect and trial\u2010time interaction for follistatin was also observed, indicating elevated plasma follistatin concentrations at 4 and 7 h after both MOD and HIGH vs CON (all P &lt; 0.01; Figure 1B); however the response was similar between the two exercise trials. A significant trial\u2010time interaction was found for LECT2, indicating an increase in plasma LECT2 concentrations immediately after MOD and HIGH vs CON (both P &lt; 0.05; Figure 1C); however there were no differences between the two exercise trials. Conclusion: The present study demonstrates that acute bouts of exercise transiently increase circulating concentrations of the hepatokines FGF21, follistatin and LECT2. Furthermore, the magnitude of the post\u2010exercise increase in circulating FGF21 may be dependent on the intensity of the exercise, while responses in t\u2026", "author" : [ { "dropping-particle" : "", "family" : "Willis", "given" : "Scott A.", "non-dropping-particle" : "", "parse-names" : false, "suffix" : "" }, { "dropping-particle" : "", "family" : "Sargeant", "given" : "Jack A.", "non-dropping-particle" : "", "parse-names" : false, "suffix" : "" }, { "dropping-particle" : "", "family" : "Thackray", "given" : "Alice E.", "non-dropping-particle" : "", "parse-names" : false, "suffix" : "" }, { "dropping-particle" : "", "family" : "Yates", "given" : "Thomas", "non-dropping-particle" : "", "parse-names" : false, "suffix" : "" }, { "dropping-particle" : "", "family" : "Stensel", "given" : "David J.", "non-dropping-particle" : "", "parse-names" : false, "suffix" : "" }, { "dropping-particle" : "", "family" : "Aithal", "given" : "Guruprasad P.", "non-dropping-particle" : "", "parse-names" : false, "suffix" : "" }, { "dropping-particle" : "", "family" : "King", "given" : "James A.", "non-dropping-particle" : "", "parse-names" : false, "suffix" : "" } ], "container-title" : "Applied Physiology, Nutrition, and Metabolism", "id" : "ITEM-1", "issue" : "10", "issued" : { "date-parts" : [ [ "2019", "10" ] ] }, "page" : "1065-1072", "title" : "Effect of exercise intensity on circulating hepatokine concentrations in healthy men", "type" : "article-journal", "volume" : "44" }, "uris" : [ "http://www.mendeley.com/documents/?uuid=950e93d6-9db6-43f1-b94b-eb9ad537311e" ] }, { "id" : "ITEM-2", "itemData" : { "DOI" : "10.1139/apnm-2017-0639", "ISSN" : "1715-5312", "PMID" : "29220580", "abstract" : "Hepatokines are liver-secreted proteins with potential to influence glucose regulation and other metabolic parameters. This study investigated differences in adiposity status on 5 novel hepatokines and characterised their response to acute moderate-intensity exercise in groups of normal-weight and overweight/obese men. Twenty-two men were recruited into normal-weight and overweight/obese groups (body mass index: 18.5 to 24.9 and 25.0 to 34.9 kg.m-2). Each completed 2 experimental trials, exercise and control. During exercise trials, participants performed 60 min of moderate-intensity treadmill exercise (~60% peak oxygen uptake) and then rested for 6 h. Participants rested throughout control trials. Circulating fibroblast growth factor-21 (FGF21), follistatin, leukocyte cell-derived chemotaxin 2 (LECT2), fetuin-A, and selenoprotein-P (SeP) were measured throughout. Fasted (resting) FGF21 and LECT2 were higher in overweight/obese individuals (129% and 55%; P &lt;= 0.01) and correlated with indices of adiposity and insulin resistance; whereas circulating follistatin was lower in overweight/obese individuals throughout trial days (17%, P &lt; 0.05). In both groups, circulating concentrations of FGF21 and follistatin were transiently elevated after exercise for up to 6 h (P &lt;= 0.02). Circulating fetuin-A and SeP were no different between groups (P &gt;= 0.19) and, along with LECT2, were unaffected by exercise (P &gt;= 0.06). These findings show that increased adiposity is associated with a modified hepatokine profile, which may represent a novel mechanism linking excess adiposity to metabolic health. Furthermore, acute perturbations in circulating FGF21 and follistatin after exercise may contribute to the health benefits of an active lifestyle.", "author" : [ { "dropping-particle" : "", "family" : "Sargeant", "given" : "Jack A.", "non-dropping-particle" : "", "parse-names" : false, "suffix" : "" }, { "dropping-particle" : "", "family" : "Aithal", "given" : "Guruprasad P.", "non-dropping-particle" : "", "parse-names" : false, "suffix" : "" }, { "dropping-particle" : "", "family" : "Takamura", "given" : "Toshinari", "non-dropping-particle" : "", "parse-names" : false, "suffix" : "" }, { "dropping-particle" : "", "family" : "Misu", "given" : "Hirofumi", "non-dropping-particle" : "", "parse-names" : false, "suffix" : "" }, { "dropping-particle" : "", "family" : "Takayama", "given" : "Hiroaki", "non-dropping-particle" : "", "parse-names" : false, "suffix" : "" }, { "dropping-particle" : "", "family" : "Douglas", "given" : "Jessica A.", "non-dropping-particle" : "", "parse-names" : false, "suffix" : "" }, { "dropping-particle" : "", "family" : "Turner", "given" : "Mark C.", "non-dropping-particle" : "", "parse-names" : false, "suffix" : "" }, { "dropping-particle" : "", "family" : "Stensel", "given" : "David J.", "non-dropping-particle" : "", "parse-names" : false, "suffix" : "" }, { "dropping-particle" : "", "family" : "Nimmo", "given" : "Myra A.", "non-dropping-particle" : "", "parse-names" : false, "suffix" : "" }, { "dropping-particle" : "", "family" : "Webb", "given" : "David R.", "non-dropping-particle" : "", "parse-names" : false, "suffix" : "" }, { "dropping-particle" : "", "family" : "Yates", "given" : "Thomas", "non-dropping-particle" : "", "parse-names" : false, "suffix" : "" }, { "dropping-particle" : "", "family" : "King", "given" : "James A.", "non-dropping-particle" : "", "parse-names" : false, "suffix" : "" } ], "container-title" : "Applied Physiology, Nutrition, and Metabolism", "id" : "ITEM-2", "issue" : "5", "issued" : { "date-parts" : [ [ "2018", "5" ] ] }, "page" : "482-490", "title" : "The influence of adiposity and acute exercise on circulating hepatokines in normal-weight and overweight/obese men", "type" : "article-journal", "volume" : "43" }, "uris" : [ "http://www.mendeley.com/documents/?uuid=f48d4195-1120-44d7-a9d0-5c5c0cf72220" ] } ], "mendeley" : { "formattedCitation" : "(28,55)", "plainTextFormattedCitation" : "(28,55)", "previouslyFormattedCitation" : "(28,55)" }, "properties" : { "noteIndex" : 20 }, "schema" : "https://github.com/citation-style-language/schema/raw/master/csl-citation.json" }</w:instrText>
      </w:r>
      <w:r w:rsidR="00A27F1F">
        <w:rPr>
          <w:rFonts w:asciiTheme="majorBidi" w:hAnsiTheme="majorBidi" w:cstheme="majorBidi"/>
          <w:bCs/>
        </w:rPr>
        <w:fldChar w:fldCharType="separate"/>
      </w:r>
      <w:r w:rsidR="007B52A5" w:rsidRPr="007B52A5">
        <w:rPr>
          <w:rFonts w:asciiTheme="majorBidi" w:hAnsiTheme="majorBidi" w:cstheme="majorBidi"/>
          <w:bCs/>
          <w:noProof/>
        </w:rPr>
        <w:t>(28,55)</w:t>
      </w:r>
      <w:r w:rsidR="00A27F1F">
        <w:rPr>
          <w:rFonts w:asciiTheme="majorBidi" w:hAnsiTheme="majorBidi" w:cstheme="majorBidi"/>
          <w:bCs/>
        </w:rPr>
        <w:fldChar w:fldCharType="end"/>
      </w:r>
      <w:r>
        <w:rPr>
          <w:rFonts w:asciiTheme="majorBidi" w:hAnsiTheme="majorBidi" w:cstheme="majorBidi"/>
          <w:bCs/>
        </w:rPr>
        <w:t>. This difference may reflect the relatively greater metabolic stimulus provoked by these interventions in rodents.</w:t>
      </w:r>
    </w:p>
    <w:p w14:paraId="1F62E59F" w14:textId="52FE7532" w:rsidR="00D65EE0" w:rsidRDefault="00D65EE0" w:rsidP="00D65EE0">
      <w:pPr>
        <w:spacing w:line="480" w:lineRule="auto"/>
        <w:jc w:val="both"/>
        <w:rPr>
          <w:rFonts w:asciiTheme="majorBidi" w:hAnsiTheme="majorBidi" w:cstheme="majorBidi"/>
          <w:bCs/>
        </w:rPr>
      </w:pPr>
      <w:r>
        <w:rPr>
          <w:rFonts w:asciiTheme="majorBidi" w:hAnsiTheme="majorBidi" w:cstheme="majorBidi"/>
          <w:bCs/>
        </w:rPr>
        <w:t xml:space="preserve">Pre-clinical experiments demonstrate that LECT2 directly promotes insulin resistance in skeletal muscle and adipose tissue </w:t>
      </w:r>
      <w:r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"id" : "ITEM-2", "itemData" : { "DOI" : "10.1530/JME-17-0267", "ISSN" : "0952-5041", "PMID" : "29650721", "abstract" : "Leukocyte cell-derived chemotaxin 2 (LECT2) is a recently identified novel hepatokine that causes insulin resistance in skeletal muscle by activating c-Jun N-terminal kinase (JNK), thereby driving atherosclerotic inflammation. However, the role of LECT2 in inflammation and insulin resistance in adipocytes has not been investigated. In this study, we report that LECT2 treatment of differentiated 3T3-L1 cells stimulates P38 phosphorylation in a dose-dependent manner. LECT2 also enhanced inflammation markers such as I\u03baB phosphorylation, nuclear factor kappa beta (NF-\u03baB) phosphorylation and IL-6 expression. Moreover, LECT2 treatment impaired insulin signaling in differentiated 3T3-L1 cells, as evidenced by the decreased levels of insulin receptor substrate (IRS-1) and Akt phosphorylation and reduced insulin-stimulated glucose uptake. Furthermore, LECT2 augmented lipid accumulation during 3T3-L1 cell differentiation by activating SREBP1c-mediated signaling. All these effects were significantly abrogated by siRNA-mediated silencing of P38, CD209 expression or a JNK inhibitor. Our findings suggest that LECT2 stimulates inflammation and insulin resistance in adipocytes via activation of a CD209/P38-dependent pathway. Thus, these results suggest effective therapeutic targets for treating inflammation-mediated insulin resistance.", "author" : [ { "dropping-particle" : "", "family" : "Jung", "given" : "Tae Woo", "non-dropping-particle" : "", "parse-names" : false, "suffix" : "" }, { "dropping-particle" : "", "family" : "Chung", "given" : "Yoon Hee", "non-dropping-particle" : "", "parse-names" : false, "suffix" : "" }, { "dropping-particle" : "", "family" : "Kim", "given" : "Hyoung-Chun", "non-dropping-particle" : "", "parse-names" : false, "suffix" : "" }, { "dropping-particle" : "", "family" : "Abd El-Aty", "given" : "A. M.", "non-dropping-particle" : "", "parse-names" : false, "suffix" : "" }, { "dropping-particle" : "", "family" : "Jeong", "given" : "Ji Hoon", "non-dropping-particle" : "", "parse-names" : false, "suffix" : "" } ], "container-title" : "Journal of Molecular Endocrinology", "id" : "ITEM-2", "issue" : "1", "issued" : { "date-parts" : [ [ "2018", "7" ] ] }, "page" : "37-45", "title" : "LECT2 promotes inflammation and insulin resistance in adipocytes via P38 pathways", "type" : "article-journal", "volume" : "61" }, "uris" : [ "http://www.mendeley.com/documents/?uuid=a3b38447-e43c-42dd-b027-a3ad102b3ff8" ] } ], "mendeley" : { "formattedCitation" : "(7,14)", "plainTextFormattedCitation" : "(7,14)", "previouslyFormattedCitation" : "(7,14)" }, "properties" : { "noteIndex" : 16 }, "schema" : "https://github.com/citation-style-language/schema/raw/master/csl-citation.json" }</w:instrText>
      </w:r>
      <w:r w:rsidRPr="00D731C5">
        <w:rPr>
          <w:rFonts w:asciiTheme="majorBidi" w:hAnsiTheme="majorBidi" w:cstheme="majorBidi"/>
          <w:bCs/>
        </w:rPr>
        <w:fldChar w:fldCharType="separate"/>
      </w:r>
      <w:r w:rsidR="00D377E6" w:rsidRPr="00D377E6">
        <w:rPr>
          <w:rFonts w:asciiTheme="majorBidi" w:hAnsiTheme="majorBidi" w:cstheme="majorBidi"/>
          <w:bCs/>
          <w:noProof/>
        </w:rPr>
        <w:t>(7,14)</w:t>
      </w:r>
      <w:r w:rsidRPr="00D731C5">
        <w:rPr>
          <w:rFonts w:asciiTheme="majorBidi" w:hAnsiTheme="majorBidi" w:cstheme="majorBidi"/>
          <w:bCs/>
        </w:rPr>
        <w:fldChar w:fldCharType="end"/>
      </w:r>
      <w:r>
        <w:rPr>
          <w:rFonts w:asciiTheme="majorBidi" w:hAnsiTheme="majorBidi" w:cstheme="majorBidi"/>
          <w:bCs/>
        </w:rPr>
        <w:t xml:space="preserve">; and our findings raise the possibility that LECT2 may contribute to changes in insulin sensitivity in response to short-term adjustments in nutrient intake and energy balance. In our study, seven days of the HE-HFD decreased whole-body insulin sensitivity by 31%, however we did not observe any correlations between LECT2 and this outcome (data not shown). An alternative suggestion is that LECT2 may respond to protect the liver from metabolic challenge </w:t>
      </w:r>
      <w:r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"10.1111/cts.12469", "ISSN" : "17528054", "author" : [ { "dropping-particle" : "", "family" : "Slowik", "given" : "V.", "non-dropping-particle" : "", "parse-names" : false, "suffix" : "" }, { "dropping-particle" : "", "family" : "Apte", "given" : "U.", "non-dropping-particle" : "", "parse-names" : false, "suffix" : "" } ], "container-title" : "Clinical and Translational Science", "id" : "ITEM-1", "issue" : "4", "issued" : { "date-parts" : [ [ "2017", "7" ] ] }, "page" : "249-259", "title" : "Leukocyte Cell-Derived Chemotaxin-2: It's Role in Pathophysiology and Future in Clinical Medicine", "type" : "article-journal", "volume" : "10" }, "uris" : [ "http://www.mendeley.com/documents/?uuid=ca80cb10-3a3c-4a64-b1b3-6fb4d1a534b7" ] } ], "mendeley" : { "formattedCitation" : "(18)", "plainTextFormattedCitation" : "(18)", "previouslyFormattedCitation" : "(18)" }, "properties" : { "noteIndex" : 17 }, "schema" : "https://github.com/citation-style-language/schema/raw/master/csl-citation.json" }</w:instrText>
      </w:r>
      <w:r w:rsidRPr="00D731C5">
        <w:rPr>
          <w:rFonts w:asciiTheme="majorBidi" w:hAnsiTheme="majorBidi" w:cstheme="majorBidi"/>
          <w:bCs/>
        </w:rPr>
        <w:fldChar w:fldCharType="separate"/>
      </w:r>
      <w:r w:rsidR="00D377E6" w:rsidRPr="00D377E6">
        <w:rPr>
          <w:rFonts w:asciiTheme="majorBidi" w:hAnsiTheme="majorBidi" w:cstheme="majorBidi"/>
          <w:bCs/>
          <w:noProof/>
        </w:rPr>
        <w:t>(18)</w:t>
      </w:r>
      <w:r w:rsidRPr="00D731C5">
        <w:rPr>
          <w:rFonts w:asciiTheme="majorBidi" w:hAnsiTheme="majorBidi" w:cstheme="majorBidi"/>
          <w:bCs/>
        </w:rPr>
        <w:fldChar w:fldCharType="end"/>
      </w:r>
      <w:r>
        <w:rPr>
          <w:rFonts w:asciiTheme="majorBidi" w:hAnsiTheme="majorBidi" w:cstheme="majorBidi"/>
          <w:bCs/>
        </w:rPr>
        <w:t>; however, new mechanistic studies are needed to investigate these hypotheses.</w:t>
      </w:r>
    </w:p>
    <w:p w14:paraId="1621B925" w14:textId="77BB7F17" w:rsidR="00D65EE0" w:rsidRDefault="00D65EE0" w:rsidP="00D65EE0">
      <w:pPr>
        <w:spacing w:line="480" w:lineRule="auto"/>
        <w:jc w:val="both"/>
        <w:rPr>
          <w:rFonts w:asciiTheme="majorBidi" w:hAnsiTheme="majorBidi" w:cstheme="majorBidi"/>
          <w:bCs/>
        </w:rPr>
      </w:pPr>
      <w:r>
        <w:rPr>
          <w:rFonts w:asciiTheme="majorBidi" w:hAnsiTheme="majorBidi" w:cstheme="majorBidi"/>
          <w:bCs/>
        </w:rPr>
        <w:t xml:space="preserve">The present study does not allow us to unpick the mechanisms mediating the LECT2 response to the HE-HFD; however, it is likely that hepatic AMPK activation is relevant. AMPK is an energy-sensing kinase thought to be a ‘master regulator’ of metabolic homeostasis </w:t>
      </w:r>
      <w:r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"10.1016/j.celrep.2018.12.036", "ISSN" : "22111247", "PMID" : "30605676", "abstract" : "The AMP-activated protein kinase (AMPK) is a highly conserved master regulator of metabolism, whose activation has been proposed to be therapeutically beneficial for the treatment of several metabolic diseases, including nonalcoholic fatty liver disease (NAFLD). NAFLD, characterized by excessive accumulation of hepatic lipids, is the most common chronic liver disease and a major risk factor for development of nonalcoholic steatohepatitis, type 2 diabetes, and other metabolic conditions. To assess the therapeutic potential of AMPK activation, we have generated a genetically engineered mouse model, termed iAMPKCA, where AMPK can be inducibly activated in vivo in mice in a spatially and temporally restricted manner. Using this model, we show that liver-specific AMPK activation reprograms lipid metabolism, reduces liver steatosis, decreases expression of inflammation and fibrosis genes, and leads to significant therapeutic benefits in the context of diet-induced obesity. These findings further support AMPK as a target for the prevention and treatment of NAFLD.", "author" : [ { "dropping-particle" : "", "family" : "Garcia", "given" : "Daniel", "non-dropping-particle" : "", "parse-names" : false, "suffix" : "" }, { "dropping-particle" : "", "family" : "Hellberg", "given" : "Kristina", "non-dropping-particle" : "", "parse-names" : false, "suffix" : "" }, { "dropping-particle" : "", "family" : "Chaix", "given" : "Amandine", "non-dropping-particle" : "", "parse-names" : false, "suffix" : "" }, { "dropping-particle" : "", "family" : "Wallace", "given" : "Martina", "non-dropping-particle" : "", "parse-names" : false, "suffix" : "" }, { "dropping-particle" : "", "family" : "Herzig", "given" : "S\u00e9bastien", "non-dropping-particle" : "", "parse-names" : false, "suffix" : "" }, { "dropping-particle" : "", "family" : "Badur", "given" : "Mehmet G.", "non-dropping-particle" : "", "parse-names" : false, "suffix" : "" }, { "dropping-particle" : "", "family" : "Lin", "given" : "Terry", "non-dropping-particle" : "", "parse-names" : false, "suffix" : "" }, { "dropping-particle" : "", "family" : "Shokhirev", "given" : "Maxim N.", "non-dropping-particle" : "", "parse-names" : false, "suffix" : "" }, { "dropping-particle" : "", "family" : "Pinto", "given" : "Antonio F.M.", "non-dropping-particle" : "", "parse-names" : false, "suffix" : "" }, { "dropping-particle" : "", "family" : "Ross", "given" : "Debbie S.", "non-dropping-particle" : "", "parse-names" : false, "suffix" : "" }, { "dropping-particle" : "", "family" : "Saghatelian", "given" : "Alan", "non-dropping-particle" : "", "parse-names" : false, "suffix" : "" }, { "dropping-particle" : "", "family" : "Panda", "given" : "Satchidananda", "non-dropping-particle" : "", "parse-names" : false, "suffix" : "" }, { "dropping-particle" : "", "family" : "Dow", "given" : "Lukas E.", "non-dropping-particle" : "", "parse-names" : false, "suffix" : "" }, { "dropping-particle" : "", "family" : "Metallo", "given" : "Christian M.", "non-dropping-particle" : "", "parse-names" : false, "suffix" : "" }, { "dropping-particle" : "", "family" : "Shaw", "given" : "Reuben J.", "non-dropping-particle" : "", "parse-names" : false, "suffix" : "" } ], "container-title" : "Cell Reports", "id" : "ITEM-1", "issue" : "1", "issued" : { "date-parts" : [ [ "2019", "1" ] ] }, "page" : "192-208.e6", "title" : "Genetic Liver-Specific AMPK Activation Protects against Diet-Induced Obesity and NAFLD", "type" : "article-journal", "volume" : "26" }, "uris" : [ "http://www.mendeley.com/documents/?uuid=2a66696b-dcb6-4cb9-bb36-820b65b0910b" ] } ], "mendeley" : { "formattedCitation" : "(56)", "plainTextFormattedCitation" : "(56)", "previouslyFormattedCitation" : "(56)" }, "properties" : { "noteIndex" : 17 }, "schema" : "https://github.com/citation-style-language/schema/raw/master/csl-citation.json" }</w:instrText>
      </w:r>
      <w:r w:rsidRPr="00A53A85">
        <w:rPr>
          <w:rFonts w:asciiTheme="majorBidi" w:hAnsiTheme="majorBidi" w:cstheme="majorBidi"/>
          <w:bCs/>
        </w:rPr>
        <w:fldChar w:fldCharType="separate"/>
      </w:r>
      <w:r w:rsidR="007B52A5" w:rsidRPr="007B52A5">
        <w:rPr>
          <w:rFonts w:asciiTheme="majorBidi" w:hAnsiTheme="majorBidi" w:cstheme="majorBidi"/>
          <w:bCs/>
          <w:noProof/>
        </w:rPr>
        <w:t>(56)</w:t>
      </w:r>
      <w:r w:rsidRPr="00A53A85">
        <w:rPr>
          <w:rFonts w:asciiTheme="majorBidi" w:hAnsiTheme="majorBidi" w:cstheme="majorBidi"/>
          <w:bCs/>
        </w:rPr>
        <w:fldChar w:fldCharType="end"/>
      </w:r>
      <w:r>
        <w:rPr>
          <w:rFonts w:asciiTheme="majorBidi" w:hAnsiTheme="majorBidi" w:cstheme="majorBidi"/>
          <w:bCs/>
        </w:rPr>
        <w:t xml:space="preserve">; and hepatic AMPK activation has been shown to negatively regulate hepatic LECT2 expression in two separate models </w:t>
      </w:r>
      <w:r w:rsidRPr="00A53A8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"10.2337/db13-0728", "ISBN" : "1939-327X (Electronic)\\r0012-1797 (Linking)", "ISSN" : "0012-1797", "PMID" : "24478397", "abstract" : "Recent articles have reported an association between fatty liver disease and systemic insulin resistance in humans, but the causal relationship remains unclear. The liver may contribute to muscle insulin resistance by releasing secretory proteins called hepatokines. Here we demonstrate that leukocyte cell-derived chemotaxin 2 (LECT2), an energy-sensing hepatokine, is a link between obesity and skeletal muscle insulin resistance. Circulating LECT2 positively correlated with the severity of both obesity and insulin resistance in humans. LECT2 expression was negatively regulated by starvation-sensing kinase adenosine monophosphate-activated protein kinase in H4IIEC hepatocytes. Genetic deletion of LECT2 in mice increased insulin sensitivity in the skeletal muscle. Treatment with recombinant LECT2 protein impaired insulin signaling via phosphorylation of Jun NH2-terminal kinase in C2C12 myocytes. These results demonstrate the involvement of LECT2 in glucose metabolism and suggest that LECT2 may be a therapeutic target for obesity-associated insulin resistance.", "author" : [ { "dropping-particle" : "", "family" : "Lan", "given" : "Fei", "non-dropping-particle" : "", "parse-names" : false, "suffix" : "" }, { "dropping-particle" : "", "family" : "Misu", "given" : "Hirofumi", "non-dropping-particle" : "", "parse-names" : false, "suffix" : "" }, { "dropping-particle" : "", "family" : "Chikamoto", "given" : "Keita", "non-dropping-particle" : "", "parse-names" : false, "suffix" : "" }, { "dropping-particle" : "", "family" : "Takayama", "given" : "Hiroaki", "non-dropping-particle" : "", "parse-names" : false, "suffix" : "" }, { "dropping-particle" : "", "family" : "Kikuchi", "given" : "Akihiro", "non-dropping-particle" : "", "parse-names" : false, "suffix" : "" }, { "dropping-particle" : "", "family" : "Mohri", "given" : "Kensuke", "non-dropping-particle" : "", "parse-names" : false, "suffix" : "" }, { "dropping-particle" : "", "family" : "Takata", "given" : "Noboru",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"Takeshita", "given" : "Yumie", "non-dropping-particle" : "", "parse-names" : false, "suffix" : "" }, { "dropping-particle" : "", "family" : "Noda", "given" : "Hiroyo", "non-dropping-particle" : "", "parse-names" : false, "suffix" : "" }, { "dropping-particle" : "", "family" : "Matsumoto", "given" : "Yukako", "non-dropping-particle" : "", "parse-names" : false, "suffix" : "" }, { "dropping-particle" : "", "family" : "Ota", "given" : "Tsuguhito", "non-dropping-particle" : "", "parse-names" : false, "suffix" : "" }, { "dropping-particle" : "", "family" : "Nagano", "given" : "Toru", "non-dropping-particle" : "", "parse-names" : false, "suffix" : "" }, { "dropping-particle" : "", "family" : "Nakagen", "given" : "Masatoshi", "non-dropping-particle" : "", "parse-names" : false, "suffix" : "" }, { "dropping-particle" : "", "family" : "Miyamoto", "given" : "Ken-ichi", "non-dropping-particle" : "", "parse-names" : false, "suffix" : "" }, { "dropping-particle" : "", "family" : "Takatsuki", "given" : "Kanako", "non-dropping-particle" : "", "parse-names" : false, "suffix" : "" }, { "dropping-particle" : "", "family" : "Seo", "given" : "Toru", "non-dropping-particle" : "", "parse-names" : false, "suffix" : "" }, { "dropping-particle" : "", "family" : "Iwayama", "given" : "Kaito", "non-dropping-particle" : "", "parse-names" : false, "suffix" : "" }, { "dropping-particle" : "", "family" : "Tokuyama", "given" : "Kunpei", "non-dropping-particle" : "", "parse-names" : false, "suffix" : "" }, { "dropping-particle" : "", "family" : "Matsugo", "given" : "Seiichi", "non-dropping-particle" : "", "parse-names" : false, "suffix" : "" }, { "dropping-particle" : "", "family" : "Tang", "given" : "Hong", "non-dropping-particle" : "", "parse-names" : false, "suffix" : "" }, { "dropping-particle" : "", "family" : "Saito", "given" : "Yoshiro", "non-dropping-particle" : "", "parse-names" : false, "suffix" : "" }, { "dropping-particle" : "", "family" : "Yamagoe", "given" : "Satoshi", "non-dropping-particle" : "", "parse-names" : false, "suffix" : "" }, { "dropping-particle" : "", "family" : "Kaneko", "given" : "Shuichi", "non-dropping-particle" : "", "parse-names" : false, "suffix" : "" }, { "dropping-particle" : "", "family" : "Takamura", "given" : "Toshinari", "non-dropping-particle" : "", "parse-names" : false, "suffix" : "" } ], "container-title" : "Diabetes", "id" : "ITEM-1", "issue" : "5", "issued" : { "date-parts" : [ [ "2014", "5" ] ] }, "page" : "1649-1664", "title" : "LECT2 Functions as a Hepatokine That Links Obesity to Skeletal Muscle Insulin Resistance", "type" : "article-journal", "volume" : "63" }, "uris" : [ "http://www.mendeley.com/documents/?uuid=e68fb890-432f-4e85-8fd5-679f589778ee" ] }, { "id" : "ITEM-2", "itemData" : { "DOI" : "10.1016/j.celrep.2018.12.036", "ISSN" : "22111247", "PMID" : "30605676", "abstract" : "The AMP-activated protein kinase (AMPK) is a highly conserved master regulator of metabolism, whose activation has been proposed to be therapeutically beneficial for the treatment of several metabolic diseases, including nonalcoholic fatty liver disease (NAFLD). NAFLD, characterized by excessive accumulation of hepatic lipids, is the most common chronic liver disease and a major risk factor for development of nonalcoholic steatohepatitis, type 2 diabetes, and other metabolic conditions. To assess the therapeutic potential of AMPK activation, we have generated a genetically engineered mouse model, termed iAMPKCA, where AMPK can be inducibly activated in vivo in mice in a spatially and temporally restricted manner. Using this model, we show that liver-specific AMPK activation reprograms lipid metabolism, reduces liver steatosis, decreases expression of inflammation and fibrosis genes, and leads to significant therapeutic benefits in the context of diet-induced obesity. These findings further support AMPK as a target for the prevention and treatment of NAFLD.", "author" : [ { "dropping-particle" : "", "family" : "Garcia", "given" : "Daniel", "non-dropping-particle" : "", "parse-names" : false, "suffix" : "" }, { "dropping-particle" : "", "family" : "Hellberg", "given" : "Kristina", "non-dropping-particle" : "", "parse-names" : false, "suffix" : "" }, { "dropping-particle" : "", "family" : "Chaix", "given" : "Amandine", "non-dropping-particle" : "", "parse-names" : false, "suffix" : "" }, { "dropping-particle" : "", "family" : "Wallace", "given" : "Martina", "non-dropping-particle" : "", "parse-names" : false, "suffix" : "" }, { "dropping-particle" : "", "family" : "Herzig", "given" : "S\u00e9bastien", "non-dropping-particle" : "", "parse-names" : false, "suffix" : "" }, { "dropping-particle" : "", "family" : "Badur", "given" : "Mehmet G.", "non-dropping-particle" : "", "parse-names" : false, "suffix" : "" }, { "dropping-particle" : "", "family" : "Lin", "given" : "Terry", "non-dropping-particle" : "", "parse-names" : false, "suffix" : "" }, { "dropping-particle" : "", "family" : "Shokhirev", "given" : "Maxim N.", "non-dropping-particle" : "", "parse-names" : false, "suffix" : "" }, { "dropping-particle" : "", "family" : "Pinto", "given" : "Antonio F.M.", "non-dropping-particle" : "", "parse-names" : false, "suffix" : "" }, { "dropping-particle" : "", "family" : "Ross", "given" : "Debbie S.", "non-dropping-particle" : "", "parse-names" : false, "suffix" : "" }, { "dropping-particle" : "", "family" : "Saghatelian", "given" : "Alan", "non-dropping-particle" : "", "parse-names" : false, "suffix" : "" }, { "dropping-particle" : "", "family" : "Panda", "given" : "Satchidananda", "non-dropping-particle" : "", "parse-names" : false, "suffix" : "" }, { "dropping-particle" : "", "family" : "Dow", "given" : "Lukas E.", "non-dropping-particle" : "", "parse-names" : false, "suffix" : "" }, { "dropping-particle" : "", "family" : "Metallo", "given" : "Christian M.", "non-dropping-particle" : "", "parse-names" : false, "suffix" : "" }, { "dropping-particle" : "", "family" : "Shaw", "given" : "Reuben J.", "non-dropping-particle" : "", "parse-names" : false, "suffix" : "" } ], "container-title" : "Cell Reports", "id" : "ITEM-2", "issue" : "1", "issued" : { "date-parts" : [ [ "2019", "1" ] ] }, "page" : "192-208.e6", "title" : "Genetic Liver-Specific AMPK Activation Protects against Diet-Induced Obesity and NAFLD", "type" : "article-journal", "volume" : "26" }, "uris" : [ "http://www.mendeley.com/documents/?uuid=2a66696b-dcb6-4cb9-bb36-820b65b0910b" ] } ], "mendeley" : { "formattedCitation" : "(7,56)", "plainTextFormattedCitation" : "(7,56)", "previouslyFormattedCitation" : "(7,56)" }, "properties" : { "noteIndex" : 17 }, "schema" : "https://github.com/citation-style-language/schema/raw/master/csl-citation.json" }</w:instrText>
      </w:r>
      <w:r w:rsidRPr="00A53A85">
        <w:rPr>
          <w:rFonts w:asciiTheme="majorBidi" w:hAnsiTheme="majorBidi" w:cstheme="majorBidi"/>
          <w:bCs/>
        </w:rPr>
        <w:fldChar w:fldCharType="separate"/>
      </w:r>
      <w:r w:rsidR="007B52A5" w:rsidRPr="007B52A5">
        <w:rPr>
          <w:rFonts w:asciiTheme="majorBidi" w:hAnsiTheme="majorBidi" w:cstheme="majorBidi"/>
          <w:bCs/>
          <w:noProof/>
        </w:rPr>
        <w:t>(7,56)</w:t>
      </w:r>
      <w:r w:rsidRPr="00A53A85">
        <w:rPr>
          <w:rFonts w:asciiTheme="majorBidi" w:hAnsiTheme="majorBidi" w:cstheme="majorBidi"/>
          <w:bCs/>
        </w:rPr>
        <w:fldChar w:fldCharType="end"/>
      </w:r>
      <w:r>
        <w:rPr>
          <w:rFonts w:asciiTheme="majorBidi" w:hAnsiTheme="majorBidi" w:cstheme="majorBidi"/>
          <w:bCs/>
        </w:rPr>
        <w:t>.</w:t>
      </w:r>
    </w:p>
    <w:p w14:paraId="49CE4EB8" w14:textId="4674776D" w:rsidR="009A2C69" w:rsidRPr="003E1817" w:rsidRDefault="00241101" w:rsidP="00D65EE0">
      <w:pPr>
        <w:spacing w:line="480" w:lineRule="auto"/>
        <w:jc w:val="both"/>
        <w:rPr>
          <w:rFonts w:asciiTheme="majorBidi" w:hAnsiTheme="majorBidi" w:cstheme="majorBidi"/>
          <w:bCs/>
        </w:rPr>
      </w:pPr>
      <w:r>
        <w:rPr>
          <w:rFonts w:asciiTheme="majorBidi" w:hAnsiTheme="majorBidi" w:cstheme="majorBidi"/>
          <w:bCs/>
        </w:rPr>
        <w:t>The present study</w:t>
      </w:r>
      <w:r w:rsidR="00DA5BFE" w:rsidRPr="009B7ED3">
        <w:rPr>
          <w:rFonts w:asciiTheme="majorBidi" w:hAnsiTheme="majorBidi" w:cstheme="majorBidi"/>
          <w:bCs/>
        </w:rPr>
        <w:t xml:space="preserve"> identified an interaction between diet and time for circulating fetuin</w:t>
      </w:r>
      <w:r w:rsidR="00F3094C">
        <w:rPr>
          <w:rFonts w:asciiTheme="majorBidi" w:hAnsiTheme="majorBidi" w:cstheme="majorBidi"/>
          <w:bCs/>
        </w:rPr>
        <w:t>-</w:t>
      </w:r>
      <w:r w:rsidR="00DA5BFE" w:rsidRPr="009B7ED3">
        <w:rPr>
          <w:rFonts w:asciiTheme="majorBidi" w:hAnsiTheme="majorBidi" w:cstheme="majorBidi"/>
          <w:bCs/>
        </w:rPr>
        <w:t>A; with higher levels apparent after seven days of the HE-HFD compare</w:t>
      </w:r>
      <w:r w:rsidR="00DA5BFE" w:rsidRPr="00176381">
        <w:rPr>
          <w:rFonts w:asciiTheme="majorBidi" w:hAnsiTheme="majorBidi" w:cstheme="majorBidi"/>
          <w:bCs/>
        </w:rPr>
        <w:t xml:space="preserve">d with control. </w:t>
      </w:r>
      <w:r w:rsidR="00DA3DA6" w:rsidRPr="00176381">
        <w:rPr>
          <w:rFonts w:asciiTheme="majorBidi" w:hAnsiTheme="majorBidi" w:cstheme="majorBidi"/>
          <w:bCs/>
        </w:rPr>
        <w:t xml:space="preserve">However, </w:t>
      </w:r>
      <w:r w:rsidR="000F44ED" w:rsidRPr="00176381">
        <w:rPr>
          <w:rFonts w:asciiTheme="majorBidi" w:hAnsiTheme="majorBidi" w:cstheme="majorBidi"/>
          <w:bCs/>
        </w:rPr>
        <w:t xml:space="preserve">this </w:t>
      </w:r>
      <w:r w:rsidR="00E23E6D" w:rsidRPr="00176381">
        <w:rPr>
          <w:rFonts w:asciiTheme="majorBidi" w:hAnsiTheme="majorBidi" w:cstheme="majorBidi"/>
          <w:bCs/>
        </w:rPr>
        <w:lastRenderedPageBreak/>
        <w:t>elevation</w:t>
      </w:r>
      <w:r w:rsidR="000F44ED" w:rsidRPr="00176381">
        <w:rPr>
          <w:rFonts w:asciiTheme="majorBidi" w:hAnsiTheme="majorBidi" w:cstheme="majorBidi"/>
          <w:bCs/>
        </w:rPr>
        <w:t xml:space="preserve"> was subtle </w:t>
      </w:r>
      <w:r w:rsidR="009C2877" w:rsidRPr="00176381">
        <w:rPr>
          <w:rFonts w:asciiTheme="majorBidi" w:hAnsiTheme="majorBidi" w:cstheme="majorBidi"/>
          <w:bCs/>
        </w:rPr>
        <w:t>(6.5%)</w:t>
      </w:r>
      <w:r w:rsidR="00DA5BFE" w:rsidRPr="00176381">
        <w:rPr>
          <w:rFonts w:asciiTheme="majorBidi" w:hAnsiTheme="majorBidi" w:cstheme="majorBidi"/>
          <w:bCs/>
        </w:rPr>
        <w:t xml:space="preserve"> an</w:t>
      </w:r>
      <w:r w:rsidR="00DA5BFE" w:rsidRPr="009B7ED3">
        <w:rPr>
          <w:rFonts w:asciiTheme="majorBidi" w:hAnsiTheme="majorBidi" w:cstheme="majorBidi"/>
          <w:bCs/>
        </w:rPr>
        <w:t>d a marginal decline in fetuin</w:t>
      </w:r>
      <w:r w:rsidR="00F3094C">
        <w:rPr>
          <w:rFonts w:asciiTheme="majorBidi" w:hAnsiTheme="majorBidi" w:cstheme="majorBidi"/>
          <w:bCs/>
        </w:rPr>
        <w:t>-</w:t>
      </w:r>
      <w:r w:rsidR="00DA5BFE" w:rsidRPr="009B7ED3">
        <w:rPr>
          <w:rFonts w:asciiTheme="majorBidi" w:hAnsiTheme="majorBidi" w:cstheme="majorBidi"/>
          <w:bCs/>
        </w:rPr>
        <w:t>A during the control intervention contributed to this effect. This finding is consistent with our pilot data where circulating fetuin</w:t>
      </w:r>
      <w:r w:rsidR="00F3094C">
        <w:rPr>
          <w:rFonts w:asciiTheme="majorBidi" w:hAnsiTheme="majorBidi" w:cstheme="majorBidi"/>
          <w:bCs/>
        </w:rPr>
        <w:t>-</w:t>
      </w:r>
      <w:r w:rsidR="00DA5BFE" w:rsidRPr="009B7ED3">
        <w:rPr>
          <w:rFonts w:asciiTheme="majorBidi" w:hAnsiTheme="majorBidi" w:cstheme="majorBidi"/>
          <w:bCs/>
        </w:rPr>
        <w:t xml:space="preserve">A tended to be higher (7.3%, </w:t>
      </w:r>
      <w:r w:rsidR="00DA5BFE" w:rsidRPr="009B7ED3">
        <w:rPr>
          <w:rFonts w:asciiTheme="majorBidi" w:hAnsiTheme="majorBidi" w:cstheme="majorBidi"/>
          <w:bCs/>
          <w:i/>
        </w:rPr>
        <w:t>P</w:t>
      </w:r>
      <w:r w:rsidR="00DA5BFE" w:rsidRPr="009B7ED3">
        <w:rPr>
          <w:rFonts w:asciiTheme="majorBidi" w:hAnsiTheme="majorBidi" w:cstheme="majorBidi"/>
          <w:bCs/>
        </w:rPr>
        <w:t xml:space="preserve"> = 0.087) than baseline after seven days of high-fat overfeeding; but was </w:t>
      </w:r>
      <w:r w:rsidR="00131B20">
        <w:rPr>
          <w:rFonts w:asciiTheme="majorBidi" w:hAnsiTheme="majorBidi" w:cstheme="majorBidi"/>
          <w:bCs/>
        </w:rPr>
        <w:t>unchanged</w:t>
      </w:r>
      <w:r w:rsidR="00DA5BFE" w:rsidRPr="009B7ED3">
        <w:rPr>
          <w:rFonts w:asciiTheme="majorBidi" w:hAnsiTheme="majorBidi" w:cstheme="majorBidi"/>
          <w:bCs/>
        </w:rPr>
        <w:t xml:space="preserve"> after a single day </w:t>
      </w:r>
      <w:r w:rsidR="00717E43"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"10.1080/02640414.2018.1521633", "ISSN" : "0264-0414", "abstract" : "Fibroblast growth factor 21 (FGF21), fetuin-A and follistatin have been identified as hepatokines which are modulated by energy balance and obesity-related conditions (Meex and Watt, 2017, Nature Reviews Endocrinology, 13, 509-520). Recent research suggests that hepatokines may be regulated by acute changes in nutritional status through means such as fasting and overnutrition, with potential to counteract or contribute to associated perturbations in metabolic homeostasis. One-week of high-fat overfeeding (HFO) increases liver fat and impairs insulin sensitivity and glycaemic control in healthy humans. The present study investigated the effects of 1 and 7 d of HFO on circulating hepatokine concentrations. The study comprises of secondary data analysis on blood samples collected from two previous HFO experiments (1 d paper, Parry et al., 2017, Nutrients, 9, 818; 7 d paper under review). Following institutional ethical approval, 26 healthy males were recruited equally to one of two dietary interventions (1 d: age, 23 \u00b1 2 years; BMI, 26.0 \u00b1 3.3; 7 d: age, 25 \u00b1 4 years; BMI, 25.3 \u00b1 2.0) (mean \u00b1 SD). Participants underwent an oral glucose tolerance test (OGTT) immediately before and after either 1 d (1DAY; +78% excess energy above estimated daily requirement, 68% fat) or 7 d (7DAY; +50% excess energy, 65% fat) of HFO. A standard OGTT (75 g glucose) was performed during 1DAY, whilst 7DAY utilised a modified OGTT (50 g glucose and 15 g protein). Fasting plasma FGF21, fetuin-A, follistatin, glucose and serum insulin were assessed before each OGTT, whilst postprandial glycaemic control was assessed using the area under the time-concentration curve (AUC) for circulating glucose and insulin throughout the OGTTs. Plasma FGF21 was elevated by 55% following 1DAY (ES = 0.64; P &lt; 0.05), whilst plasma fetuin-A tended to increase after 7DAY (ES = 0.40; P = 0.089). In contrast, plasma follistatin was unchanged following either intervention (P &gt; 0.05). Fasting plasma glucose and serum insulin were increased after 7DAY (ES \u2265 0.63; P &lt; 0.05), but 1DAY had no effect (P &gt; 0.05). Postprandial glycaemic control was impaired following both diets, demonstrated by an increase in glucose and insulin AUC (1DAY: ES \u2265 0.52, P &lt; 0.05; 7DAY: ES \u2265 0.81, P &lt; 0.05). In conclusion, alongside impairments in glycaemic control, circulating FGF21 is acutely elevated following 1 d of HFO, however this response appears to be diminished after 7 d. Conversely, fetuin-A may be increased after 7 d of H\u2026", "author" : [ { "dropping-particle" : "", "family" : "Willis", "given" : "Scott A", "non-dropping-particle" : "", "parse-names" : false, "suffix" : "" }, { "dropping-particle" : "", "family" : "King", "given" : "James A", "non-dropping-particle" : "", "parse-names" : false, "suffix" : "" }, { "dropping-particle" : "", "family" : "Parry", "given" : "Si\u00f4n A", "non-dropping-particle" : "", "parse-names" : false, "suffix" : "" }, { "dropping-particle" : "", "family" : "Woods", "given" : "Rachel M", "non-dropping-particle" : "", "parse-names" : false, "suffix" : "" }, { "dropping-particle" : "", "family" : "Sargeant", "given" : "Jack A", "non-dropping-particle" : "", "parse-names" : false, "suffix" : "" }, { "dropping-particle" : "", "family" : "Hulston", "given" : "Carl J", "non-dropping-particle" : "", "parse-names" : false, "suffix" : "" } ], "container-title" : "BASES Conference 2018 \u2013 Programme and Abstracts", "id" : "ITEM-1", "issue" : "sup1", "issued" : { "date-parts" : [ [ "2018", "11" ] ] }, "page" : "60", "publisher" : "Journal of Sports Sciences", "publisher-place" : "Harrogate", "title" : "The effect of acute, high-fat overfeeding on circulating hepatokine concentrations", "type" : "paper-conference", "volume" : "36" }, "uris" : [ "http://www.mendeley.com/documents/?uuid=b14fbdc1-6cca-4a95-869a-0e0f811f81d8" ] } ], "mendeley" : { "formattedCitation" : "(27)", "plainTextFormattedCitation" : "(27)", "previouslyFormattedCitation" : "(27)" }, "properties" : { "noteIndex" : 19 }, "schema" : "https://github.com/citation-style-language/schema/raw/master/csl-citation.json" }</w:instrText>
      </w:r>
      <w:r w:rsidR="00717E43" w:rsidRPr="00D731C5">
        <w:rPr>
          <w:rFonts w:asciiTheme="majorBidi" w:hAnsiTheme="majorBidi" w:cstheme="majorBidi"/>
          <w:bCs/>
        </w:rPr>
        <w:fldChar w:fldCharType="separate"/>
      </w:r>
      <w:r w:rsidR="00D377E6" w:rsidRPr="00D377E6">
        <w:rPr>
          <w:rFonts w:asciiTheme="majorBidi" w:hAnsiTheme="majorBidi" w:cstheme="majorBidi"/>
          <w:bCs/>
          <w:noProof/>
        </w:rPr>
        <w:t>(27)</w:t>
      </w:r>
      <w:r w:rsidR="00717E43" w:rsidRPr="00D731C5">
        <w:rPr>
          <w:rFonts w:asciiTheme="majorBidi" w:hAnsiTheme="majorBidi" w:cstheme="majorBidi"/>
          <w:bCs/>
        </w:rPr>
        <w:fldChar w:fldCharType="end"/>
      </w:r>
      <w:r w:rsidR="00DA5BFE" w:rsidRPr="009B7ED3">
        <w:rPr>
          <w:rFonts w:asciiTheme="majorBidi" w:hAnsiTheme="majorBidi" w:cstheme="majorBidi"/>
          <w:bCs/>
        </w:rPr>
        <w:t xml:space="preserve">. </w:t>
      </w:r>
      <w:proofErr w:type="spellStart"/>
      <w:r w:rsidR="00DA5BFE" w:rsidRPr="009B7ED3">
        <w:rPr>
          <w:rFonts w:asciiTheme="majorBidi" w:hAnsiTheme="majorBidi" w:cstheme="majorBidi"/>
          <w:bCs/>
        </w:rPr>
        <w:t>Samocha-Bonet</w:t>
      </w:r>
      <w:proofErr w:type="spellEnd"/>
      <w:r w:rsidR="00DA5BFE" w:rsidRPr="009B7ED3">
        <w:rPr>
          <w:rFonts w:asciiTheme="majorBidi" w:hAnsiTheme="majorBidi" w:cstheme="majorBidi"/>
          <w:bCs/>
        </w:rPr>
        <w:t xml:space="preserve"> et al </w:t>
      </w:r>
      <w:r w:rsidR="00717E43" w:rsidRPr="00DE0A6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"10.2337/dc13-1728", "ISBN" : "1935-5548 (Electronic)\\r0149-5992 (Linking)", "ISSN" : "0149-5992", "PMID" : "24356603", "author" : [ { "dropping-particle" : "", "family" : "Samocha-Bonet", "given" : "Dorit", "non-dropping-particle" : "", "parse-names" : false, "suffix" : "" }, { "dropping-particle" : "", "family" : "Tam", "given" : "Charmaine S.", "non-dropping-particle" : "", "parse-names" : false, "suffix" : "" }, { "dropping-particle" : "V.", "family" : "Campbell", "given" : "Lesley", "non-dropping-particle" : "", "parse-names" : false, "suffix" : "" }, { "dropping-particle" : "", "family" : "Heilbronn", "given" : "Leonie Kaye", "non-dropping-particle" : "", "parse-names" : false, "suffix" : "" } ], "container-title" : "Diabetes Care", "id" : "ITEM-1", "issue" : "1", "issued" : { "date-parts" : [ [ "2014", "1", "19" ] ] }, "page" : "e15-e16", "title" : "Raised Circulating Fetuin-A After 28-Day Overfeeding in Healthy Humans: Figure 1", "type" : "article-journal", "volume" : "37" }, "uris" : [ "http://www.mendeley.com/documents/?uuid=5a8e1741-db40-4ede-8a02-e20bb87ae749" ] } ], "mendeley" : { "formattedCitation" : "(57)", "plainTextFormattedCitation" : "(57)", "previouslyFormattedCitation" : "(57)" }, "properties" : { "noteIndex" : 19 }, "schema" : "https://github.com/citation-style-language/schema/raw/master/csl-citation.json" }</w:instrText>
      </w:r>
      <w:r w:rsidR="00717E43" w:rsidRPr="00DE0A65">
        <w:rPr>
          <w:rFonts w:asciiTheme="majorBidi" w:hAnsiTheme="majorBidi" w:cstheme="majorBidi"/>
          <w:bCs/>
        </w:rPr>
        <w:fldChar w:fldCharType="separate"/>
      </w:r>
      <w:r w:rsidR="007B52A5" w:rsidRPr="007B52A5">
        <w:rPr>
          <w:rFonts w:asciiTheme="majorBidi" w:hAnsiTheme="majorBidi" w:cstheme="majorBidi"/>
          <w:bCs/>
          <w:noProof/>
        </w:rPr>
        <w:t>(57)</w:t>
      </w:r>
      <w:r w:rsidR="00717E43" w:rsidRPr="00DE0A65">
        <w:rPr>
          <w:rFonts w:asciiTheme="majorBidi" w:hAnsiTheme="majorBidi" w:cstheme="majorBidi"/>
          <w:bCs/>
        </w:rPr>
        <w:fldChar w:fldCharType="end"/>
      </w:r>
      <w:r w:rsidR="00DA5BFE" w:rsidRPr="009B7ED3">
        <w:rPr>
          <w:rFonts w:asciiTheme="majorBidi" w:hAnsiTheme="majorBidi" w:cstheme="majorBidi"/>
          <w:bCs/>
        </w:rPr>
        <w:t xml:space="preserve"> </w:t>
      </w:r>
      <w:r w:rsidR="00F813BD">
        <w:rPr>
          <w:rFonts w:asciiTheme="majorBidi" w:hAnsiTheme="majorBidi" w:cstheme="majorBidi"/>
          <w:bCs/>
        </w:rPr>
        <w:t xml:space="preserve">previously </w:t>
      </w:r>
      <w:r w:rsidR="00131B20">
        <w:rPr>
          <w:rFonts w:asciiTheme="majorBidi" w:hAnsiTheme="majorBidi" w:cstheme="majorBidi"/>
          <w:bCs/>
        </w:rPr>
        <w:t>demonstrated</w:t>
      </w:r>
      <w:r w:rsidR="00DA5BFE" w:rsidRPr="009B7ED3">
        <w:rPr>
          <w:rFonts w:asciiTheme="majorBidi" w:hAnsiTheme="majorBidi" w:cstheme="majorBidi"/>
          <w:bCs/>
        </w:rPr>
        <w:t xml:space="preserve"> that 28 days of high-fat overfeeding increased circulating fetuin</w:t>
      </w:r>
      <w:r w:rsidR="00F3094C">
        <w:rPr>
          <w:rFonts w:asciiTheme="majorBidi" w:hAnsiTheme="majorBidi" w:cstheme="majorBidi"/>
          <w:bCs/>
        </w:rPr>
        <w:t>-</w:t>
      </w:r>
      <w:r w:rsidR="00DA5BFE" w:rsidRPr="009B7ED3">
        <w:rPr>
          <w:rFonts w:asciiTheme="majorBidi" w:hAnsiTheme="majorBidi" w:cstheme="majorBidi"/>
          <w:bCs/>
        </w:rPr>
        <w:t>A by approximately 16%. It therefore appears that high-fat overfeeding induces a gradual increase in circulating fetuin</w:t>
      </w:r>
      <w:r w:rsidR="00F3094C">
        <w:rPr>
          <w:rFonts w:asciiTheme="majorBidi" w:hAnsiTheme="majorBidi" w:cstheme="majorBidi"/>
          <w:bCs/>
        </w:rPr>
        <w:t>-</w:t>
      </w:r>
      <w:r w:rsidR="00DA5BFE" w:rsidRPr="009B7ED3">
        <w:rPr>
          <w:rFonts w:asciiTheme="majorBidi" w:hAnsiTheme="majorBidi" w:cstheme="majorBidi"/>
          <w:bCs/>
        </w:rPr>
        <w:t xml:space="preserve">A which may occur secondary to the development of hepatic steatosis </w:t>
      </w:r>
      <w:r w:rsidR="00717E43" w:rsidRPr="00D731C5">
        <w:rPr>
          <w:rFonts w:asciiTheme="majorBidi" w:hAnsiTheme="majorBidi" w:cstheme="majorBidi"/>
          <w:bCs/>
        </w:rPr>
        <w:fldChar w:fldCharType="begin" w:fldLock="1"/>
      </w:r>
      <w:r w:rsidR="004E386F">
        <w:rPr>
          <w:rFonts w:asciiTheme="majorBidi" w:hAnsiTheme="majorBidi" w:cstheme="majorBidi"/>
          <w:bCs/>
        </w:rPr>
        <w:instrText>ADDIN CSL_CITATION { "citationItems" : [ { "id" : "ITEM-1",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"ITEM-1",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"(4)", "plainTextFormattedCitation" : "(4)", "previouslyFormattedCitation" : "(4)" }, "properties" : { "noteIndex" : 19 }, "schema" : "https://github.com/citation-style-language/schema/raw/master/csl-citation.json" }</w:instrText>
      </w:r>
      <w:r w:rsidR="00717E43" w:rsidRPr="00D731C5">
        <w:rPr>
          <w:rFonts w:asciiTheme="majorBidi" w:hAnsiTheme="majorBidi" w:cstheme="majorBidi"/>
          <w:bCs/>
        </w:rPr>
        <w:fldChar w:fldCharType="separate"/>
      </w:r>
      <w:r w:rsidR="00D377E6" w:rsidRPr="00D377E6">
        <w:rPr>
          <w:rFonts w:asciiTheme="majorBidi" w:hAnsiTheme="majorBidi" w:cstheme="majorBidi"/>
          <w:bCs/>
          <w:noProof/>
        </w:rPr>
        <w:t>(4)</w:t>
      </w:r>
      <w:r w:rsidR="00717E43" w:rsidRPr="00D731C5">
        <w:rPr>
          <w:rFonts w:asciiTheme="majorBidi" w:hAnsiTheme="majorBidi" w:cstheme="majorBidi"/>
          <w:bCs/>
        </w:rPr>
        <w:fldChar w:fldCharType="end"/>
      </w:r>
      <w:r w:rsidR="00DA5BFE" w:rsidRPr="009B7ED3">
        <w:rPr>
          <w:rFonts w:asciiTheme="majorBidi" w:hAnsiTheme="majorBidi" w:cstheme="majorBidi"/>
          <w:bCs/>
        </w:rPr>
        <w:t xml:space="preserve"> and gluco-lipotoxicity </w:t>
      </w:r>
      <w:r w:rsidR="00717E43" w:rsidRPr="00DE0A6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"10.1016/S0024-3205(98)00250-1", "ISSN" : "00243205", "author" : [ { "dropping-particle" : "", "family" : "Lin", "given" : "X.", "non-dropping-particle" : "", "parse-names" : false, "suffix" : "" }, { "dropping-particle" : "", "family" : "Braymer", "given" : "H.D.", "non-dropping-particle" : "", "parse-names" : false, "suffix" : "" }, { "dropping-particle" : "", "family" : "Bray", "given" : "G.A.", "non-dropping-particle" : "", "parse-names" : false, "suffix" : "" }, { "dropping-particle" : "", "family" : "York", "given" : "D.A.", "non-dropping-particle" : "", "parse-names" : false, "suffix" : "" } ], "container-title" : "Life Sciences", "id" : "ITEM-1", "issue" : "2", "issued" : { "date-parts" : [ [ "1998", "6" ] ] }, "page" : "145-153", "title" : "Differential expression of insulin receptor tyrosine kinase inhibitor (fetuin) gene in a model of diet-induced obesity", "type" : "article-journal", "volume" : "63" }, "uris" : [ "http://www.mendeley.com/documents/?uuid=f1275795-6768-4148-bf7f-3da4b2c418ef" ] }, { "id" : "ITEM-2", "itemData" : { "ISSN" : "1880-3873", "PMID" : "19672022", "abstract" : "AIM Alpha2-Heremans Schmid glycoprotein (AHSG), also known as fetuin-A, is secreted from the liver and inhibits tyrosine kinase activity of the insulin receptor. Hyperglycemia in type 2 diabetes is not only a secondary manifestation of insulin resistance, but could also be responsible for directly inducing insulin resistance in target tissues. In this study, we examined the effect of high glucose (HG) on AHSG gene transcription in the human hepatoma cell line HepG2. METHODS AHSG transcriptional activity and protein expression were evaluated using reporter gene assays and Western blot analysis, respectively. RESULTS D-glucose, but not L-glucose or mannitol, dose-dependently enhanced AHSG promoter activity. HG (25 mM) also increased AHSG protein expression. No protein kinase C inhibitors (bisindolylmaleimide, Ro-31-8220), an inhibitor of hexosamine biosynthesis pathway (6-diazo-5-oxo-L-norleucine), or a superoxide radical scavenger (tempol) affected HG-induced transactivation. MAPK/ERK kinase inhibitors (PD98059, U0126), but not the JNK inhibitor (SP600125) or p38 inhibitor (SB203580), significantly inhibited promoter activation by HG. CONCLUSION Our data suggest that HG enhances AHSG transcription through activation of the ERK1/2 signaling pathway. Increased AHSG expression in the liver may be a cause of glucose toxicity in the diabetic state.", "author" : [ { "dropping-particle" : "", "family" : "Takata", "given" : "Hiroshi", "non-dropping-particle" : "", "parse-names" : false, "suffix" : "" }, { "dropping-particle" : "", "family" : "Ikeda", "given" : "Yukio", "non-dropping-particle" : "", "parse-names" : false, "suffix" : "" }, { "dropping-particle" : "", "family" : "Suehiro", "given" : "Tadashi", "non-dropping-particle" : "", "parse-names" : false, "suffix" : "" }, { "dropping-particle" : "", "family" : "Ishibashi", "given" : "Ayako", "non-dropping-particle" : "", "parse-names" : false, "suffix" : "" }, { "dropping-particle" : "", "family" : "Inoue", "given" : "Mari", "non-dropping-particle" : "", "parse-names" : false, "suffix" : "" }, { "dropping-particle" : "", "family" : "Kumon", "given" : "Yoshitaka", "non-dropping-particle" : "", "parse-names" : false, "suffix" : "" }, { "dropping-particle" : "", "family" : "Terada", "given" : "Yoshio", "non-dropping-particle" : "", "parse-names" : false, "suffix" : "" } ], "container-title" : "Journal of atherosclerosis and thrombosis", "id" : "ITEM-2", "issue" : "4", "issued" : { "date-parts" : [ [ "2009", "8" ] ] }, "page" : "448-56", "title" : "High glucose induces transactivation of the alpha2-HS glycoprotein gene through the ERK1/2 signaling pathway.", "type" : "article-journal", "volume" : "16" }, "uris" : [ "http://www.mendeley.com/documents/?uuid=cdd6441f-9def-427e-a3e8-a7aae914f86e" ] }, { "id" : "ITEM-3", "itemData" : { "DOI" : "10.1042/BJ20100330", "ISBN" : "1470-8728 (Electronic)\\r0264-6021 (Linking)", "ISSN" : "0264-6021", "PMID" : "20482516", "abstract" : "Fetuin-A, a hepatic secretory protein, has recently been implicated in insulin resistance and Type 2 diabetes. It is an endogenous inhibitor of insulin receptor tyrosine kinase. However, regulation of fetuin-A synthesis in relation to insulin resistance is unclear. In the present paper, we report that both non-esterified ('free') fatty acids and fetuin-A coexist at high levels in the serum of db/db mice, indicating an association between them. For an in-depth study, we incubated palmitate with HepG2 cells and rat primary hepatocytes, and found enhanced fetuin-A secretion to more than 4-fold over the control. Interestingly, cell lysates from these incubations showed overexpression and activity of NF-kappaB (nuclear factor kappaB). In NF-kappaB-knockout HepG2 cells, palmitate failed to increase fetuin-A secretion, whereas forced expression of NF-kappaB released fetuin-A massively in the absence of palmitate. Moreover, palmitate stimulated NF-kappaB binding to the fetuin-A promoter resulting in increased reporter activity. These results suggest NF-kappaB to be the mediator of the palmitate effect. Palmitate-induced robust expression of fetuin-A indicates the occurrence of additional targets, and we found that fetuin-A severely impaired adipocyte function leading to insulin resistance. Our results reveal a new dimension of lipid-induced insulin resistance and open another contemporary target for therapeutic intervention in Type 2 diabetes.", "author" : [ { "dropping-particle" : "", "family" : "Dasgupta", "given" : "Suman", "non-dropping-particle" : "", "parse-names" : false, "suffix" : "" }, { "dropping-particle" : "", "family" : "Bhattacharya", "given" : "Sushmita", "non-dropping-particle" : "", "parse-names" : false, "suffix" : "" }, { "dropping-particle" : "", "family" : "Biswas", "given" : "Anindita", "non-dropping-particle" : "", "parse-names" : false, "suffix" : "" }, { "dropping-particle" : "", "family" : "Majumdar", "given" : "Subeer S.", "non-dropping-particle" : "", "parse-names" : false, "suffix" : "" }, { "dropping-particle" : "", "family" : "Mukhopadhyay", "given" : "Satinath", "non-dropping-particle" : "", "parse-names" : false, "suffix" : "" }, { "dropping-particle" : "", "family" : "Ray", "given" : "Sukanta", "non-dropping-particle" : "", "parse-names" : false, "suffix" : "" }, { "dropping-particle" : "", "family" : "Bhattacharya", "given" : "Samir", "non-dropping-particle" : "", "parse-names" : false, "suffix" : "" } ], "container-title" : "Biochemical Journal", "id" : "ITEM-3", "issue" : "3", "issued" : { "date-parts" : [ [ "2010", "8", "1" ] ] }, "page" : "451-462", "title" : "NF-\u03baB mediates lipid-induced fetuin-A expression in hepatocytes that impairs adipocyte function effecting insulin resistance", "type" : "article-journal", "volume" : "429" }, "uris" : [ "http://www.mendeley.com/documents/?uuid=75c0e794-2e45-4790-a7a7-c01969cd53ef" ] }, { "id" : "ITEM-4", "itemData" : { "DOI" : "10.1016/j.bcp.2013.07.034", "ISBN" : "1873-2968 (Electronic)\\r0006-2952 (Linking)", "ISSN" : "00062952", "PMID" : "23948064", "abstract" : "Fetuin-A was recently identified as a novel hepatokine which is associated with obesity, insulin resistance and non-alcoholic fatty liver disease. Salsalate, a prodrug of salicylate with an anti-inflammatory effect and lower side effect profile, significantly lowers glucose and triglyceride levels, and increased adiponectin concentrations in randomized clinical trials. In this study, we examined the effects and regulatory mechanisms of salsalate and full length-adiponectin (fAd) on fetuin-A expression, steatosis and lipid metabolism in palmitate-treated HepG2 cells. Incubation of hepatocytes with palmitate significantly increased fetuin-A and SREBP-1c expression which lead to steatosis and knock-down of fetuin-A by siRNA restored these changes. Salsalate significantly down-regulated palmitate-induced fetuin-A mRNA expression and secretion in a dose- and time-dependent manner. Inhibition of palmitate-induced fetuin-A by salsalate was mediated by AMPK-mediated reduction of NF\u03baB activity, which was blocked by AMPK siRNA or an inhibitor of AMPK. Salsalate attenuated the excessive steatosis by palmitate through SREBP-1c regulation in hepatocytes. Furthermore, fAd also showed suppression of palmitate-induced fetuin-A through the AMPK pathway and improvement of steatosis accompanied by restoration of SREBP-1c, PAPR-\u03b1 and CD36. In preliminary in vivo experiments, salsalate treatment inhibited high fat diet (HFD)-induced steatosis as well as fetuin-A mRNA and protein expression in SD rats. In conclusion, salsalate and fAd improved palmitate-induced steatosis and impairment of lipid metabolism in hepatocytes via fetuin-A inhibition through the AMPK-NF\u03baB pathway. AbbreviationsNAFLDnon-alcoholic fatty liver diseaseAMPKadenosine monophosphate-activated protein kinaseNF-\u03baBnuclear factor-\u03baBfAdfull- length adiponectinHFDhigh fat dietEMSAelectrophoretic mobility-shift assayChIPchromatin immunoprecipitation assay. \u00a9 2013 Published by Elsevier Inc.", "author" : [ { "dropping-particle" : "", "family" : "Jung", "given" : "Tae Woo", "non-dropping-particle" : "", "parse-names" : false, "suffix" : "" }, { "dropping-particle" : "", "family" : "Youn", "given" : "Byung-Soo", "non-dropping-particle" : "", "parse-names" : false, "suffix" : "" }, { "dropping-particle" : "", "family" : "Choi", "given" : "Hae Yoon", "non-dropping-particle" : "", "parse-names" : false, "suffix" : "" }, { "dropping-particle" : "", "family" : "Lee", "given" : "So Young", "non-dropping-particle" : "", "parse-names" : false, "suffix" : "" }, { "dropping-particle" : "", "family" : "Hong", "given" : "Ho Cheol", "non-dropping-particle" : "", "parse-names" : false, "suffix" : "" }, { "dropping-particle" : "", "family" : "Yang", "given" : "Sae Jeong", "non-dropping-particle" : "", "parse-names" : false, "suffix" : "" }, { "dropping-particle" : "", "family" : "Yoo", "given" : "Hye Jin", "non-dropping-particle" : "", "parse-names" : false, "suffix" : "" }, { "dropping-particle" : "", "family" : "Kim", "given" : "Baek-Hui", "non-dropping-particle" : "", "parse-names" : false, "suffix" : "" }, { "dropping-particle" : "", "family" : "Baik", "given" : "Sei Hyun", "non-dropping-particle" : "", "parse-names" : false, "suffix" : "" }, { "dropping-particle" : "", "family" : "Choi", "given" : "Kyung Mook", "non-dropping-particle" : "", "parse-names" : false, "suffix" : "" } ], "container-title" : "Biochemical Pharmacology", "id" : "ITEM-4", "issue" : "7", "issued" : { "date-parts" : [ [ "2013", "10" ] ] }, "page" : "960-969", "publisher" : "Elsevier Inc.", "title" : "Salsalate and adiponectin ameliorate hepatic steatosis by inhibition of the hepatokine fetuin-A", "type" : "article-journal", "volume" : "86" }, "uris" : [ "http://www.mendeley.com/documents/?uuid=6af73313-e5eb-4ab2-bdec-163ec71b73ee" ] } ], "mendeley" : { "formattedCitation" : "(58\u201361)", "plainTextFormattedCitation" : "(58\u201361)", "previouslyFormattedCitation" : "(58\u201361)" }, "properties" : { "noteIndex" : 19 }, "schema" : "https://github.com/citation-style-language/schema/raw/master/csl-citation.json" }</w:instrText>
      </w:r>
      <w:r w:rsidR="00717E43" w:rsidRPr="00DE0A65">
        <w:rPr>
          <w:rFonts w:asciiTheme="majorBidi" w:hAnsiTheme="majorBidi" w:cstheme="majorBidi"/>
          <w:bCs/>
        </w:rPr>
        <w:fldChar w:fldCharType="separate"/>
      </w:r>
      <w:r w:rsidR="007B52A5" w:rsidRPr="007B52A5">
        <w:rPr>
          <w:rFonts w:asciiTheme="majorBidi" w:hAnsiTheme="majorBidi" w:cstheme="majorBidi"/>
          <w:bCs/>
          <w:noProof/>
        </w:rPr>
        <w:t>(58–61)</w:t>
      </w:r>
      <w:r w:rsidR="00717E43" w:rsidRPr="00DE0A65">
        <w:rPr>
          <w:rFonts w:asciiTheme="majorBidi" w:hAnsiTheme="majorBidi" w:cstheme="majorBidi"/>
          <w:bCs/>
        </w:rPr>
        <w:fldChar w:fldCharType="end"/>
      </w:r>
      <w:r w:rsidR="00DA5BFE" w:rsidRPr="009B7ED3">
        <w:rPr>
          <w:rFonts w:asciiTheme="majorBidi" w:hAnsiTheme="majorBidi" w:cstheme="majorBidi"/>
          <w:bCs/>
        </w:rPr>
        <w:t xml:space="preserve">. </w:t>
      </w:r>
    </w:p>
    <w:p w14:paraId="6F74EDF7" w14:textId="0B41C3FE" w:rsidR="009A2C69" w:rsidRDefault="001243C7" w:rsidP="003E1817">
      <w:pPr>
        <w:spacing w:line="480" w:lineRule="auto"/>
        <w:jc w:val="both"/>
        <w:rPr>
          <w:rFonts w:ascii="Times New Roman" w:hAnsi="Times New Roman" w:cs="Times New Roman"/>
        </w:rPr>
      </w:pPr>
      <w:r>
        <w:rPr>
          <w:rFonts w:ascii="Times New Roman" w:hAnsi="Times New Roman" w:cs="Times New Roman"/>
        </w:rPr>
        <w:t>The present study investigated</w:t>
      </w:r>
      <w:r w:rsidR="009A2C69">
        <w:rPr>
          <w:rFonts w:ascii="Times New Roman" w:hAnsi="Times New Roman" w:cs="Times New Roman"/>
        </w:rPr>
        <w:t xml:space="preserve"> the influence of high-fat overfeeding on fetuin</w:t>
      </w:r>
      <w:r w:rsidR="00F3094C">
        <w:rPr>
          <w:rFonts w:ascii="Times New Roman" w:hAnsi="Times New Roman" w:cs="Times New Roman"/>
        </w:rPr>
        <w:t>-</w:t>
      </w:r>
      <w:r w:rsidR="009A2C69">
        <w:rPr>
          <w:rFonts w:ascii="Times New Roman" w:hAnsi="Times New Roman" w:cs="Times New Roman"/>
        </w:rPr>
        <w:t xml:space="preserve">B and SeP given their negative regulatory influences on insulin sensitivity </w:t>
      </w:r>
      <w:r w:rsidR="00717E43" w:rsidRPr="00DE0A65">
        <w:rPr>
          <w:rFonts w:ascii="Times New Roman" w:hAnsi="Times New Roman" w:cs="Times New Roman"/>
        </w:rPr>
        <w:fldChar w:fldCharType="begin" w:fldLock="1"/>
      </w:r>
      <w:r w:rsidR="007B52A5">
        <w:rPr>
          <w:rFonts w:ascii="Times New Roman" w:hAnsi="Times New Roman" w:cs="Times New Roman"/>
        </w:rPr>
        <w:instrText>ADDIN CSL_CITATION { "citationItems" : [ { "id" : "ITEM-1", "itemData" : { "DOI" : "10.1016/j.cmet.2010.09.015", "ISBN" : "1932-7420 (Electronic)\\r1550-4131 (Linking)", "ISSN" : "15504131", "PMID" : "21035759", "abstract" : "The liver may regulate glucose homeostasis by modulating the sensitivity/resistance of peripheral tissues to insulin, by way of the production of secretory proteins, termed hepatokines. Here, we demonstrate that selenoprotein P (SeP), a liver-derived secretory protein, causes insulin resistance. Using serial analysis of gene expression (SAGE) and DNA chip methods, we found that hepatic SeP mRNA levels correlated with insulin resistance in humans. Administration of purified SeP impaired insulin signaling and dysregulated glucose metabolism in both hepatocytes and myocytes. Conversely, both genetic deletion and RNA interference-mediated knockdown of SeP improved systemic insulin sensitivity and glucose tolerance in mice. The metabolic actions of SeP were mediated, at least partly, by inactivation of adenosine monophosphate-activated protein kinase (AMPK). In summary, these results demonstrate a role of SeP in the regulation of glucose metabolism and insulin sensitivity and suggest that SeP may be a therapeutic target for type 2 diabetes. ?? 2010 Elsevier Inc.", "author" : [ { "dropping-particle" : "", "family" : "Misu", "given" : "Hirofumi", "non-dropping-particle" : "", "parse-names" : false, "suffix" : "" }, { "dropping-particle" : "", "family" : "Takamura", "given" : "Toshinari", "non-dropping-particle" : "", "parse-names" : false, "suffix" : "" }, { "dropping-particle" : "", "family" : "Takayama", "given" : "Hiroaki",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"Kurita", "given" : "Seiichiro", "non-dropping-particle" : "", "parse-names" : false, "suffix" : "" }, { "dropping-particle" : "", "family" : "Ishikura", "given" : "Kazuhide", "non-dropping-particle" : "", "parse-names" : false, "suffix" : "" }, { "dropping-particle" : "", "family" : "Ando", "given" : "Hitoshi", "non-dropping-particle" : "", "parse-names" : false, "suffix" : "" }, { "dropping-particle" : "", "family" : "Takeshita", "given" : "Yumie", "non-dropping-particle" : "", "parse-names" : false, "suffix" : "" }, { "dropping-particle" : "", "family" : "Ota", "given" : "Tsuguhito", "non-dropping-particle" : "", "parse-names" : false, "suffix" : "" }, { "dropping-particle" : "", "family" : "Sakurai", "given" : "Masaru", "non-dropping-particle" : "", "parse-names" : false, "suffix" : "" }, { "dropping-particle" : "", "family" : "Yamashita", "given" : "Tatsuya", "non-dropping-particle" : "", "parse-names" : false, "suffix" : "" }, { "dropping-particle" : "", "family" : "Mizukoshi", "given" : "Eishiro", "non-dropping-particle" : "", "parse-names" : false, "suffix" : "" }, { "dropping-particle" : "", "family" : "Yamashita", "given" : "Taro", "non-dropping-particle" : "", "parse-names" : false, "suffix" : "" }, { "dropping-particle" : "", "family" : "Honda", "given" : "Masao", "non-dropping-particle" : "", "parse-names" : false, "suffix" : "" }, { "dropping-particle" : "", "family" : "Miyamoto", "given" : "Ken-ichi", "non-dropping-particle" : "", "parse-names" : false, "suffix" : "" }, { "dropping-particle" : "", "family" : "Kubota", "given" : "Tetsuya", "non-dropping-particle" : "", "parse-names" : false, "suffix" : "" }, { "dropping-particle" : "", "family" : "Kubota", "given" : "Naoto", "non-dropping-particle" : "", "parse-names" : false, "suffix" : "" }, { "dropping-particle" : "", "family" : "Kadowaki", "given" : "Takashi", "non-dropping-particle" : "", "parse-names" : false, "suffix" : "" }, { "dropping-particle" : "", "family" : "Kim", "given" : "Han-Jong", "non-dropping-particle" : "", "parse-names" : false, "suffix" : "" }, { "dropping-particle" : "", "family" : "Lee", "given" : "In-kyu", "non-dropping-particle" : "", "parse-names" : false, "suffix" : "" }, { "dropping-particle" : "", "family" : "Minokoshi", "given" : "Yasuhiko", "non-dropping-particle" : "", "parse-names" : false, "suffix" : "" }, { "dropping-particle" : "", "family" : "Saito", "given" : "Yoshiro", "non-dropping-particle" : "", "parse-names" : false, "suffix" : "" }, { "dropping-particle" : "", "family" : "Takahashi", "given" : "Kazuhiko", "non-dropping-particle" : "", "parse-names" : false, "suffix" : "" }, { "dropping-particle" : "", "family" : "Yamada", "given" : "Yoshihiro", "non-dropping-particle" : "", "parse-names" : false, "suffix" : "" }, { "dropping-particle" : "", "family" : "Takakura", "given" : "Nobuyuki", "non-dropping-particle" : "", "parse-names" : false, "suffix" : "" }, { "dropping-particle" : "", "family" : "Kaneko", "given" : "Shuichi", "non-dropping-particle" : "", "parse-names" : false, "suffix" : "" } ], "container-title" : "Cell Metabolism", "id" : "ITEM-1", "issue" : "5", "issued" : { "date-parts" : [ [ "2010", "11" ] ] }, "page" : "483-495", "title" : "A Liver-Derived Secretory Protein, Selenoprotein P, Causes Insulin Resistance", "type" : "article-journal", "volume" : "12" }, "uris" : [ "http://www.mendeley.com/documents/?uuid=d137d85e-8acc-4015-8a6a-43a4ea02043d" ] } ], "mendeley" : { "formattedCitation" : "(62)", "plainTextFormattedCitation" : "(62)", "previouslyFormattedCitation" : "(62)" }, "properties" : { "noteIndex" : 19 }, "schema" : "https://github.com/citation-style-language/schema/raw/master/csl-citation.json" }</w:instrText>
      </w:r>
      <w:r w:rsidR="00717E43" w:rsidRPr="00DE0A65">
        <w:rPr>
          <w:rFonts w:ascii="Times New Roman" w:hAnsi="Times New Roman" w:cs="Times New Roman"/>
        </w:rPr>
        <w:fldChar w:fldCharType="separate"/>
      </w:r>
      <w:r w:rsidR="007B52A5" w:rsidRPr="007B52A5">
        <w:rPr>
          <w:rFonts w:ascii="Times New Roman" w:hAnsi="Times New Roman" w:cs="Times New Roman"/>
          <w:noProof/>
        </w:rPr>
        <w:t>(62)</w:t>
      </w:r>
      <w:r w:rsidR="00717E43" w:rsidRPr="00DE0A65">
        <w:rPr>
          <w:rFonts w:ascii="Times New Roman" w:hAnsi="Times New Roman" w:cs="Times New Roman"/>
        </w:rPr>
        <w:fldChar w:fldCharType="end"/>
      </w:r>
      <w:r w:rsidR="009A2C69">
        <w:rPr>
          <w:rFonts w:ascii="Times New Roman" w:hAnsi="Times New Roman" w:cs="Times New Roman"/>
        </w:rPr>
        <w:t xml:space="preserve"> and glucose metabolism </w:t>
      </w:r>
      <w:r w:rsidR="00717E43" w:rsidRPr="00D731C5">
        <w:rPr>
          <w:rFonts w:ascii="Times New Roman" w:hAnsi="Times New Roman" w:cs="Times New Roman"/>
        </w:rPr>
        <w:fldChar w:fldCharType="begin" w:fldLock="1"/>
      </w:r>
      <w:r w:rsidR="004E386F">
        <w:rPr>
          <w:rFonts w:ascii="Times New Roman" w:hAnsi="Times New Roman" w:cs="Times New Roman"/>
        </w:rPr>
        <w:instrText>ADDIN CSL_CITATION { "citationItems" : [ { "id" : "ITEM-1",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"ITEM-1",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"(4)", "plainTextFormattedCitation" : "(4)", "previouslyFormattedCitation" : "(4)" }, "properties" : { "noteIndex" : 19 }, "schema" : "https://github.com/citation-style-language/schema/raw/master/csl-citation.json" }</w:instrText>
      </w:r>
      <w:r w:rsidR="00717E43" w:rsidRPr="00D731C5">
        <w:rPr>
          <w:rFonts w:ascii="Times New Roman" w:hAnsi="Times New Roman" w:cs="Times New Roman"/>
        </w:rPr>
        <w:fldChar w:fldCharType="separate"/>
      </w:r>
      <w:r w:rsidR="00D377E6" w:rsidRPr="00D377E6">
        <w:rPr>
          <w:rFonts w:ascii="Times New Roman" w:hAnsi="Times New Roman" w:cs="Times New Roman"/>
          <w:noProof/>
        </w:rPr>
        <w:t>(4)</w:t>
      </w:r>
      <w:r w:rsidR="00717E43" w:rsidRPr="00D731C5">
        <w:rPr>
          <w:rFonts w:ascii="Times New Roman" w:hAnsi="Times New Roman" w:cs="Times New Roman"/>
        </w:rPr>
        <w:fldChar w:fldCharType="end"/>
      </w:r>
      <w:r w:rsidR="009A2C69">
        <w:rPr>
          <w:rFonts w:ascii="Times New Roman" w:hAnsi="Times New Roman" w:cs="Times New Roman"/>
        </w:rPr>
        <w:t xml:space="preserve">. In contrast to the other hepatokines measured, </w:t>
      </w:r>
      <w:r w:rsidR="009A2C69" w:rsidRPr="00E86191">
        <w:rPr>
          <w:rFonts w:ascii="Times New Roman" w:hAnsi="Times New Roman" w:cs="Times New Roman"/>
        </w:rPr>
        <w:t>circulating concentrations of fetuin</w:t>
      </w:r>
      <w:r w:rsidR="00F3094C">
        <w:rPr>
          <w:rFonts w:ascii="Times New Roman" w:hAnsi="Times New Roman" w:cs="Times New Roman"/>
        </w:rPr>
        <w:t>-</w:t>
      </w:r>
      <w:r w:rsidR="009A2C69" w:rsidRPr="00E86191">
        <w:rPr>
          <w:rFonts w:ascii="Times New Roman" w:hAnsi="Times New Roman" w:cs="Times New Roman"/>
        </w:rPr>
        <w:t>B and SeP were not influenced by the HE-HFD</w:t>
      </w:r>
      <w:r w:rsidR="009A2C69">
        <w:rPr>
          <w:rFonts w:ascii="Times New Roman" w:hAnsi="Times New Roman" w:cs="Times New Roman"/>
        </w:rPr>
        <w:t xml:space="preserve"> intervention</w:t>
      </w:r>
      <w:r w:rsidR="009A2C69" w:rsidRPr="00E86191">
        <w:rPr>
          <w:rFonts w:ascii="Times New Roman" w:hAnsi="Times New Roman" w:cs="Times New Roman"/>
        </w:rPr>
        <w:t xml:space="preserve">. </w:t>
      </w:r>
      <w:r w:rsidR="00205242">
        <w:rPr>
          <w:rFonts w:ascii="Times New Roman" w:hAnsi="Times New Roman" w:cs="Times New Roman"/>
        </w:rPr>
        <w:t>This extends</w:t>
      </w:r>
      <w:r w:rsidR="009A2C69">
        <w:rPr>
          <w:rFonts w:ascii="Times New Roman" w:hAnsi="Times New Roman" w:cs="Times New Roman"/>
        </w:rPr>
        <w:t xml:space="preserve"> knowledge by showing that, in humans, SeP and fetuin</w:t>
      </w:r>
      <w:r w:rsidR="00F3094C">
        <w:rPr>
          <w:rFonts w:ascii="Times New Roman" w:hAnsi="Times New Roman" w:cs="Times New Roman"/>
        </w:rPr>
        <w:t>-</w:t>
      </w:r>
      <w:r w:rsidR="009A2C69">
        <w:rPr>
          <w:rFonts w:ascii="Times New Roman" w:hAnsi="Times New Roman" w:cs="Times New Roman"/>
        </w:rPr>
        <w:t xml:space="preserve">B are not sensitive to acute energetic challenges induced by high-fat overfeeding. Prior to this study, only one investigation had examined the short-term influence of nutritional excess on circulating levels of SeP </w:t>
      </w:r>
      <w:r w:rsidR="00717E43" w:rsidRPr="00DE0A65">
        <w:rPr>
          <w:rFonts w:ascii="Times New Roman" w:hAnsi="Times New Roman" w:cs="Times New Roman"/>
        </w:rPr>
        <w:fldChar w:fldCharType="begin" w:fldLock="1"/>
      </w:r>
      <w:r w:rsidR="007B52A5">
        <w:rPr>
          <w:rFonts w:ascii="Times New Roman" w:hAnsi="Times New Roman" w:cs="Times New Roman"/>
        </w:rPr>
        <w:instrText>ADDIN CSL_CITATION { "citationItems" : [ { "id" : "ITEM-1", "itemData" : { "DOI" : "10.1016/j.orcp.2016.07.004", "ISSN" : "1871403X", "PMID" : "27524654", "abstract" : "Selenoprotein P (SeP) is secreted primarily by the liver and postulated to cause insulin resistance. The aim of this study was to measure plasma SeP in individuals who are lean (N = 29) or overweight/obese (N = 34), and examine relationships between circulating SeP, . SEPP1 (SeP, plasma 1) expression in subcutaneous adipose tissue, and markers of insulin resistance. SeP was higher in individuals who were overweight/obese (P . &lt;. 0.001), and associated with insulin resistance by HOMA-IR and by clamp, but not independently of BMI. . SEPP1 mRNA was correlated negatively with BMI, suggesting there may be tissue specific regulation. This study suggests that obesity, rather than insulin resistance, is central to the increase in SeP.", "author" : [ { "dropping-particle" : "", "family" : "Chen", "given" : "Miaoxin", "non-dropping-particle" : "", "parse-names" : false, "suffix" : "" }, { "dropping-particle" : "", "family" : "Liu", "given" : "Bo", "non-dropping-particle" : "", "parse-names" : false, "suffix" : "" }, { "dropping-particle" : "", "family" : "Wilkinson", "given" : "David", "non-dropping-particle" : "", "parse-names" : false, "suffix" : "" }, { "dropping-particle" : "", "family" : "Hutchison", "given" : "Amy T.", "non-dropping-particle" : "", "parse-names" : false, "suffix" : "" }, { "dropping-particle" : "", "family" : "Thompson", "given" : "Campbell H.", "non-dropping-particle" : "", "parse-names" : false, "suffix" : "" }, { "dropping-particle" : "", "family" : "Wittert", "given" : "Gary A.", "non-dropping-particle" : "", "parse-names" : false, "suffix" : "" }, { "dropping-particle" : "", "family" : "Heilbronn", "given" : "Leonie Kaye", "non-dropping-particle" : "", "parse-names" : false, "suffix" : "" } ], "container-title" : "Obesity Research &amp; Clinical Practice", "id" : "ITEM-1", "issue" : "2", "issued" : { "date-parts" : [ [ "2017", "3" ] ] }, "page" : "227-232", "title" : "Selenoprotein P is elevated in individuals with obesity, but is not independently associated with insulin resistance", "type" : "article-journal", "volume" : "11" }, "uris" : [ "http://www.mendeley.com/documents/?uuid=852e41ad-dd11-4597-af56-dc898246c307" ] } ], "mendeley" : { "formattedCitation" : "(63)", "plainTextFormattedCitation" : "(63)", "previouslyFormattedCitation" : "(63)" }, "properties" : { "noteIndex" : 19 }, "schema" : "https://github.com/citation-style-language/schema/raw/master/csl-citation.json" }</w:instrText>
      </w:r>
      <w:r w:rsidR="00717E43" w:rsidRPr="00DE0A65">
        <w:rPr>
          <w:rFonts w:ascii="Times New Roman" w:hAnsi="Times New Roman" w:cs="Times New Roman"/>
        </w:rPr>
        <w:fldChar w:fldCharType="separate"/>
      </w:r>
      <w:r w:rsidR="007B52A5" w:rsidRPr="007B52A5">
        <w:rPr>
          <w:rFonts w:ascii="Times New Roman" w:hAnsi="Times New Roman" w:cs="Times New Roman"/>
          <w:noProof/>
        </w:rPr>
        <w:t>(63)</w:t>
      </w:r>
      <w:r w:rsidR="00717E43" w:rsidRPr="00DE0A65">
        <w:rPr>
          <w:rFonts w:ascii="Times New Roman" w:hAnsi="Times New Roman" w:cs="Times New Roman"/>
        </w:rPr>
        <w:fldChar w:fldCharType="end"/>
      </w:r>
      <w:r w:rsidR="009A2C69">
        <w:rPr>
          <w:rFonts w:ascii="Times New Roman" w:hAnsi="Times New Roman" w:cs="Times New Roman"/>
        </w:rPr>
        <w:t xml:space="preserve">; </w:t>
      </w:r>
      <w:r w:rsidR="00131B20">
        <w:rPr>
          <w:rFonts w:ascii="Times New Roman" w:hAnsi="Times New Roman" w:cs="Times New Roman"/>
        </w:rPr>
        <w:t xml:space="preserve">whilst </w:t>
      </w:r>
      <w:r w:rsidR="009A2C69">
        <w:rPr>
          <w:rFonts w:ascii="Times New Roman" w:hAnsi="Times New Roman" w:cs="Times New Roman"/>
        </w:rPr>
        <w:t>no previous data was available relating to fetuin</w:t>
      </w:r>
      <w:r w:rsidR="00F3094C">
        <w:rPr>
          <w:rFonts w:ascii="Times New Roman" w:hAnsi="Times New Roman" w:cs="Times New Roman"/>
        </w:rPr>
        <w:t>-</w:t>
      </w:r>
      <w:r w:rsidR="009A2C69">
        <w:rPr>
          <w:rFonts w:ascii="Times New Roman" w:hAnsi="Times New Roman" w:cs="Times New Roman"/>
        </w:rPr>
        <w:t xml:space="preserve">B. </w:t>
      </w:r>
      <w:r w:rsidR="00320429">
        <w:rPr>
          <w:rFonts w:ascii="Times New Roman" w:hAnsi="Times New Roman" w:cs="Times New Roman"/>
        </w:rPr>
        <w:t xml:space="preserve">Specifically, Chen et al </w:t>
      </w:r>
      <w:r w:rsidR="00622FEA" w:rsidRPr="00DE0A65">
        <w:rPr>
          <w:rFonts w:ascii="Times New Roman" w:hAnsi="Times New Roman" w:cs="Times New Roman"/>
        </w:rPr>
        <w:fldChar w:fldCharType="begin" w:fldLock="1"/>
      </w:r>
      <w:r w:rsidR="00622FEA">
        <w:rPr>
          <w:rFonts w:ascii="Times New Roman" w:hAnsi="Times New Roman" w:cs="Times New Roman"/>
        </w:rPr>
        <w:instrText>ADDIN CSL_CITATION { "citationItems" : [ { "id" : "ITEM-1", "itemData" : { "DOI" : "10.1016/j.orcp.2016.07.004", "ISSN" : "1871403X", "PMID" : "27524654", "abstract" : "Selenoprotein P (SeP) is secreted primarily by the liver and postulated to cause insulin resistance. The aim of this study was to measure plasma SeP in individuals who are lean (N = 29) or overweight/obese (N = 34), and examine relationships between circulating SeP, . SEPP1 (SeP, plasma 1) expression in subcutaneous adipose tissue, and markers of insulin resistance. SeP was higher in individuals who were overweight/obese (P . &lt;. 0.001), and associated with insulin resistance by HOMA-IR and by clamp, but not independently of BMI. . SEPP1 mRNA was correlated negatively with BMI, suggesting there may be tissue specific regulation. This study suggests that obesity, rather than insulin resistance, is central to the increase in SeP.", "author" : [ { "dropping-particle" : "", "family" : "Chen", "given" : "Miaoxin", "non-dropping-particle" : "", "parse-names" : false, "suffix" : "" }, { "dropping-particle" : "", "family" : "Liu", "given" : "Bo", "non-dropping-particle" : "", "parse-names" : false, "suffix" : "" }, { "dropping-particle" : "", "family" : "Wilkinson", "given" : "David", "non-dropping-particle" : "", "parse-names" : false, "suffix" : "" }, { "dropping-particle" : "", "family" : "Hutchison", "given" : "Amy T.", "non-dropping-particle" : "", "parse-names" : false, "suffix" : "" }, { "dropping-particle" : "", "family" : "Thompson", "given" : "Campbell H.", "non-dropping-particle" : "", "parse-names" : false, "suffix" : "" }, { "dropping-particle" : "", "family" : "Wittert", "given" : "Gary A.", "non-dropping-particle" : "", "parse-names" : false, "suffix" : "" }, { "dropping-particle" : "", "family" : "Heilbronn", "given" : "Leonie Kaye", "non-dropping-particle" : "", "parse-names" : false, "suffix" : "" } ], "container-title" : "Obesity Research &amp; Clinical Practice", "id" : "ITEM-1", "issue" : "2", "issued" : { "date-parts" : [ [ "2017", "3" ] ] }, "page" : "227-232", "title" : "Selenoprotein P is elevated in individuals with obesity, but is not independently associated with insulin resistance", "type" : "article-journal", "volume" : "11" }, "uris" : [ "http://www.mendeley.com/documents/?uuid=852e41ad-dd11-4597-af56-dc898246c307" ] } ], "mendeley" : { "formattedCitation" : "(63)", "plainTextFormattedCitation" : "(63)", "previouslyFormattedCitation" : "(63)" }, "properties" : { "noteIndex" : 19 }, "schema" : "https://github.com/citation-style-language/schema/raw/master/csl-citation.json" }</w:instrText>
      </w:r>
      <w:r w:rsidR="00622FEA" w:rsidRPr="00DE0A65">
        <w:rPr>
          <w:rFonts w:ascii="Times New Roman" w:hAnsi="Times New Roman" w:cs="Times New Roman"/>
        </w:rPr>
        <w:fldChar w:fldCharType="separate"/>
      </w:r>
      <w:r w:rsidR="00622FEA" w:rsidRPr="007B52A5">
        <w:rPr>
          <w:rFonts w:ascii="Times New Roman" w:hAnsi="Times New Roman" w:cs="Times New Roman"/>
          <w:noProof/>
        </w:rPr>
        <w:t>(63)</w:t>
      </w:r>
      <w:r w:rsidR="00622FEA" w:rsidRPr="00DE0A65">
        <w:rPr>
          <w:rFonts w:ascii="Times New Roman" w:hAnsi="Times New Roman" w:cs="Times New Roman"/>
        </w:rPr>
        <w:fldChar w:fldCharType="end"/>
      </w:r>
      <w:r w:rsidR="00B32183">
        <w:rPr>
          <w:rFonts w:ascii="Times New Roman" w:hAnsi="Times New Roman" w:cs="Times New Roman"/>
        </w:rPr>
        <w:t xml:space="preserve"> measured</w:t>
      </w:r>
      <w:r w:rsidR="009A2C69">
        <w:rPr>
          <w:rFonts w:ascii="Times New Roman" w:hAnsi="Times New Roman" w:cs="Times New Roman"/>
        </w:rPr>
        <w:t xml:space="preserve"> circulating levels of SeP before and after three days of high-fat </w:t>
      </w:r>
      <w:r w:rsidR="009A2C69" w:rsidRPr="000E1C62">
        <w:rPr>
          <w:rFonts w:ascii="Times New Roman" w:hAnsi="Times New Roman" w:cs="Times New Roman"/>
        </w:rPr>
        <w:t>overfeeding (+</w:t>
      </w:r>
      <w:r w:rsidR="00F813BD" w:rsidRPr="000E1C62">
        <w:rPr>
          <w:rFonts w:ascii="Times New Roman" w:hAnsi="Times New Roman" w:cs="Times New Roman"/>
        </w:rPr>
        <w:t>5</w:t>
      </w:r>
      <w:r w:rsidR="00857C3D" w:rsidRPr="000E1C62">
        <w:rPr>
          <w:rFonts w:ascii="Times New Roman" w:hAnsi="Times New Roman" w:cs="Times New Roman"/>
        </w:rPr>
        <w:t>.23</w:t>
      </w:r>
      <w:r w:rsidR="00F813BD" w:rsidRPr="000E1C62">
        <w:rPr>
          <w:rFonts w:ascii="Times New Roman" w:hAnsi="Times New Roman" w:cs="Times New Roman"/>
        </w:rPr>
        <w:t xml:space="preserve"> </w:t>
      </w:r>
      <w:r w:rsidR="001C52BB" w:rsidRPr="000E1C62">
        <w:rPr>
          <w:rFonts w:asciiTheme="majorBidi" w:hAnsiTheme="majorBidi" w:cstheme="majorBidi"/>
        </w:rPr>
        <w:t>MJ∙</w:t>
      </w:r>
      <w:r w:rsidR="001C52BB" w:rsidRPr="000E1C62">
        <w:rPr>
          <w:rFonts w:ascii="Times New Roman" w:hAnsi="Times New Roman" w:cs="Times New Roman"/>
        </w:rPr>
        <w:t>d</w:t>
      </w:r>
      <w:r w:rsidR="001C52BB" w:rsidRPr="000E1C62">
        <w:rPr>
          <w:rFonts w:ascii="Times New Roman" w:hAnsi="Times New Roman" w:cs="Times New Roman"/>
          <w:vertAlign w:val="superscript"/>
        </w:rPr>
        <w:t>-1</w:t>
      </w:r>
      <w:r w:rsidR="009A2C69" w:rsidRPr="000E1C62">
        <w:rPr>
          <w:rFonts w:ascii="Times New Roman" w:hAnsi="Times New Roman" w:cs="Times New Roman"/>
        </w:rPr>
        <w:t>, 45%</w:t>
      </w:r>
      <w:r w:rsidR="009A2C69">
        <w:rPr>
          <w:rFonts w:ascii="Times New Roman" w:hAnsi="Times New Roman" w:cs="Times New Roman"/>
        </w:rPr>
        <w:t xml:space="preserve"> fat). Consistent with the findings reported in the present study, high-fat overfeeding ha</w:t>
      </w:r>
      <w:r w:rsidR="008E60AC">
        <w:rPr>
          <w:rFonts w:ascii="Times New Roman" w:hAnsi="Times New Roman" w:cs="Times New Roman"/>
        </w:rPr>
        <w:t>d</w:t>
      </w:r>
      <w:r w:rsidR="009A2C69">
        <w:rPr>
          <w:rFonts w:ascii="Times New Roman" w:hAnsi="Times New Roman" w:cs="Times New Roman"/>
        </w:rPr>
        <w:t xml:space="preserve"> no impact on circulating Se</w:t>
      </w:r>
      <w:r w:rsidR="00131B20">
        <w:rPr>
          <w:rFonts w:ascii="Times New Roman" w:hAnsi="Times New Roman" w:cs="Times New Roman"/>
        </w:rPr>
        <w:t xml:space="preserve">P </w:t>
      </w:r>
      <w:r w:rsidR="003E1817">
        <w:rPr>
          <w:rFonts w:ascii="Times New Roman" w:hAnsi="Times New Roman" w:cs="Times New Roman"/>
        </w:rPr>
        <w:t>concentrations</w:t>
      </w:r>
      <w:r w:rsidR="009A2C69">
        <w:rPr>
          <w:rFonts w:ascii="Times New Roman" w:hAnsi="Times New Roman" w:cs="Times New Roman"/>
        </w:rPr>
        <w:t>.</w:t>
      </w:r>
    </w:p>
    <w:p w14:paraId="06C35620" w14:textId="6C246D6D" w:rsidR="009B7ED3" w:rsidRPr="003E1817" w:rsidRDefault="009A2C69" w:rsidP="003E1817">
      <w:pPr>
        <w:spacing w:line="480" w:lineRule="auto"/>
        <w:jc w:val="both"/>
        <w:rPr>
          <w:rFonts w:ascii="Times New Roman" w:hAnsi="Times New Roman" w:cs="Times New Roman"/>
        </w:rPr>
      </w:pPr>
      <w:r w:rsidRPr="00D12537">
        <w:rPr>
          <w:rFonts w:ascii="Times New Roman" w:hAnsi="Times New Roman" w:cs="Times New Roman"/>
        </w:rPr>
        <w:t>Observational data show that SeP and fetuin</w:t>
      </w:r>
      <w:r w:rsidR="008611F0">
        <w:rPr>
          <w:rFonts w:ascii="Times New Roman" w:hAnsi="Times New Roman" w:cs="Times New Roman"/>
        </w:rPr>
        <w:t>-</w:t>
      </w:r>
      <w:r w:rsidRPr="00D12537">
        <w:rPr>
          <w:rFonts w:ascii="Times New Roman" w:hAnsi="Times New Roman" w:cs="Times New Roman"/>
        </w:rPr>
        <w:t xml:space="preserve">B are associated with various markers of adiposity and impaired metabolic health </w:t>
      </w:r>
      <w:r w:rsidR="00CE5564" w:rsidRPr="00DE0A65">
        <w:rPr>
          <w:rFonts w:asciiTheme="majorBidi" w:hAnsiTheme="majorBidi" w:cstheme="majorBidi"/>
          <w:bCs/>
        </w:rPr>
        <w:fldChar w:fldCharType="begin" w:fldLock="1"/>
      </w:r>
      <w:r w:rsidR="007B52A5">
        <w:rPr>
          <w:rFonts w:asciiTheme="majorBidi" w:hAnsiTheme="majorBidi" w:cstheme="majorBidi"/>
          <w:bCs/>
        </w:rPr>
        <w:instrText>ADDIN CSL_CITATION { "citationItems" : [ { "id" : "ITEM-1", "itemData" : { "DOI" : "10.1016/j.cmet.2010.09.015", "ISBN" : "1932-7420 (Electronic)\\r1550-4131 (Linking)", "ISSN" : "15504131", "PMID" : "21035759", "abstract" : "The liver may regulate glucose homeostasis by modulating the sensitivity/resistance of peripheral tissues to insulin, by way of the production of secretory proteins, termed hepatokines. Here, we demonstrate that selenoprotein P (SeP), a liver-derived secretory protein, causes insulin resistance. Using serial analysis of gene expression (SAGE) and DNA chip methods, we found that hepatic SeP mRNA levels correlated with insulin resistance in humans. Administration of purified SeP impaired insulin signaling and dysregulated glucose metabolism in both hepatocytes and myocytes. Conversely, both genetic deletion and RNA interference-mediated knockdown of SeP improved systemic insulin sensitivity and glucose tolerance in mice. The metabolic actions of SeP were mediated, at least partly, by inactivation of adenosine monophosphate-activated protein kinase (AMPK). In summary, these results demonstrate a role of SeP in the regulation of glucose metabolism and insulin sensitivity and suggest that SeP may be a therapeutic target for type 2 diabetes. ?? 2010 Elsevier Inc.", "author" : [ { "dropping-particle" : "", "family" : "Misu", "given" : "Hirofumi", "non-dropping-particle" : "", "parse-names" : false, "suffix" : "" }, { "dropping-particle" : "", "family" : "Takamura", "given" : "Toshinari", "non-dropping-particle" : "", "parse-names" : false, "suffix" : "" }, { "dropping-particle" : "", "family" : "Takayama", "given" : "Hiroaki", "non-dropping-particle" : "", "parse-names" : false, "suffix" : "" }, { "dropping-particle" : "", "family" : "Hayashi", "given" : "Hiroto", "non-dropping-particle" : "", "parse-names" : false, "suffix" : "" }, { "dropping-particle" : "", "family" : "Matsuzawa-Nagata", "given" : "Naoto", "non-dropping-particle" : "", "parse-names" : false, "suffix" : "" }, { "dropping-particle" : "", "family" : "Kurita", "given" : "Seiichiro", "non-dropping-particle" : "", "parse-names" : false, "suffix" : "" }, { "dropping-particle" : "", "family" : "Ishikura", "given" : "Kazuhide", "non-dropping-particle" : "", "parse-names" : false, "suffix" : "" }, { "dropping-particle" : "", "family" : "Ando", "given" : "Hitoshi", "non-dropping-particle" : "", "parse-names" : false, "suffix" : "" }, { "dropping-particle" : "", "family" : "Takeshita", "given" : "Yumie", "non-dropping-particle" : "", "parse-names" : false, "suffix" : "" }, { "dropping-particle" : "", "family" : "Ota", "given" : "Tsuguhito", "non-dropping-particle" : "", "parse-names" : false, "suffix" : "" }, { "dropping-particle" : "", "family" : "Sakurai", "given" : "Masaru", "non-dropping-particle" : "", "parse-names" : false, "suffix" : "" }, { "dropping-particle" : "", "family" : "Yamashita", "given" : "Tatsuya", "non-dropping-particle" : "", "parse-names" : false, "suffix" : "" }, { "dropping-particle" : "", "family" : "Mizukoshi", "given" : "Eishiro", "non-dropping-particle" : "", "parse-names" : false, "suffix" : "" }, { "dropping-particle" : "", "family" : "Yamashita", "given" : "Taro", "non-dropping-particle" : "", "parse-names" : false, "suffix" : "" }, { "dropping-particle" : "", "family" : "Honda", "given" : "Masao", "non-dropping-particle" : "", "parse-names" : false, "suffix" : "" }, { "dropping-particle" : "", "family" : "Miyamoto", "given" : "Ken-ichi", "non-dropping-particle" : "", "parse-names" : false, "suffix" : "" }, { "dropping-particle" : "", "family" : "Kubota", "given" : "Tetsuya", "non-dropping-particle" : "", "parse-names" : false, "suffix" : "" }, { "dropping-particle" : "", "family" : "Kubota", "given" : "Naoto", "non-dropping-particle" : "", "parse-names" : false, "suffix" : "" }, { "dropping-particle" : "", "family" : "Kadowaki", "given" : "Takashi", "non-dropping-particle" : "", "parse-names" : false, "suffix" : "" }, { "dropping-particle" : "", "family" : "Kim", "given" : "Han-Jong", "non-dropping-particle" : "", "parse-names" : false, "suffix" : "" }, { "dropping-particle" : "", "family" : "Lee", "given" : "In-kyu", "non-dropping-particle" : "", "parse-names" : false, "suffix" : "" }, { "dropping-particle" : "", "family" : "Minokoshi", "given" : "Yasuhiko", "non-dropping-particle" : "", "parse-names" : false, "suffix" : "" }, { "dropping-particle" : "", "family" : "Saito", "given" : "Yoshiro", "non-dropping-particle" : "", "parse-names" : false, "suffix" : "" }, { "dropping-particle" : "", "family" : "Takahashi", "given" : "Kazuhiko", "non-dropping-particle" : "", "parse-names" : false, "suffix" : "" }, { "dropping-particle" : "", "family" : "Yamada", "given" : "Yoshihiro", "non-dropping-particle" : "", "parse-names" : false, "suffix" : "" }, { "dropping-particle" : "", "family" : "Takakura", "given" : "Nobuyuki", "non-dropping-particle" : "", "parse-names" : false, "suffix" : "" }, { "dropping-particle" : "", "family" : "Kaneko", "given" : "Shuichi", "non-dropping-particle" : "", "parse-names" : false, "suffix" : "" } ], "container-title" : "Cell Metabolism", "id" : "ITEM-1", "issue" : "5", "issued" : { "date-parts" : [ [ "2010", "11" ] ] }, "page" : "483-495", "title" : "A Liver-Derived Secretory Protein, Selenoprotein P, Causes Insulin Resistance", "type" : "article-journal", "volume" : "12" }, "uris" : [ "http://www.mendeley.com/documents/?uuid=d137d85e-8acc-4015-8a6a-43a4ea02043d" ] }, { "id" : "ITEM-2", "itemData" : { "DOI" : "10.1210/jc.2011-0620", "ISBN" : "1945-7197 (Electronic)\\r0021-972X (Linking)", "ISSN" : "0021-972X", "PMID" : "21677040", "abstract" : "CONTEXT AND OBJECTIVE The dysregulation of hepatokines may be associated with the pathogenesis of insulin resistance and type 2 diabetes. A recent study has suggested that selenoprotein P (SeP), a novel hepatokine, may play a role in the regulation of glucose metabolism and insulin sensitivity. We examined the relationship between circulating SeP levels and clinical parameters associated with insulin resistance in humans. PARTICIPANTS AND METHODS We compared serum SeP concentrations in 100 subjects with diverse glucose tolerance statuses. Furthermore, we evaluated the relationship between SeP and cardiometabolic risk factors including insulin resistance, high-sensitivity C-reactive protein, and carotid intima-media thickness. RESULTS Serum SeP concentrations were significantly higher in patients with type 2 diabetes or prediabetes than those with normal glucose tolerance (all P &lt; 0.01) and decreased in a stepwise manner [1032.4 (495.9-2149.4) vs. 867.3 (516.3-1582.7) vs. 362.0 (252.5-694.5), P = 0.004]. In addition, overweight and obese subjects had significantly increased SeP levels compared with lean subjects (P = 0.002). Spearman's partial correlation analysis adjusted for age and gender showed a significant relationship between SeP and cardiometabolic factors including body mass index, waist circumference, systolic blood pressure, triglycerides, glucose, hemoglobin A1c, aspartate aminotransferase, and insulin resistance. Furthermore, in multiple regression analyses, SeP showed an independent association with carotid intima-media thickness as well as high-sensitivity C-reactive protein, even after adjustment for other confounding factors. CONCLUSIONS Circulating SeP concentrations were elevated in patients with glucose metabolism dysregulation and were related to various cardiometabolic parameters including insulin resistance, inflammation, and atherosclerosis.", "author" : [ { "dropping-particle" : "", "family" : "Yang", "given" : "Sae Jeong", "non-dropping-particle" : "", "parse-names" : false, "suffix" : "" }, { "dropping-particle" : "", "family" : "Hwang", "given" : "Soon Young", "non-dropping-particle" : "", "parse-names" : false, "suffix" : "" }, { "dropping-particle" : "", "family" : "Choi", "given" : "H. Y.", "non-dropping-particle" : "", "parse-names" : false, "suffix" : "" }, { "dropping-particle" : "", "family" : "Yoo", "given" : "Hye Jin", "non-dropping-particle" : "", "parse-names" : false, "suffix" : "" }, { "dropping-particle" : "", "family" : "Seo", "given" : "Ji A.", "non-dropping-particle" : "", "parse-names" : false, "suffix" : "" }, { "dropping-particle" : "", "family" : "Kim", "given" : "S. G.", "non-dropping-particle" : "", "parse-names" : false, "suffix" : "" }, { "dropping-particle" : "", "family" : "Kim", "given" : "Nan Hee", "non-dropping-particle" : "", "parse-names" : false, "suffix" : "" }, { "dropping-particle" : "", "family" : "Baik", "given" : "Sei Hyun", "non-dropping-particle" : "", "parse-names" : false, "suffix" : "" }, { "dropping-particle" : "", "family" : "Choi", "given" : "D. S.", "non-dropping-particle" : "", "parse-names" : false, "suffix" : "" }, { "dropping-particle" : "", "family" : "Choi", "given" : "Kyung Mook", "non-dropping-particle" : "", "parse-names" : false, "suffix" : "" } ], "container-title" : "The Journal of Clinical Endocrinology &amp; Metabolism", "id" : "ITEM-2", "issue" : "8", "issued" : { "date-parts" : [ [ "2011", "8" ] ] }, "page" : "E1325-E1329", "title" : "Serum Selenoprotein P Levels in Patients with Type 2 Diabetes and Prediabetes: Implications for Insulin Resistance, Inflammation, and Atherosclerosis", "type" : "article-journal", "volume" : "96" }, "uris" : [ "http://www.mendeley.com/documents/?uuid=bd81d7c4-b254-4380-acb7-7d7edea76eaa" ] }, { "id" : "ITEM-3", "itemData" : { "DOI" : "10.4093/dmj.2013.37.1.63", "ISBN" : "2233-6079 (Print) 2233-6079 (Linking)", "ISSN" : "2233-6079", "PMID" : "23439771", "abstract" : "BACKGROUND: Selenoprotein P (SeP) has recently been reported as a novel hepatokine that regulates insulin resistance and systemic energy metabolism in rodents and humans. We explored the associations among SeP, visceral obesity, and nonalcoholic fatty liver disease (NAFLD).\\n\\nMETHODS: We examined serum SeP concentrations in subjects with increased visceral fat area (VFA) or liver fat accumulation measured with computed tomography. Our study subjects included 120 nondiabetic individuals selected from participants of the Korean Sarcopenic Obesity Study. In addition, we evaluated the relationship between SeP and cardiometabolic risk factors, including homeostasis model of insulin resistance (HOMA-IR), high sensitivity C-reactive protein (hsCRP), adiponectin values, and brachial-ankle pulse wave velocity (baPWV).\\n\\nRESULTS: Subjects with NAFLD showed increased levels of HOMA-IR, hsCRP, VFA, and several components of metabolic syndrome and decreased levels of adiponectin and high density lipoprotein cholesterol than those of controls. Serum SeP levels were positively correlated with VFA, hsCRP, and baPWV and negatively correlated with the liver attenuation index. Not only subjects with visceral obesity but also those with NAFLD exhibited significantly increased SeP levels (P&lt;0.001). In multiple logistic regression analysis, the subjects in the highest SeP tertile showed a higher risk for NAFLD than those in the lowest SeP tertile, even after adjusting for potential confounding factors (odds ratio, 7.48; 95% confidence interval, 1.72 to 32.60; P=0.007).\\n\\nCONCLUSION: Circulating SeP levels were increased in subjects with NAFLD as well as in those with visceral obesity and may be a novel biomarker for NAFLD.", "author" : [ { "dropping-particle" : "", "family" : "Choi", "given" : "Hae Yoon", "non-dropping-particle" : "", "parse-names" : false, "suffix" : "" }, { "dropping-particle" : "", "family" : "Hwang", "given" : "Soon Young", "non-dropping-particle" : "", "parse-names" : false, "suffix" : "" }, { "dropping-particle" : "", "family" : "Lee", "given" : "Chang Hee", "non-dropping-particle" : "", "parse-names" : false, "suffix" : "" }, { "dropping-particle" : "", "family" : "Hong", "given" : "Ho Cheol", "non-dropping-particle" : "", "parse-names" : false, "suffix" : "" }, { "dropping-particle" : "", "family" : "Yang", "given" : "Sae Jeong", "non-dropping-particle" : "", "parse-names" : false, "suffix" : "" }, { "dropping-particle" : "", "family" : "Yoo", "given" : "Hye Jin", "non-dropping-particle" : "", "parse-names" : false, "suffix" : "" }, { "dropping-particle" : "", "family" : "Seo", "given" : "Ji A.", "non-dropping-particle" : "", "parse-names" : false, "suffix" : "" }, { "dropping-particle" : "", "family" : "Kim", "given" : "Sin Gon", "non-dropping-particle" : "", "parse-names" : false, "suffix" : "" }, { "dropping-particle" : "", "family" : "Kim", "given" : "Nan Hee", "non-dropping-particle" : "", "parse-names" : false, "suffix" : "" }, { "dropping-particle" : "", "family" : "Baik", "given" : "Sei Hyun", "non-dropping-particle" : "", "parse-names" : false, "suffix" : "" }, { "dropping-particle" : "", "family" : "Choi", "given" : "Dong Seop", "non-dropping-particle" : "", "parse-names" : false, "suffix" : "" }, { "dropping-particle" : "", "family" : "Choi", "given" : "Kyung Mook", "non-dropping-particle" : "", "parse-names" : false, "suffix" : "" } ], "container-title" : "Diabetes &amp; Metabolism Journal", "id" : "ITEM-3", "issue" : "1", "issued" : { "date-parts" : [ [ "2013" ] ] }, "page" : "63", "title" : "Increased Selenoprotein P Levels in Subjects with Visceral Obesity and Nonalcoholic Fatty Liver Disease", "type" : "article-journal", "volume" : "37" }, "uris" : [ "http://www.mendeley.com/documents/?uuid=530804c2-7f34-41c5-9e9b-198f164fd179" ] }, { "id" : "ITEM-4", "itemData" : { "DOI" : "10.1007/s12020-016-1112-5", "ISSN" : "1355-008X", "abstract" : "Fetuin is an endogenous inhibitor of the insulin receptor tyrosine kinase. Recent studies supported the possible role of fetuin B in metabolic diseases. This study is to evaluate the role of serum fetuin B in nonalcoholic fatty liver disease (NAFLD). A hospital-based case-control study of 184 subjects was conducted. Serum level of fetuin B was measured by enzyme-linked immunosorbent assay. The serum level of fetuin B in the control (91.0 \u00b1 36.9 \u03bcg/ml) was lower than it in NAFLD (108.7 \u00b1 38.5 \u03bcg/ml, P &lt; 0.001). The percentage of NAFLD increased (42.9%, 58.7% and 60.2%; P &lt; 0.001; linear-by-linear association: P &lt; 0.001), as fetuin B concentration elevated in its tertiles, after adjustment of body mass index (BMI). Furthermore, compared with the 1st tertile, the 3rd tertile of fetuin B indicated an association with the presence of NAFLD (adjusted odds ratio = 2.087, 95% confidence interval [1.016 - 3.937], P = 0.023), after controlling age, sex, BMI, diabetes, hypertension and hypertriglyceridemia. Lastly, fetuin B correlated with diastolic blood pressure, serum alanine transaminase and triglycerides, among the controls. It suggested a potential association between serum fetuin B and the presence of NAFLD.", "author" : [ { "dropping-particle" : "", "family" : "Zhu", "given" : "Jinzhou", "non-dropping-particle" : "", "parse-names" : false, "suffix" : "" }, { "dropping-particle" : "", "family" : "Wan", "given" : "Xingyong", "non-dropping-particle" : "", "parse-names" : false, "suffix" : "" }, { "dropping-particle" : "", "family" : "Wang", "given" : "Yuming", "non-dropping-particle" : "", "parse-names" : false, "suffix" : "" }, { "dropping-particle" : "", "family" : "Zhu", "given" : "Kefu", "non-dropping-particle" : "", "parse-names" : false, "suffix" : "" }, { "dropping-particle" : "", "family" : "Li", "given" : "Chunxiao", "non-dropping-particle" : "", "parse-names" : false, "suffix" : "" }, { "dropping-particle" : "", "family" : "Yu", "given" : "Chaohui", "non-dropping-particle" : "", "parse-names" : false, "suffix" : "" }, { "dropping-particle" : "", "family" : "Li", "given" : "Youming", "non-dropping-particle" : "", "parse-names" : false, "suffix" : "" } ], "container-title" : "Endocrine", "id" : "ITEM-4", "issue" : "1", "issued" : { "date-parts" : [ [ "2017", "4", "14" ] ] }, "page" : "208-211", "publisher" : "Springer US", "title" : "Serum fetuin B level increased in subjects of nonalcoholic fatty liver disease: a case-control study", "type" : "article-journal", "volume" : "56" }, "uris" : [ "http://www.mendeley.com/documents/?uuid=db8f3e75-0024-4e48-9e1e-f35e6bca7230" ] }, { "id" : "ITEM-5", "itemData" : { "DOI" : "10.1152/ajpendo.00262.2017", "ISBN" : "4970712980", "ISSN" : "0193-1849", "PMID" : "29138227", "author" : [ { "dropping-particle" : "", "family" : "Peter", "given" : "Andreas", "non-dropping-particle" : "", "parse-names" : false, "suffix" : "" }, { "dropping-particle" : "", "family" : "Kovarova", "given" : "Marketa", "non-dropping-particle" : "", "parse-names" : false, "suffix" : "" }, { "dropping-particle" : "", "family" : "Staiger", "given" : "Harald", "non-dropping-particle" : "", "parse-names" : false, "suffix" : "" }, { "dropping-particle" : "", "family" : "Machann", "given" : "J\u00fcrgen", "non-dropping-particle" : "", "parse-names" : false, "suffix" : "" }, { "dropping-particle" : "", "family" : "Schick", "given" : "Fritz", "non-dropping-particle" : "", "parse-names" : false, "suffix" : "" }, { "dropping-particle" : "", "family" : "K\u00f6nigsrainer", "given" : "Alfred", "non-dropping-particle" : "", "parse-names" : false, "suffix" : "" }, { "dropping-particle" : "", "family" : "K\u00f6nigsrainer", "given" : "Ingmar", "non-dropping-particle" : "", "parse-names" : false, "suffix" : "" }, { "dropping-particle" : "", "family" : "Schleicher", "given" : "Erwin", "non-dropping-particle" : "", "parse-names" : false, "suffix" : "" }, { "dropping-particle" : "", "family" : "Fritsche", "given" : "Andreas", "non-dropping-particle" : "", "parse-names" : false, "suffix" : "" }, { "dropping-particle" : "", "family" : "H\u00e4ring", "given" : "Hans-Ulrich", "non-dropping-particle" : "", "parse-names" : false, "suffix" : "" }, { "dropping-particle" : "", "family" : "Stefan", "given" : "Norbert", "non-dropping-particle" : "", "parse-names" : false, "suffix" : "" } ], "container-title" : "American Journal of Physiology-Endocrinology and Metabolism", "id" : "ITEM-5", "issue" : "3", "issued" : { "date-parts" : [ [ "2018", "3" ] ] }, "page" : "E266-E273", "title" : "The hepatokines fetuin-A and fetuin-B are upregulated in the state of hepatic steatosis and may differently impact on glucose homeostasis in humans", "type" : "article-journal", "volume" : "314" }, "uris" : [ "http://www.mendeley.com/documents/?uuid=ded3540e-6d65-4cf7-bdd3-4969d4e44321" ] } ], "mendeley" : { "formattedCitation" : "(62,64\u201367)", "plainTextFormattedCitation" : "(62,64\u201367)", "previouslyFormattedCitation" : "(62,64\u201367)" }, "properties" : { "noteIndex" : 19 }, "schema" : "https://github.com/citation-style-language/schema/raw/master/csl-citation.json" }</w:instrText>
      </w:r>
      <w:r w:rsidR="00CE5564" w:rsidRPr="00DE0A65">
        <w:rPr>
          <w:rFonts w:asciiTheme="majorBidi" w:hAnsiTheme="majorBidi" w:cstheme="majorBidi"/>
          <w:bCs/>
        </w:rPr>
        <w:fldChar w:fldCharType="separate"/>
      </w:r>
      <w:r w:rsidR="007B52A5" w:rsidRPr="007B52A5">
        <w:rPr>
          <w:rFonts w:asciiTheme="majorBidi" w:hAnsiTheme="majorBidi" w:cstheme="majorBidi"/>
          <w:bCs/>
          <w:noProof/>
        </w:rPr>
        <w:t>(62,64–67)</w:t>
      </w:r>
      <w:r w:rsidR="00CE5564" w:rsidRPr="00DE0A65">
        <w:rPr>
          <w:rFonts w:asciiTheme="majorBidi" w:hAnsiTheme="majorBidi" w:cstheme="majorBidi"/>
          <w:bCs/>
        </w:rPr>
        <w:fldChar w:fldCharType="end"/>
      </w:r>
      <w:r w:rsidRPr="00D12537">
        <w:rPr>
          <w:rFonts w:ascii="Times New Roman" w:hAnsi="Times New Roman" w:cs="Times New Roman"/>
        </w:rPr>
        <w:t xml:space="preserve">. It therefore </w:t>
      </w:r>
      <w:r>
        <w:rPr>
          <w:rFonts w:ascii="Times New Roman" w:hAnsi="Times New Roman" w:cs="Times New Roman"/>
        </w:rPr>
        <w:t xml:space="preserve">appears that these hepatokines are primarily regulated by long-term changes in energy balance and metabolism. Notably, rodent studies have shown that circulating levels of SeP were elevated after several weeks of consuming a high-fat diet </w:t>
      </w:r>
      <w:r w:rsidR="00CE5564" w:rsidRPr="00DE0A65">
        <w:rPr>
          <w:rFonts w:ascii="Times New Roman" w:hAnsi="Times New Roman" w:cs="Times New Roman"/>
        </w:rPr>
        <w:fldChar w:fldCharType="begin" w:fldLock="1"/>
      </w:r>
      <w:r w:rsidR="007B52A5">
        <w:rPr>
          <w:rFonts w:ascii="Times New Roman" w:hAnsi="Times New Roman" w:cs="Times New Roman"/>
        </w:rPr>
        <w:instrText>ADDIN CSL_CITATION { "citationItems" : [ { "id" : "ITEM-1", "itemData" : { "DOI" : "10.1038/s41467-017-01863-z", "ISBN" : "4146701701863", "ISSN" : "2041-1723", "PMID" : "29162828", "abstract" : "Selenoprotein P (SeP) functions as a selenium (Se)-supply protein. SeP is identified as a hepatokine, promoting insulin resistance in type 2 diabetes. Thus, the suppression of Se-supply activity of SeP might improve glucose metabolism. Here, we develop an anti-human SeP monoclonal antibody AE2 as with neutralizing activity against SeP. Administration of AE2 to mice significantly improves glucose intolerance and insulin resistance that are induced by human SeP administration. Furthermore, excess SeP administration significantly decreases pancreas insulin levels and high glucose-induced insulin secretion, which are improved by AE2 administration. Epitope mapping reveals that AE2 recognizes a region of human SeP adjacent to the first histidine-rich region (FHR). A polyclonal antibody against the mouse SeP FHR improves glucose intolerance and insulin secretion in a mouse model of diabetes. This report describes a novel molecular strategy for the development of type 2 diabetes therapeutics targeting SeP.", "author" : [ { "dropping-particle" : "", "family" : "Mita", "given" : "Yuichiro", "non-dropping-particle" : "", "parse-names" : false, "suffix" : "" }, { "dropping-particle" : "", "family" : "Nakayama", "given" : "Kaho", "non-dropping-particle" : "", "parse-names" : false, "suffix" : "" }, { "dropping-particle" : "", "family" : "Inari", "given" : "Shogo", "non-dropping-particle" : "", "parse-names" : false, "suffix" : "" }, { "dropping-particle" : "", "family" : "Nishito", "given" : "Yukina", "non-dropping-particle" : "", "parse-names" : false, "suffix" : "" }, { "dropping-particle" : "", "family" : "Yoshioka", "given" : "Yuya", "non-dropping-particle" : "", "parse-names" : false, "suffix" : "" }, { "dropping-particle" : "", "family" : "Sakai", "given" : "Naoko", "non-dropping-particle" : "", "parse-names" : false, "suffix" : "" }, { "dropping-particle" : "", "family" : "Sotani", "given" : "Kanade", "non-dropping-particle" : "", "parse-names" : false, "suffix" : "" }, { "dropping-particle" : "", "family" : "Nagamura", "given" : "Takahiro", "non-dropping-particle" : "", "parse-names" : false, "suffix" : "" }, { "dropping-particle" : "", "family" : "Kuzuhara", "given" : "Yuki", "non-dropping-particle" : "", "parse-names" : false, "suffix" : "" }, { "dropping-particle" : "", "family" : "Inagaki", "given" : "Kumi", "non-dropping-particle" : "", "parse-names" : false, "suffix" : "" }, { "dropping-particle" : "", "family" : "Iwasaki", "given" : "Miki", "non-dropping-particle" : "", "parse-names" : false, "suffix" : "" }, { "dropping-particle" : "", "family" : "Misu", "given" : "Hirofumi", "non-dropping-particle" : "", "parse-names" : false, "suffix" : "" }, { "dropping-particle" : "", "family" : "Ikegawa", "given" : "Masaya", "non-dropping-particle" : "", "parse-names" : false, "suffix" : "" }, { "dropping-particle" : "", "family" : "Takamura", "given" : "Toshinari", "non-dropping-particle" : "", "parse-names" : false, "suffix" : "" }, { "dropping-particle" : "", "family" : "Noguchi", "given" : "Noriko", "non-dropping-particle" : "", "parse-names" : false, "suffix" : "" }, { "dropping-particle" : "", "family" : "Saito", "given" : "Yoshiro", "non-dropping-particle" : "", "parse-names" : false, "suffix" : "" } ], "container-title" : "Nature Communications", "id" : "ITEM-1", "issue" : "1", "issued" : { "date-parts" : [ [ "2017", "12", "21" ] ] }, "page" : "1658", "publisher" : "Springer US", "title" : "Selenoprotein P-neutralizing antibodies improve insulin secretion and glucose sensitivity in type 2 diabetes mouse models", "type" : "article-journal", "volume" : "8" }, "uris" : [ "http://www.mendeley.com/documents/?uuid=05cdc9e9-20c9-4e42-bb67-c2d30e5d7976" ] }, { "id" : "ITEM-2", "itemData" : { "DOI" : "10.1080/09168451.2018.1480349", "ISSN" : "0916-8451", "PMID" : "29848194", "author" : [ { "dropping-particle" : "", "family" : "Onishi", "given" : "Shintaro", "non-dropping-particle" : "", "parse-names" : false, "suffix" : "" }, { "dropping-particle" : "", "family" : "Kitazawa", "given" : "Hidefumi", "non-dropping-particle" : "", "parse-names" : false, "suffix" : "" }, { "dropping-particle" : "", "family" : "Meguro", "given" : "Shinichi", "non-dropping-particle" : "", "parse-names" : false, "suffix" : "" }, { "dropping-particle" : "", "family" : "Tokimitsu", "given" : "Ichiro", "non-dropping-particle" : "", "parse-names" : false, "suffix" : "" } ], "container-title" : "Bioscience, Biotechnology, and Biochemistry", "id" : "ITEM-2", "issue" : "9", "issued" : { "date-parts" : [ [ "2018", "9", "2" ] ] }, "page" : "1568-1575", "publisher" : "Taylor &amp; Francis", "title" : "Green tea extracts reduce leukocyte cell\u2013Derived chemotaxin 2 and selenoprotein P levels in the livers of C57BL/6J mice fed a high-fat diet", "type" : "article-journal", "volume" : "82" }, "uris" : [ "http://www.mendeley.com/documents/?uuid=717b5dee-433c-4687-8965-e0e8723f7df9" ] } ], "mendeley" : { "formattedCitation" : "(10,68)", "plainTextFormattedCitation" : "(10,68)", "previouslyFormattedCitation" : "(10,68)" }, "properties" : { "noteIndex" : 19 }, "schema" : "https://github.com/citation-style-language/schema/raw/master/csl-citation.json" }</w:instrText>
      </w:r>
      <w:r w:rsidR="00CE5564" w:rsidRPr="00DE0A65">
        <w:rPr>
          <w:rFonts w:ascii="Times New Roman" w:hAnsi="Times New Roman" w:cs="Times New Roman"/>
        </w:rPr>
        <w:fldChar w:fldCharType="separate"/>
      </w:r>
      <w:r w:rsidR="007B52A5" w:rsidRPr="007B52A5">
        <w:rPr>
          <w:rFonts w:ascii="Times New Roman" w:hAnsi="Times New Roman" w:cs="Times New Roman"/>
          <w:noProof/>
        </w:rPr>
        <w:t>(10,68)</w:t>
      </w:r>
      <w:r w:rsidR="00CE5564" w:rsidRPr="00DE0A65">
        <w:rPr>
          <w:rFonts w:ascii="Times New Roman" w:hAnsi="Times New Roman" w:cs="Times New Roman"/>
        </w:rPr>
        <w:fldChar w:fldCharType="end"/>
      </w:r>
      <w:r>
        <w:rPr>
          <w:rFonts w:ascii="Times New Roman" w:hAnsi="Times New Roman" w:cs="Times New Roman"/>
        </w:rPr>
        <w:t>. The development of hepatic steatosis appears to be central to the augmentation of both SeP and fetuin</w:t>
      </w:r>
      <w:r w:rsidR="008611F0">
        <w:rPr>
          <w:rFonts w:ascii="Times New Roman" w:hAnsi="Times New Roman" w:cs="Times New Roman"/>
        </w:rPr>
        <w:t>-</w:t>
      </w:r>
      <w:r>
        <w:rPr>
          <w:rFonts w:ascii="Times New Roman" w:hAnsi="Times New Roman" w:cs="Times New Roman"/>
        </w:rPr>
        <w:t xml:space="preserve">B, as recent data identified a 1.5-fold increase in </w:t>
      </w:r>
      <w:r>
        <w:rPr>
          <w:rFonts w:ascii="Times New Roman" w:hAnsi="Times New Roman" w:cs="Times New Roman"/>
        </w:rPr>
        <w:lastRenderedPageBreak/>
        <w:t xml:space="preserve">the expression of these proteins, in steatotic </w:t>
      </w:r>
      <w:r w:rsidR="0092260F">
        <w:rPr>
          <w:rFonts w:ascii="Times New Roman" w:hAnsi="Times New Roman" w:cs="Times New Roman"/>
        </w:rPr>
        <w:t>vs</w:t>
      </w:r>
      <w:r>
        <w:rPr>
          <w:rFonts w:ascii="Times New Roman" w:hAnsi="Times New Roman" w:cs="Times New Roman"/>
        </w:rPr>
        <w:t xml:space="preserve"> </w:t>
      </w:r>
      <w:r w:rsidR="00D16EEE">
        <w:rPr>
          <w:rFonts w:ascii="Times New Roman" w:hAnsi="Times New Roman" w:cs="Times New Roman"/>
        </w:rPr>
        <w:t>non-steatotic</w:t>
      </w:r>
      <w:r>
        <w:rPr>
          <w:rFonts w:ascii="Times New Roman" w:hAnsi="Times New Roman" w:cs="Times New Roman"/>
        </w:rPr>
        <w:t xml:space="preserve"> hepatocytes </w:t>
      </w:r>
      <w:r w:rsidR="00CE5564" w:rsidRPr="00D731C5">
        <w:rPr>
          <w:rFonts w:ascii="Times New Roman" w:hAnsi="Times New Roman" w:cs="Times New Roman"/>
        </w:rPr>
        <w:fldChar w:fldCharType="begin" w:fldLock="1"/>
      </w:r>
      <w:r w:rsidR="004E386F">
        <w:rPr>
          <w:rFonts w:ascii="Times New Roman" w:hAnsi="Times New Roman" w:cs="Times New Roman"/>
        </w:rPr>
        <w:instrText>ADDIN CSL_CITATION { "citationItems" : [ { "id" : "ITEM-1", "itemData" : { "DOI" : "10.1016/j.cmet.2015.09.023", "ISBN" : "1932-7420 (Electronic)\\r1550-4131 (Linking)", "ISSN" : "15504131", "PMID" : "26603189", "abstract" : "Liver steatosis is associated with the development of insulin resistance and the pathogenesis of type 2 diabetes. We tested the hypothesis that protein signals originating from steatotic hepatocytes communicate with other cells to modulate metabolic phenotypes. We show that the secreted factors from steatotic hepatocytes induce pro-inflammatory signaling and insulin resistance in cultured cells. Next, we identified 168 hepatokines, of which 32 were differentially secreted in steatotic versus non-steatotic hepatocytes. Targeted analysis showed that fetuin B was increased in humans with liver steatosis and patients with type 2 diabetes. Fetuin B impaired insulin action in myotubes and hepatocytes and caused glucose intolerance in mice. Silencing of fetuin B in obese mice improved glucose tolerance. We conclude that the protein secretory profile of hepatocytes is altered with steatosis and is linked to inflammation and insulin resistance. Therefore, preventing steatosis may limit the development of dysregulated glucose metabolism in settings of overnutrition.", "author" : [ { "dropping-particle" : "", "family" : "Meex", "given" : "Ruth C.", "non-dropping-particle" : "", "parse-names" : false, "suffix" : "" }, { "dropping-particle" : "", "family" : "Hoy", "given" : "Andrew J.", "non-dropping-particle" : "", "parse-names" : false, "suffix" : "" }, { "dropping-particle" : "", "family" : "Morris", "given" : "Alexander", "non-dropping-particle" : "", "parse-names" : false, "suffix" : "" }, { "dropping-particle" : "", "family" : "Brown", "given" : "Russell D.", "non-dropping-particle" : "", "parse-names" : false, "suffix" : "" }, { "dropping-particle" : "", "family" : "Lo", "given" : "Jennifer C.Y.", "non-dropping-particle" : "", "parse-names" : false, "suffix" : "" }, { "dropping-particle" : "", "family" : "Burke", "given" : "Melissa", "non-dropping-particle" : "", "parse-names" : false, "suffix" : "" }, { "dropping-particle" : "", "family" : "Goode", "given" : "Robert J.A.", "non-dropping-particle" : "", "parse-names" : false, "suffix" : "" }, { "dropping-particle" : "", "family" : "Kingwell", "given" : "Bronwyn A.", "non-dropping-particle" : "", "parse-names" : false, "suffix" : "" }, { "dropping-particle" : "", "family" : "Kraakman", "given" : "Michael J.", "non-dropping-particle" : "", "parse-names" : false, "suffix" : "" }, { "dropping-particle" : "", "family" : "Febbraio", "given" : "Mark A.", "non-dropping-particle" : "", "parse-names" : false, "suffix" : "" }, { "dropping-particle" : "", "family" : "Greve", "given" : "Jan Willem", "non-dropping-particle" : "", "parse-names" : false, "suffix" : "" }, { "dropping-particle" : "", "family" : "Rensen", "given" : "Sander S.", "non-dropping-particle" : "", "parse-names" : false, "suffix" : "" }, { "dropping-particle" : "", "family" : "Molloy", "given" : "Mark P.", "non-dropping-particle" : "", "parse-names" : false, "suffix" : "" }, { "dropping-particle" : "", "family" : "Lancaster", "given" : "Graeme I.", "non-dropping-particle" : "", "parse-names" : false, "suffix" : "" }, { "dropping-particle" : "", "family" : "Bruce", "given" : "Clinton R.", "non-dropping-particle" : "", "parse-names" : false, "suffix" : "" }, { "dropping-particle" : "", "family" : "Watt", "given" : "Matthew J.", "non-dropping-particle" : "", "parse-names" : false, "suffix" : "" } ], "container-title" : "Cell Metabolism", "id" : "ITEM-1", "issue" : "6", "issued" : { "date-parts" : [ [ "2015", "12" ] ] }, "page" : "1078-1089", "publisher" : "Elsevier Inc.", "title" : "Fetuin B Is a Secreted Hepatocyte Factor Linking Steatosis to Impaired Glucose Metabolism", "type" : "article-journal", "volume" : "22" }, "uris" : [ "http://www.mendeley.com/documents/?uuid=b1694c3b-7fe1-4239-b42a-1f9c7e3db12e" ] } ], "mendeley" : { "formattedCitation" : "(4)", "plainTextFormattedCitation" : "(4)", "previouslyFormattedCitation" : "(4)" }, "properties" : { "noteIndex" : 19 }, "schema" : "https://github.com/citation-style-language/schema/raw/master/csl-citation.json" }</w:instrText>
      </w:r>
      <w:r w:rsidR="00CE5564" w:rsidRPr="00D731C5">
        <w:rPr>
          <w:rFonts w:ascii="Times New Roman" w:hAnsi="Times New Roman" w:cs="Times New Roman"/>
        </w:rPr>
        <w:fldChar w:fldCharType="separate"/>
      </w:r>
      <w:r w:rsidR="00D377E6" w:rsidRPr="00D377E6">
        <w:rPr>
          <w:rFonts w:ascii="Times New Roman" w:hAnsi="Times New Roman" w:cs="Times New Roman"/>
          <w:noProof/>
        </w:rPr>
        <w:t>(4)</w:t>
      </w:r>
      <w:r w:rsidR="00CE5564" w:rsidRPr="00D731C5">
        <w:rPr>
          <w:rFonts w:ascii="Times New Roman" w:hAnsi="Times New Roman" w:cs="Times New Roman"/>
        </w:rPr>
        <w:fldChar w:fldCharType="end"/>
      </w:r>
      <w:r>
        <w:rPr>
          <w:rFonts w:ascii="Times New Roman" w:hAnsi="Times New Roman" w:cs="Times New Roman"/>
        </w:rPr>
        <w:t xml:space="preserve">. Although liver fat </w:t>
      </w:r>
      <w:r w:rsidR="00131B20">
        <w:rPr>
          <w:rFonts w:ascii="Times New Roman" w:hAnsi="Times New Roman" w:cs="Times New Roman"/>
        </w:rPr>
        <w:t>was not</w:t>
      </w:r>
      <w:r>
        <w:rPr>
          <w:rFonts w:ascii="Times New Roman" w:hAnsi="Times New Roman" w:cs="Times New Roman"/>
        </w:rPr>
        <w:t xml:space="preserve"> measured in the present investigation, previous data suggest that </w:t>
      </w:r>
      <w:r w:rsidR="00A35211">
        <w:rPr>
          <w:rFonts w:ascii="Times New Roman" w:hAnsi="Times New Roman" w:cs="Times New Roman"/>
        </w:rPr>
        <w:t>the</w:t>
      </w:r>
      <w:r>
        <w:rPr>
          <w:rFonts w:ascii="Times New Roman" w:hAnsi="Times New Roman" w:cs="Times New Roman"/>
        </w:rPr>
        <w:t xml:space="preserve"> diet </w:t>
      </w:r>
      <w:r w:rsidR="00A35211">
        <w:rPr>
          <w:rFonts w:ascii="Times New Roman" w:hAnsi="Times New Roman" w:cs="Times New Roman"/>
        </w:rPr>
        <w:t xml:space="preserve">used in the present study </w:t>
      </w:r>
      <w:r>
        <w:rPr>
          <w:rFonts w:ascii="Times New Roman" w:hAnsi="Times New Roman" w:cs="Times New Roman"/>
        </w:rPr>
        <w:t xml:space="preserve">is likely to have increased liver fat by approximately one-third, from a low starting point of 2-3% </w:t>
      </w:r>
      <w:r w:rsidR="003E1817">
        <w:rPr>
          <w:rFonts w:ascii="Times New Roman" w:hAnsi="Times New Roman" w:cs="Times New Roman"/>
        </w:rPr>
        <w:t xml:space="preserve">in healthy individuals </w:t>
      </w:r>
      <w:r w:rsidR="00CE5564" w:rsidRPr="00DE0A65">
        <w:rPr>
          <w:rFonts w:ascii="Times New Roman" w:hAnsi="Times New Roman" w:cs="Times New Roman"/>
        </w:rPr>
        <w:fldChar w:fldCharType="begin" w:fldLock="1"/>
      </w:r>
      <w:r w:rsidR="007B52A5">
        <w:rPr>
          <w:rFonts w:ascii="Times New Roman" w:hAnsi="Times New Roman" w:cs="Times New Roman"/>
        </w:rPr>
        <w:instrText>ADDIN CSL_CITATION { "citationItems" : [ { "id" : "ITEM-1", "itemData" : { "DOI" : "10.1186/s12986-015-0015-4", "ISSN" : "1743-7075", "abstract" : "Background: South Asians were reported to have a higher liver fat\\ncontent as compared to BMI-matched Caucasians. This study compared the\\nincrease in liver fat content in response to overfeeding with a high fat\\ndiet in South Asian and Caucasian men when matched for body fat\\npercentage.\\nMethods: Ten South Asian men (BMI 18-29 kg/m(2)) and 10 Caucasian men\\n(BMI 22-33 kg/m(2)), aged 20-40 y, matched for body fat percentage, were\\nincluded. A weight maintenance diet was given for 3 days based on the\\nindividual energy requirement. Individual energy requirement of the\\nsubjects was calculated based on their body composition (measured by\\nhydro densitometry and deuterium dilution) and activity counts\\n(accelerometer). Liver fat content was measured before and after 4 days\\nof overfeeding (50 % excess energy need) with a high fat diet (60 %\\nenergy from fat). Fat distribution was measured by anthropometry and an\\nMRI scan of the abdomen while liver fat content using 1H-MRS.\\nResults: While having a similar body fat % (P = 0.58), South Asians had\\na lower BMI (P = 0.04) than Caucasians. Liver fat content at baseline\\ndid not differ between ethnicities (P = 0.48) and was associated with\\nvisceral fat area (P = 0.002, R-2 = 0.56) but not with ethnicity (P =\\n0.13). Overfeeding with a high fat diet significantly increased liver\\nfat (P = 0.01) but the increase did not differ between ethnicities (P =\\n0.47). There was no difference in the total abdominal fat area (P =\\n0.37), subcutaneous abdominal fat area (P = 0.18) and visceral fat area\\n(VAT, P = 0.32). However as a percentage of the total abdominal fat\\narea, VAT was higher in South Asians (P = 0.003).\\nConclusion: Despite a relatively higher percentage of visceral fat area,\\nliver fat increased similarly in South Asian and Caucasian men in\\nresponse to overfeeding with a high fat diet.", "author" : [ { "dropping-particle" : "", "family" : "Wulan", "given" : "Siti N.", "non-dropping-particle" : "", "parse-names" : false, "suffix" : "" }, { "dropping-particle" : "", "family" : "Schrauwen-Hinderling", "given" : "Vera B.", "non-dropping-particle" : "", "parse-names" : false, "suffix" : "" }, { "dropping-particle" : "", "family" : "Westerterp", "given" : "Klaas R.", "non-dropping-particle" : "", "parse-names" : false, "suffix" : "" }, { "dropping-particle" : "", "family" : "Plasqui", "given" : "Guy", "non-dropping-particle" : "", "parse-names" : false, "suffix" : "" } ], "container-title" : "Nutrition &amp; Metabolism", "id" : "ITEM-1", "issue" : "1", "issued" : { "date-parts" : [ [ "2015", "12", "20" ] ] }, "page" : "18", "publisher" : "???", "title" : "Liver fat accumulation in response to overfeeding with a high-fat diet: a comparison between South Asian and Caucasian men", "type" : "article-journal", "volume" : "12" }, "uris" : [ "http://www.mendeley.com/documents/?uuid=8b3a5d21-1d0b-4e4c-b340-bd922b197c50" ] } ], "mendeley" : { "formattedCitation" : "(69)", "plainTextFormattedCitation" : "(69)", "previouslyFormattedCitation" : "(69)" }, "properties" : { "noteIndex" : 19 }, "schema" : "https://github.com/citation-style-language/schema/raw/master/csl-citation.json" }</w:instrText>
      </w:r>
      <w:r w:rsidR="00CE5564" w:rsidRPr="00DE0A65">
        <w:rPr>
          <w:rFonts w:ascii="Times New Roman" w:hAnsi="Times New Roman" w:cs="Times New Roman"/>
        </w:rPr>
        <w:fldChar w:fldCharType="separate"/>
      </w:r>
      <w:r w:rsidR="007B52A5" w:rsidRPr="007B52A5">
        <w:rPr>
          <w:rFonts w:ascii="Times New Roman" w:hAnsi="Times New Roman" w:cs="Times New Roman"/>
          <w:noProof/>
        </w:rPr>
        <w:t>(69)</w:t>
      </w:r>
      <w:r w:rsidR="00CE5564" w:rsidRPr="00DE0A65">
        <w:rPr>
          <w:rFonts w:ascii="Times New Roman" w:hAnsi="Times New Roman" w:cs="Times New Roman"/>
        </w:rPr>
        <w:fldChar w:fldCharType="end"/>
      </w:r>
      <w:r>
        <w:rPr>
          <w:rFonts w:ascii="Times New Roman" w:hAnsi="Times New Roman" w:cs="Times New Roman"/>
        </w:rPr>
        <w:t xml:space="preserve">. Such an increase is still below what is considered as clinically elevated liver fat; and a more prolonged and sustained period of positive energy balance may be </w:t>
      </w:r>
      <w:r w:rsidR="003E1817">
        <w:rPr>
          <w:rFonts w:ascii="Times New Roman" w:hAnsi="Times New Roman" w:cs="Times New Roman"/>
        </w:rPr>
        <w:t>required</w:t>
      </w:r>
      <w:r>
        <w:rPr>
          <w:rFonts w:ascii="Times New Roman" w:hAnsi="Times New Roman" w:cs="Times New Roman"/>
        </w:rPr>
        <w:t xml:space="preserve"> to elicit changes in fetuin</w:t>
      </w:r>
      <w:r w:rsidR="008611F0">
        <w:rPr>
          <w:rFonts w:ascii="Times New Roman" w:hAnsi="Times New Roman" w:cs="Times New Roman"/>
        </w:rPr>
        <w:t>-</w:t>
      </w:r>
      <w:r>
        <w:rPr>
          <w:rFonts w:ascii="Times New Roman" w:hAnsi="Times New Roman" w:cs="Times New Roman"/>
        </w:rPr>
        <w:t>B and SeP.</w:t>
      </w:r>
    </w:p>
    <w:p w14:paraId="3F7945E4" w14:textId="44A22A1C" w:rsidR="002420C8" w:rsidRPr="000E1C62" w:rsidRDefault="001D1822" w:rsidP="007275DD">
      <w:pPr>
        <w:spacing w:line="480" w:lineRule="auto"/>
        <w:jc w:val="both"/>
        <w:rPr>
          <w:rFonts w:asciiTheme="majorBidi" w:hAnsiTheme="majorBidi" w:cstheme="majorBidi"/>
          <w:bCs/>
        </w:rPr>
      </w:pPr>
      <w:r>
        <w:rPr>
          <w:rFonts w:asciiTheme="majorBidi" w:hAnsiTheme="majorBidi" w:cstheme="majorBidi"/>
          <w:bCs/>
        </w:rPr>
        <w:t xml:space="preserve">Key </w:t>
      </w:r>
      <w:r w:rsidRPr="000E1C62">
        <w:rPr>
          <w:rFonts w:asciiTheme="majorBidi" w:hAnsiTheme="majorBidi" w:cstheme="majorBidi"/>
          <w:bCs/>
        </w:rPr>
        <w:t>strengths of this study include the crossover design and</w:t>
      </w:r>
      <w:r w:rsidR="00965F51" w:rsidRPr="000E1C62">
        <w:rPr>
          <w:rFonts w:asciiTheme="majorBidi" w:hAnsiTheme="majorBidi" w:cstheme="majorBidi"/>
          <w:bCs/>
        </w:rPr>
        <w:t xml:space="preserve"> detailed scrutiny of time-course</w:t>
      </w:r>
      <w:r w:rsidRPr="000E1C62">
        <w:rPr>
          <w:rFonts w:asciiTheme="majorBidi" w:hAnsiTheme="majorBidi" w:cstheme="majorBidi"/>
          <w:bCs/>
        </w:rPr>
        <w:t xml:space="preserve">. </w:t>
      </w:r>
      <w:r w:rsidR="00772262" w:rsidRPr="000E1C62">
        <w:rPr>
          <w:rFonts w:asciiTheme="majorBidi" w:hAnsiTheme="majorBidi" w:cstheme="majorBidi"/>
          <w:bCs/>
        </w:rPr>
        <w:t xml:space="preserve">A consideration that must be recognised </w:t>
      </w:r>
      <w:r w:rsidR="00787594" w:rsidRPr="000E1C62">
        <w:rPr>
          <w:rFonts w:asciiTheme="majorBidi" w:hAnsiTheme="majorBidi" w:cstheme="majorBidi"/>
          <w:bCs/>
        </w:rPr>
        <w:t>was</w:t>
      </w:r>
      <w:r w:rsidR="00F676F8" w:rsidRPr="000E1C62">
        <w:rPr>
          <w:rFonts w:asciiTheme="majorBidi" w:hAnsiTheme="majorBidi" w:cstheme="majorBidi"/>
          <w:bCs/>
        </w:rPr>
        <w:t xml:space="preserve"> the use of estimated energy requirements as the basis for planning the HE-HFD</w:t>
      </w:r>
      <w:r w:rsidR="000079EF" w:rsidRPr="000E1C62">
        <w:rPr>
          <w:rFonts w:asciiTheme="majorBidi" w:hAnsiTheme="majorBidi" w:cstheme="majorBidi"/>
          <w:bCs/>
        </w:rPr>
        <w:t>,</w:t>
      </w:r>
      <w:r w:rsidR="002865A3" w:rsidRPr="000E1C62">
        <w:rPr>
          <w:rFonts w:asciiTheme="majorBidi" w:hAnsiTheme="majorBidi" w:cstheme="majorBidi"/>
          <w:bCs/>
        </w:rPr>
        <w:t xml:space="preserve"> as underreporting of energy intake when using food diaries is e</w:t>
      </w:r>
      <w:r w:rsidR="00D564AA" w:rsidRPr="000E1C62">
        <w:rPr>
          <w:rFonts w:asciiTheme="majorBidi" w:hAnsiTheme="majorBidi" w:cstheme="majorBidi"/>
          <w:bCs/>
        </w:rPr>
        <w:t>xtremely common</w:t>
      </w:r>
      <w:r w:rsidR="00176381" w:rsidRPr="000E1C62">
        <w:rPr>
          <w:rFonts w:asciiTheme="majorBidi" w:hAnsiTheme="majorBidi" w:cstheme="majorBidi"/>
          <w:bCs/>
        </w:rPr>
        <w:t xml:space="preserve"> </w:t>
      </w:r>
      <w:r w:rsidR="00176381" w:rsidRPr="000E1C62">
        <w:rPr>
          <w:rFonts w:asciiTheme="majorBidi" w:hAnsiTheme="majorBidi" w:cstheme="majorBidi"/>
          <w:bCs/>
        </w:rPr>
        <w:fldChar w:fldCharType="begin" w:fldLock="1"/>
      </w:r>
      <w:r w:rsidR="007B52A5" w:rsidRPr="000E1C62">
        <w:rPr>
          <w:rFonts w:asciiTheme="majorBidi" w:hAnsiTheme="majorBidi" w:cstheme="majorBidi"/>
          <w:bCs/>
        </w:rPr>
        <w:instrText>ADDIN CSL_CITATION { "citationItems" : [ { "id" : "ITEM-1", "itemData" : { "DOI" : "10.1079/NRR19980017", "ISSN" : "0954-4224", "abstract" : "Under-reporting of food intake is one of the fundamental obstacles preventing the collection of accurate habitual dietary intake data. The prevalence of under-reporting in large nutritional surveys ranges from 18 to 54% of the whole sample, but can be as high as 70% in particular subgroups. This wide variation between studies is partly due to different criteria used to identify under-reporters and also to non-uniformity of under-reporting across populations. The most consistent differences found are between men and women and between groups differing in body mass index. Women are more likely to under-report than men, and under-reporting is more common among overweight and obese individuals. Other associated characteristics, for which there is less consistent evidence, include age, smoking habits, level of education, social class, physical activity and dietary restraint. Determining whether under-reporting is specific to macronutrients or food is problematic, as most methods identify only low energy intakes. Studies that have attempted to measure under-reporting specific to macronutrients express nutrients as percentage of energy and have tended to find carbohydrate under-reported and protein over-reported. However, care must be taken when interpreting these results, especially when data are expressed as percentages. A logical conclusion is that food items with a negative health image (e.g. cakes, sweets, confectionery) are more likely to be under-reported, whereas those with a positive health image are more likely to be over-reported (e.g. fruits and vegetables). This also suggests that dietary fat is likely to be under-reported. However, it is necessary to distinguish between under-reporting and genuine under-eating for the duration of data collection. The key to understanding this problem, but one that has been widely neglected, concerns the processes that cause people to under-report their food intakes. The little work that has been done has simply confirmed the complexity of this issue. The importance of obtaining accurate estimates of habitual dietary intakes so as to assess health correlates of food consumption can be contrasted with the poor quality of data collected. This phenomenon should be considered a priority research area. Moreover, misreporting is not simply a nutritionist's problem, but requires a multidisciplinary approach (including psychology, sociology and physiology) to advance the understanding of under-reporting in dietary intake s\u2026", "author" : [ { "dropping-particle" : "", "family" : "Macdiarmid", "given" : "Jennie", "non-dropping-particle" : "", "parse-names" : false, "suffix" : "" }, { "dropping-particle" : "", "family" : "Blundell", "given" : "John", "non-dropping-particle" : "", "parse-names" : false, "suffix" : "" } ], "container-title" : "Nutrition Research Reviews", "id" : "ITEM-1", "issue" : "02", "issued" : { "date-parts" : [ [ "1998", "12", "10" ] ] }, "page" : "231", "title" : "Assessing dietary intake: Who, what and why of under-reporting", "type" : "article-journal", "volume" : "11" }, "uris" : [ "http://www.mendeley.com/documents/?uuid=39dfc571-d1cc-4022-999a-d84f87fe784f" ] }, { "id" : "ITEM-2", "itemData" : { "DOI" : "10.2337/dc06-1582", "ISSN" : "0149-5992", "author" : [ { "dropping-particle" : "", "family" : "Salle", "given" : "A.", "non-dropping-particle" : "", "parse-names" : false, "suffix" : "" }, { "dropping-particle" : "", "family" : "Ryan", "given" : "Miriam", "non-dropping-particle" : "", "parse-names" : false, "suffix" : "" }, { "dropping-particle" : "", "family" : "Ritz", "given" : "Patrick", "non-dropping-particle" : "", "parse-names" : false, "suffix" : "" } ], "container-title" : "Diabetes Care", "id" : "ITEM-2", "issue" : "12", "issued" : { "date-parts" : [ [ "2006", "12", "1" ] ] }, "page" : "2726-2727", "title" : "Underreporting of Food Intake in Obese Diabetic and Nondiabetic Patients", "type" : "article-journal", "volume" : "29" }, "uris" : [ "http://www.mendeley.com/documents/?uuid=5f379ecc-93db-46ac-9f6a-9335048370a7" ] } ], "mendeley" : { "formattedCitation" : "(70,71)", "plainTextFormattedCitation" : "(70,71)", "previouslyFormattedCitation" : "(70,71)" }, "properties" : { "noteIndex" : 21 }, "schema" : "https://github.com/citation-style-language/schema/raw/master/csl-citation.json" }</w:instrText>
      </w:r>
      <w:r w:rsidR="00176381" w:rsidRPr="000E1C62">
        <w:rPr>
          <w:rFonts w:asciiTheme="majorBidi" w:hAnsiTheme="majorBidi" w:cstheme="majorBidi"/>
          <w:bCs/>
        </w:rPr>
        <w:fldChar w:fldCharType="separate"/>
      </w:r>
      <w:r w:rsidR="007B52A5" w:rsidRPr="000E1C62">
        <w:rPr>
          <w:rFonts w:asciiTheme="majorBidi" w:hAnsiTheme="majorBidi" w:cstheme="majorBidi"/>
          <w:bCs/>
          <w:noProof/>
        </w:rPr>
        <w:t>(70,71)</w:t>
      </w:r>
      <w:r w:rsidR="00176381" w:rsidRPr="000E1C62">
        <w:rPr>
          <w:rFonts w:asciiTheme="majorBidi" w:hAnsiTheme="majorBidi" w:cstheme="majorBidi"/>
          <w:bCs/>
        </w:rPr>
        <w:fldChar w:fldCharType="end"/>
      </w:r>
      <w:r w:rsidR="00D564AA" w:rsidRPr="000E1C62">
        <w:rPr>
          <w:rFonts w:asciiTheme="majorBidi" w:hAnsiTheme="majorBidi" w:cstheme="majorBidi"/>
          <w:bCs/>
        </w:rPr>
        <w:t>.</w:t>
      </w:r>
      <w:r w:rsidR="00D133AF" w:rsidRPr="000E1C62">
        <w:rPr>
          <w:rFonts w:asciiTheme="majorBidi" w:hAnsiTheme="majorBidi" w:cstheme="majorBidi"/>
          <w:bCs/>
        </w:rPr>
        <w:t xml:space="preserve"> In our study, the reported control diet was approximately 2</w:t>
      </w:r>
      <w:r w:rsidR="001C1070" w:rsidRPr="000E1C62">
        <w:rPr>
          <w:rFonts w:asciiTheme="majorBidi" w:hAnsiTheme="majorBidi" w:cstheme="majorBidi"/>
          <w:bCs/>
        </w:rPr>
        <w:t>.</w:t>
      </w:r>
      <w:r w:rsidR="00D133AF" w:rsidRPr="000E1C62">
        <w:rPr>
          <w:rFonts w:asciiTheme="majorBidi" w:hAnsiTheme="majorBidi" w:cstheme="majorBidi"/>
          <w:bCs/>
        </w:rPr>
        <w:t xml:space="preserve">60 </w:t>
      </w:r>
      <w:r w:rsidR="001C1070" w:rsidRPr="000E1C62">
        <w:rPr>
          <w:rFonts w:asciiTheme="majorBidi" w:hAnsiTheme="majorBidi" w:cstheme="majorBidi"/>
        </w:rPr>
        <w:t>MJ∙</w:t>
      </w:r>
      <w:r w:rsidR="001C1070" w:rsidRPr="000E1C62">
        <w:rPr>
          <w:rFonts w:ascii="Times New Roman" w:hAnsi="Times New Roman" w:cs="Times New Roman"/>
        </w:rPr>
        <w:t>d</w:t>
      </w:r>
      <w:r w:rsidR="001C1070" w:rsidRPr="000E1C62">
        <w:rPr>
          <w:rFonts w:ascii="Times New Roman" w:hAnsi="Times New Roman" w:cs="Times New Roman"/>
          <w:vertAlign w:val="superscript"/>
        </w:rPr>
        <w:t>-1</w:t>
      </w:r>
      <w:r w:rsidR="007703A1" w:rsidRPr="000E1C62">
        <w:rPr>
          <w:rFonts w:asciiTheme="majorBidi" w:hAnsiTheme="majorBidi" w:cstheme="majorBidi"/>
          <w:bCs/>
        </w:rPr>
        <w:t xml:space="preserve"> less than estimated</w:t>
      </w:r>
      <w:r w:rsidR="007A4786" w:rsidRPr="000E1C62">
        <w:rPr>
          <w:rFonts w:asciiTheme="majorBidi" w:hAnsiTheme="majorBidi" w:cstheme="majorBidi"/>
          <w:bCs/>
        </w:rPr>
        <w:t>; which is in line with our previous findings</w:t>
      </w:r>
      <w:r w:rsidR="00176381" w:rsidRPr="000E1C62">
        <w:rPr>
          <w:rFonts w:asciiTheme="majorBidi" w:hAnsiTheme="majorBidi" w:cstheme="majorBidi"/>
          <w:bCs/>
        </w:rPr>
        <w:t xml:space="preserve"> </w:t>
      </w:r>
      <w:r w:rsidR="00176381" w:rsidRPr="000E1C62">
        <w:rPr>
          <w:rFonts w:asciiTheme="majorBidi" w:hAnsiTheme="majorBidi" w:cstheme="majorBidi"/>
          <w:bCs/>
        </w:rPr>
        <w:fldChar w:fldCharType="begin" w:fldLock="1"/>
      </w:r>
      <w:r w:rsidR="007B52A5" w:rsidRPr="000E1C62">
        <w:rPr>
          <w:rFonts w:asciiTheme="majorBidi" w:hAnsiTheme="majorBidi" w:cstheme="majorBidi"/>
          <w:bCs/>
        </w:rPr>
        <w:instrText>ADDIN CSL_CITATION { "citationItems" : [ { "id" : "ITEM-1", "itemData" : { "DOI" : "10.1017/S0007114516004475", "ISBN" : "0007114516", "ISSN" : "0007-1145", "abstract" : "Obesity is undoubtedly caused by a chronic positive energy balance. However, the early metabolic and hormonal responses to overeating are poorly described. This study determined glycaemic control and selected gut hormone responses to nutrient intake before and after 7 d of high-fat overfeeding. Nine healthy individuals (five males, four females) performed a mixed meal tolerance test (MTT) before and after consuming a high-fat (65 %), high-energy (+50 %) diet for 7 d. Measurements of plasma glucose, NEFA, acylated ghrelin, glucagon-like peptide-1 (GLP-1), gastric inhibitory polypeptide (GIP) and serum insulin were taken before (fasting) and at 30-min intervals throughout the 180-min MTT (postprandial). Body mass increased by 0\u00b779 ( sem 0\u00b714) kg after high-fat overfeeding ( P &amp;lt;0\u00b70001), and BMI increased by 0\u00b727 ( sem 0\u00b705) kg/m 2 ( P =0\u00b7002). High-fat overfeeding also resulted in an 11\u00b76 % increase in postprandial glucose AUC ( P =0\u00b7007) and a 25\u00b79 % increase in postprandial insulin AUC ( P =0\u00b7005). Acylated ghrelin, GLP-1 and GIP responses to the MTT were all unaffected by the high-fat, high-energy diet. These findings demonstrate that even brief periods of overeating are sufficient to disrupt glycaemic control. However, as the postprandial orexigenic (ghrelin) and anorexigenic/insulintropic (GLP-1 and GIP) hormone responses were unaffected by the diet intervention, it appears that these hormones are resistant to short-term changes in energy balance, and that they do not play a role in the rapid reduction in glycaemic control.", "author" : [ { "dropping-particle" : "", "family" : "Parry", "given" : "Si\u00f4n A.", "non-dropping-particle" : "", "parse-names" : false, "suffix" : "" }, { "dropping-particle" : "", "family" : "Smith", "given" : "Jennifer R.", "non-dropping-particle" : "", "parse-names" : false, "suffix" : "" }, { "dropping-particle" : "", "family" : "Corbett", "given" : "Talitha R. B.", "non-dropping-particle" : "", "parse-names" : false, "suffix" : "" }, { "dropping-particle" : "", "family" : "Woods", "given" : "Rachel M.", "non-dropping-particle" : "", "parse-names" : false, "suffix" : "" }, { "dropping-particle" : "", "family" : "Hulston", "given" : "Carl J.", "non-dropping-particle" : "", "parse-names" : false, "suffix" : "" } ], "container-title" : "British Journal of Nutrition", "id" : "ITEM-1", "issue" : "01", "issued" : { "date-parts" : [ [ "2017", "1", "24" ] ] }, "page" : "48-55", "title" : "Short-term, high-fat overfeeding impairs glycaemic control but does not alter gut hormone responses to a mixed meal tolerance test in healthy, normal-weight individuals", "type" : "article-journal", "volume" : "117" }, "uris" : [ "http://www.mendeley.com/documents/?uuid=49fcce4e-a0b6-4509-b7e2-52bd93f22fbd" ] } ], "mendeley" : { "formattedCitation" : "(72)", "plainTextFormattedCitation" : "(72)", "previouslyFormattedCitation" : "(72)" }, "properties" : { "noteIndex" : 21 }, "schema" : "https://github.com/citation-style-language/schema/raw/master/csl-citation.json" }</w:instrText>
      </w:r>
      <w:r w:rsidR="00176381" w:rsidRPr="000E1C62">
        <w:rPr>
          <w:rFonts w:asciiTheme="majorBidi" w:hAnsiTheme="majorBidi" w:cstheme="majorBidi"/>
          <w:bCs/>
        </w:rPr>
        <w:fldChar w:fldCharType="separate"/>
      </w:r>
      <w:r w:rsidR="007B52A5" w:rsidRPr="000E1C62">
        <w:rPr>
          <w:rFonts w:asciiTheme="majorBidi" w:hAnsiTheme="majorBidi" w:cstheme="majorBidi"/>
          <w:bCs/>
          <w:noProof/>
        </w:rPr>
        <w:t>(72)</w:t>
      </w:r>
      <w:r w:rsidR="00176381" w:rsidRPr="000E1C62">
        <w:rPr>
          <w:rFonts w:asciiTheme="majorBidi" w:hAnsiTheme="majorBidi" w:cstheme="majorBidi"/>
          <w:bCs/>
        </w:rPr>
        <w:fldChar w:fldCharType="end"/>
      </w:r>
      <w:r w:rsidR="007A4786" w:rsidRPr="000E1C62">
        <w:rPr>
          <w:rFonts w:asciiTheme="majorBidi" w:hAnsiTheme="majorBidi" w:cstheme="majorBidi"/>
          <w:bCs/>
        </w:rPr>
        <w:t>. A</w:t>
      </w:r>
      <w:r w:rsidR="00787594" w:rsidRPr="000E1C62">
        <w:rPr>
          <w:rFonts w:asciiTheme="majorBidi" w:hAnsiTheme="majorBidi" w:cstheme="majorBidi"/>
          <w:bCs/>
        </w:rPr>
        <w:t>s</w:t>
      </w:r>
      <w:r w:rsidR="007A4786" w:rsidRPr="000E1C62">
        <w:rPr>
          <w:rFonts w:asciiTheme="majorBidi" w:hAnsiTheme="majorBidi" w:cstheme="majorBidi"/>
          <w:bCs/>
        </w:rPr>
        <w:t xml:space="preserve"> the primary purpose of the present study was </w:t>
      </w:r>
      <w:r w:rsidR="00B81610" w:rsidRPr="000E1C62">
        <w:rPr>
          <w:rFonts w:asciiTheme="majorBidi" w:hAnsiTheme="majorBidi" w:cstheme="majorBidi"/>
          <w:bCs/>
        </w:rPr>
        <w:t xml:space="preserve">to assess hepatokine responses to short-term positive energy balance, we needed to ensure that a </w:t>
      </w:r>
      <w:proofErr w:type="gramStart"/>
      <w:r w:rsidR="00F31011" w:rsidRPr="000E1C62">
        <w:rPr>
          <w:rFonts w:asciiTheme="majorBidi" w:hAnsiTheme="majorBidi" w:cstheme="majorBidi"/>
          <w:bCs/>
        </w:rPr>
        <w:t>sufficient</w:t>
      </w:r>
      <w:proofErr w:type="gramEnd"/>
      <w:r w:rsidR="00EC6187" w:rsidRPr="000E1C62">
        <w:rPr>
          <w:rFonts w:asciiTheme="majorBidi" w:hAnsiTheme="majorBidi" w:cstheme="majorBidi"/>
          <w:bCs/>
        </w:rPr>
        <w:t xml:space="preserve"> </w:t>
      </w:r>
      <w:r w:rsidR="00B81610" w:rsidRPr="000E1C62">
        <w:rPr>
          <w:rFonts w:asciiTheme="majorBidi" w:hAnsiTheme="majorBidi" w:cstheme="majorBidi"/>
          <w:bCs/>
        </w:rPr>
        <w:t xml:space="preserve">overfeed was achieved. </w:t>
      </w:r>
      <w:r w:rsidR="00D564AA" w:rsidRPr="000E1C62">
        <w:rPr>
          <w:rFonts w:asciiTheme="majorBidi" w:hAnsiTheme="majorBidi" w:cstheme="majorBidi"/>
          <w:bCs/>
        </w:rPr>
        <w:t xml:space="preserve"> </w:t>
      </w:r>
      <w:r w:rsidR="003650E8" w:rsidRPr="000E1C62">
        <w:rPr>
          <w:rFonts w:asciiTheme="majorBidi" w:hAnsiTheme="majorBidi" w:cstheme="majorBidi"/>
          <w:bCs/>
        </w:rPr>
        <w:t>Other considerations within</w:t>
      </w:r>
      <w:r w:rsidR="00A1091A" w:rsidRPr="000E1C62">
        <w:rPr>
          <w:rFonts w:asciiTheme="majorBidi" w:hAnsiTheme="majorBidi" w:cstheme="majorBidi"/>
          <w:bCs/>
        </w:rPr>
        <w:t xml:space="preserve"> this study </w:t>
      </w:r>
      <w:r w:rsidRPr="000E1C62">
        <w:rPr>
          <w:rFonts w:asciiTheme="majorBidi" w:hAnsiTheme="majorBidi" w:cstheme="majorBidi"/>
          <w:bCs/>
        </w:rPr>
        <w:t>include the lack of diet standardisation during the control period</w:t>
      </w:r>
      <w:r w:rsidR="00A56853" w:rsidRPr="000E1C62">
        <w:rPr>
          <w:rFonts w:asciiTheme="majorBidi" w:hAnsiTheme="majorBidi" w:cstheme="majorBidi"/>
          <w:bCs/>
        </w:rPr>
        <w:t>,</w:t>
      </w:r>
      <w:r w:rsidRPr="000E1C62">
        <w:rPr>
          <w:rFonts w:asciiTheme="majorBidi" w:hAnsiTheme="majorBidi" w:cstheme="majorBidi"/>
          <w:bCs/>
        </w:rPr>
        <w:t xml:space="preserve"> which may have particularly influenced </w:t>
      </w:r>
      <w:r w:rsidR="009E28E1" w:rsidRPr="000E1C62">
        <w:rPr>
          <w:rFonts w:asciiTheme="majorBidi" w:hAnsiTheme="majorBidi" w:cstheme="majorBidi"/>
          <w:bCs/>
        </w:rPr>
        <w:t>the</w:t>
      </w:r>
      <w:r w:rsidRPr="000E1C62">
        <w:rPr>
          <w:rFonts w:asciiTheme="majorBidi" w:hAnsiTheme="majorBidi" w:cstheme="majorBidi"/>
          <w:bCs/>
        </w:rPr>
        <w:t xml:space="preserve"> fetuin-A data</w:t>
      </w:r>
      <w:r w:rsidR="00C1543F" w:rsidRPr="000E1C62">
        <w:rPr>
          <w:rFonts w:asciiTheme="majorBidi" w:hAnsiTheme="majorBidi" w:cstheme="majorBidi"/>
          <w:bCs/>
        </w:rPr>
        <w:t>,</w:t>
      </w:r>
      <w:r w:rsidR="00260DE4" w:rsidRPr="000E1C62">
        <w:rPr>
          <w:rFonts w:asciiTheme="majorBidi" w:hAnsiTheme="majorBidi" w:cstheme="majorBidi"/>
          <w:bCs/>
        </w:rPr>
        <w:t xml:space="preserve"> </w:t>
      </w:r>
      <w:r w:rsidR="004835AD" w:rsidRPr="000E1C62">
        <w:rPr>
          <w:rFonts w:asciiTheme="majorBidi" w:hAnsiTheme="majorBidi" w:cstheme="majorBidi"/>
          <w:bCs/>
        </w:rPr>
        <w:t xml:space="preserve">as well as the potential for </w:t>
      </w:r>
      <w:r w:rsidR="00FE7B13" w:rsidRPr="000E1C62">
        <w:rPr>
          <w:rFonts w:asciiTheme="majorBidi" w:hAnsiTheme="majorBidi" w:cstheme="majorBidi"/>
          <w:bCs/>
        </w:rPr>
        <w:t xml:space="preserve">carryover effects </w:t>
      </w:r>
      <w:r w:rsidR="009F04B4" w:rsidRPr="000E1C62">
        <w:rPr>
          <w:rFonts w:asciiTheme="majorBidi" w:hAnsiTheme="majorBidi" w:cstheme="majorBidi"/>
          <w:bCs/>
        </w:rPr>
        <w:t>in</w:t>
      </w:r>
      <w:r w:rsidR="00FB760D" w:rsidRPr="000E1C62">
        <w:rPr>
          <w:rFonts w:asciiTheme="majorBidi" w:hAnsiTheme="majorBidi" w:cstheme="majorBidi"/>
          <w:bCs/>
        </w:rPr>
        <w:t xml:space="preserve"> participants who </w:t>
      </w:r>
      <w:r w:rsidR="009B4AEC" w:rsidRPr="000E1C62">
        <w:rPr>
          <w:rFonts w:asciiTheme="majorBidi" w:hAnsiTheme="majorBidi" w:cstheme="majorBidi"/>
          <w:bCs/>
        </w:rPr>
        <w:t>undertook</w:t>
      </w:r>
      <w:r w:rsidR="008C310E" w:rsidRPr="000E1C62">
        <w:rPr>
          <w:rFonts w:asciiTheme="majorBidi" w:hAnsiTheme="majorBidi" w:cstheme="majorBidi"/>
          <w:bCs/>
        </w:rPr>
        <w:t xml:space="preserve"> the HE-HFD </w:t>
      </w:r>
      <w:r w:rsidR="009B4AEC" w:rsidRPr="000E1C62">
        <w:rPr>
          <w:rFonts w:asciiTheme="majorBidi" w:hAnsiTheme="majorBidi" w:cstheme="majorBidi"/>
          <w:bCs/>
        </w:rPr>
        <w:t xml:space="preserve">intervention </w:t>
      </w:r>
      <w:r w:rsidR="008237BB" w:rsidRPr="000E1C62">
        <w:rPr>
          <w:rFonts w:asciiTheme="majorBidi" w:hAnsiTheme="majorBidi" w:cstheme="majorBidi"/>
          <w:bCs/>
        </w:rPr>
        <w:t xml:space="preserve">before the control </w:t>
      </w:r>
      <w:r w:rsidR="009B4AEC" w:rsidRPr="000E1C62">
        <w:rPr>
          <w:rFonts w:asciiTheme="majorBidi" w:hAnsiTheme="majorBidi" w:cstheme="majorBidi"/>
          <w:bCs/>
        </w:rPr>
        <w:t>inte</w:t>
      </w:r>
      <w:r w:rsidR="00BF2243" w:rsidRPr="000E1C62">
        <w:rPr>
          <w:rFonts w:asciiTheme="majorBidi" w:hAnsiTheme="majorBidi" w:cstheme="majorBidi"/>
          <w:bCs/>
        </w:rPr>
        <w:t>rvention.</w:t>
      </w:r>
      <w:r w:rsidR="00775A23" w:rsidRPr="000E1C62">
        <w:rPr>
          <w:rFonts w:asciiTheme="majorBidi" w:hAnsiTheme="majorBidi" w:cstheme="majorBidi"/>
          <w:bCs/>
        </w:rPr>
        <w:t xml:space="preserve"> </w:t>
      </w:r>
      <w:r w:rsidR="00AF0C55" w:rsidRPr="000E1C62">
        <w:rPr>
          <w:rFonts w:asciiTheme="majorBidi" w:hAnsiTheme="majorBidi" w:cstheme="majorBidi"/>
          <w:bCs/>
        </w:rPr>
        <w:t xml:space="preserve">Our washout </w:t>
      </w:r>
      <w:r w:rsidR="00F40DB8" w:rsidRPr="000E1C62">
        <w:rPr>
          <w:rFonts w:asciiTheme="majorBidi" w:hAnsiTheme="majorBidi" w:cstheme="majorBidi"/>
          <w:bCs/>
        </w:rPr>
        <w:t xml:space="preserve">period of three weeks was based on </w:t>
      </w:r>
      <w:r w:rsidR="00D01685" w:rsidRPr="000E1C62">
        <w:rPr>
          <w:rFonts w:asciiTheme="majorBidi" w:hAnsiTheme="majorBidi" w:cstheme="majorBidi"/>
          <w:bCs/>
        </w:rPr>
        <w:t xml:space="preserve">previous studies </w:t>
      </w:r>
      <w:r w:rsidR="00EE7E5B" w:rsidRPr="000E1C62">
        <w:rPr>
          <w:rFonts w:asciiTheme="majorBidi" w:hAnsiTheme="majorBidi" w:cstheme="majorBidi"/>
          <w:bCs/>
        </w:rPr>
        <w:t>employing an identical washout</w:t>
      </w:r>
      <w:r w:rsidR="0066171F" w:rsidRPr="000E1C62">
        <w:rPr>
          <w:rFonts w:asciiTheme="majorBidi" w:hAnsiTheme="majorBidi" w:cstheme="majorBidi"/>
          <w:bCs/>
        </w:rPr>
        <w:t xml:space="preserve"> </w:t>
      </w:r>
      <w:r w:rsidR="00EC6BE5" w:rsidRPr="000E1C62">
        <w:rPr>
          <w:rFonts w:asciiTheme="majorBidi" w:hAnsiTheme="majorBidi" w:cstheme="majorBidi"/>
          <w:bCs/>
        </w:rPr>
        <w:fldChar w:fldCharType="begin" w:fldLock="1"/>
      </w:r>
      <w:r w:rsidR="00EC6BE5" w:rsidRPr="000E1C62">
        <w:rPr>
          <w:rFonts w:asciiTheme="majorBidi" w:hAnsiTheme="majorBidi" w:cstheme="majorBidi"/>
          <w:bCs/>
        </w:rPr>
        <w:instrText>ADDIN CSL_CITATION { "citationItems" : [ { "id" : "ITEM-1", "itemData" : { "DOI" : "10.1016/j.molmet.2016.11.001", "ISBN" : "975-92250-1-8", "ISSN" : "22128778", "PMID" : "28123934", "abstract" : "Objective Fibroblast-growth factor 21 (FGF21) is thought to be important in metabolic regulation. Recently, low protein diets have been shown to increase circulating FGF21 levels. However, when energy contribution from dietary protein is lowered, other macronutrients, such as carbohydrates, must be increased to meet eucaloric balance. This raises the possibility that intake of a diet rich in carbohydrates may induce an increase in plasma FGF21 levels per se. Here we studied the role of dietary carbohydrates on the levels of circulating FGF21 and concomitant physiologic effects by feeding healthy men a carbohydrate rich diet without reducing protein intake. Methods A diet enriched in carbohydrates (80 E% carbohydrate; CHO) and a eucaloric control diet (CON) were provided to nine healthy men for three days. The energy intake during the CHO diet was increased (+75% energy) to ensure similar dietary protein intake in CHO and CON. To control for the effect of caloric surplus, we similarly overfed (+75% energy) the same subjects for three days with a fat-rich diet (78 E% fat; FAT), consisting of primarily unsaturated fatty acids. The three diets were provided in random order. Results After CHO, plasma FGF21 concentration increased 8-fold compared to CON (329 \u00b1 99 vs. 39 \u00b1 9 pg ml\u22121, p &lt; 0.05). In contrast, after FAT only a non-significant tendency (p = 0.073) to an increase in plasma FGF21 concentration was found. The increase in FGF21 concentration after CHO correlated closely (r = 0.88, p &lt; 0.01) with increased leg glucose uptake (62%, p &lt; 0.05) and increased hepatic glucose production (17%, p &lt; 0.01), indicating increased glucose turnover. Plasma fatty acid (FA) concentration was decreased by 68% (p &lt; 0.01), supported by reduced subcutaneous adipose tissue HSL Ser660phosphorylation (p &lt; 0.01) and perilipin 1 protein content (p &lt; 0.01), pointing to a suppression of adipose tissue lipolysis. Concomitantly, a 146% increase in the plasma marker of hepatic de novo lipogenesis C16:1 n\u22127 FA (p &lt; 0.01) was observed together with 101% increased plasma TG concentration (p &lt; 0.001) in association with CHO intake and increased plasma FGF21 concentration. Conclusion Excess dietary carbohydrate, but not fat, led to markedly increased FGF21 secretion in humans, notably without protein restriction, and affected glucose and lipid homeostais.", "author" : [ { "dropping-particle" : "", "family" : "Lundsgaard", "given" : "Anne-Marie", "non-dropping-particle" : "", "parse-names" : false, "suffix" : "" }, { "dropping-particle" : "", "family" : "Fritzen", "given" : "Andreas M.", "non-dropping-particle" : "", "parse-names" : false, "suffix" : "" }, { "dropping-particle" : "", "family" : "Sj\u00f8berg", "given" : "Kim A.", "non-dropping-particle" : "", "parse-names" : false, "suffix" : "" }, { "dropping-particle" : "", "family" : "Myrmel", "given" : "Lene S.", "non-dropping-particle" : "", "parse-names" : false, "suffix" : "" }, { "dropping-particle" : "", "family" : "Madsen", "given" : "Lise", "non-dropping-particle" : "", "parse-names" : false, "suffix" : "" }, { "dropping-particle" : "", "family" : "Wojtaszewski", "given" : "J\u00f8rgen F.P.", "non-dropping-particle" : "", "parse-names" : false, "suffix" : "" }, { "dropping-particle" : "", "family" : "Richter", "given" : "Erik A.", "non-dropping-particle" : "", "parse-names" : false, "suffix" : "" }, { "dropping-particle" : "", "family" : "Kiens", "given" : "Bente", "non-dropping-particle" : "", "parse-names" : false, "suffix" : "" } ], "container-title" : "Molecular Metabolism", "id" : "ITEM-1", "issue" : "1", "issued" : { "date-parts" : [ [ "2017", "1" ] ] }, "page" : "22-29", "publisher" : "Elsevier GmbH", "title" : "Circulating FGF21 in humans is potently induced by short term overfeeding of carbohydrates", "type" : "article-journal", "volume" : "6" }, "uris" : [ "http://www.mendeley.com/documents/?uuid=0bc799dd-53a3-4865-97d4-5ee1cec76fcb" ] } ], "mendeley" : { "formattedCitation" : "(41)", "plainTextFormattedCitation" : "(41)", "previouslyFormattedCitation" : "(41)" }, "properties" : { "noteIndex" : 17 }, "schema" : "https://github.com/citation-style-language/schema/raw/master/csl-citation.json" }</w:instrText>
      </w:r>
      <w:r w:rsidR="00EC6BE5" w:rsidRPr="000E1C62">
        <w:rPr>
          <w:rFonts w:asciiTheme="majorBidi" w:hAnsiTheme="majorBidi" w:cstheme="majorBidi"/>
          <w:bCs/>
        </w:rPr>
        <w:fldChar w:fldCharType="separate"/>
      </w:r>
      <w:r w:rsidR="00EC6BE5" w:rsidRPr="000E1C62">
        <w:rPr>
          <w:rFonts w:asciiTheme="majorBidi" w:hAnsiTheme="majorBidi" w:cstheme="majorBidi"/>
          <w:bCs/>
          <w:noProof/>
        </w:rPr>
        <w:t>(41)</w:t>
      </w:r>
      <w:r w:rsidR="00EC6BE5" w:rsidRPr="000E1C62">
        <w:rPr>
          <w:rFonts w:asciiTheme="majorBidi" w:hAnsiTheme="majorBidi" w:cstheme="majorBidi"/>
          <w:bCs/>
        </w:rPr>
        <w:fldChar w:fldCharType="end"/>
      </w:r>
      <w:r w:rsidR="00011EDF" w:rsidRPr="000E1C62">
        <w:rPr>
          <w:rFonts w:asciiTheme="majorBidi" w:hAnsiTheme="majorBidi" w:cstheme="majorBidi"/>
          <w:bCs/>
        </w:rPr>
        <w:t xml:space="preserve">, and retrospective analysis </w:t>
      </w:r>
      <w:r w:rsidR="0066171F" w:rsidRPr="000E1C62">
        <w:rPr>
          <w:rFonts w:asciiTheme="majorBidi" w:hAnsiTheme="majorBidi" w:cstheme="majorBidi"/>
          <w:bCs/>
        </w:rPr>
        <w:t xml:space="preserve">of the six participants who completed the HE-HFD </w:t>
      </w:r>
      <w:r w:rsidR="003472C7" w:rsidRPr="000E1C62">
        <w:rPr>
          <w:rFonts w:asciiTheme="majorBidi" w:hAnsiTheme="majorBidi" w:cstheme="majorBidi"/>
          <w:bCs/>
        </w:rPr>
        <w:t xml:space="preserve">first </w:t>
      </w:r>
      <w:r w:rsidR="00D60C75" w:rsidRPr="000E1C62">
        <w:rPr>
          <w:rFonts w:asciiTheme="majorBidi" w:hAnsiTheme="majorBidi" w:cstheme="majorBidi"/>
          <w:bCs/>
        </w:rPr>
        <w:t xml:space="preserve">showed </w:t>
      </w:r>
      <w:r w:rsidR="00856690" w:rsidRPr="000E1C62">
        <w:rPr>
          <w:rFonts w:asciiTheme="majorBidi" w:hAnsiTheme="majorBidi" w:cstheme="majorBidi"/>
          <w:bCs/>
        </w:rPr>
        <w:t xml:space="preserve">pre-diet </w:t>
      </w:r>
      <w:r w:rsidR="008A69D4" w:rsidRPr="000E1C62">
        <w:rPr>
          <w:rFonts w:asciiTheme="majorBidi" w:hAnsiTheme="majorBidi" w:cstheme="majorBidi"/>
          <w:bCs/>
        </w:rPr>
        <w:t xml:space="preserve">concentrations of all plasma analytes </w:t>
      </w:r>
      <w:r w:rsidR="00AC3022" w:rsidRPr="000E1C62">
        <w:rPr>
          <w:rFonts w:asciiTheme="majorBidi" w:hAnsiTheme="majorBidi" w:cstheme="majorBidi"/>
          <w:bCs/>
        </w:rPr>
        <w:t xml:space="preserve">were similar </w:t>
      </w:r>
      <w:r w:rsidR="007D01A4" w:rsidRPr="000E1C62">
        <w:rPr>
          <w:rFonts w:asciiTheme="majorBidi" w:hAnsiTheme="majorBidi" w:cstheme="majorBidi"/>
          <w:bCs/>
        </w:rPr>
        <w:t>prior to the</w:t>
      </w:r>
      <w:r w:rsidR="00AC3022" w:rsidRPr="000E1C62">
        <w:rPr>
          <w:rFonts w:asciiTheme="majorBidi" w:hAnsiTheme="majorBidi" w:cstheme="majorBidi"/>
          <w:bCs/>
        </w:rPr>
        <w:t xml:space="preserve"> two interventions</w:t>
      </w:r>
      <w:r w:rsidR="00B21F27" w:rsidRPr="000E1C62">
        <w:rPr>
          <w:rFonts w:asciiTheme="majorBidi" w:hAnsiTheme="majorBidi" w:cstheme="majorBidi"/>
          <w:bCs/>
        </w:rPr>
        <w:t xml:space="preserve"> (all </w:t>
      </w:r>
      <w:r w:rsidR="006115F4" w:rsidRPr="000E1C62">
        <w:rPr>
          <w:rFonts w:asciiTheme="majorBidi" w:hAnsiTheme="majorBidi" w:cstheme="majorBidi"/>
          <w:bCs/>
          <w:i/>
          <w:iCs/>
        </w:rPr>
        <w:t>P</w:t>
      </w:r>
      <w:r w:rsidR="006115F4" w:rsidRPr="000E1C62">
        <w:rPr>
          <w:rFonts w:asciiTheme="majorBidi" w:hAnsiTheme="majorBidi" w:cstheme="majorBidi"/>
          <w:bCs/>
        </w:rPr>
        <w:t xml:space="preserve"> &gt; 0.152)</w:t>
      </w:r>
      <w:r w:rsidR="007D01A4" w:rsidRPr="000E1C62">
        <w:rPr>
          <w:rFonts w:asciiTheme="majorBidi" w:hAnsiTheme="majorBidi" w:cstheme="majorBidi"/>
          <w:bCs/>
        </w:rPr>
        <w:t xml:space="preserve">. </w:t>
      </w:r>
      <w:r w:rsidR="00A56853" w:rsidRPr="000E1C62">
        <w:rPr>
          <w:rFonts w:asciiTheme="majorBidi" w:hAnsiTheme="majorBidi" w:cstheme="majorBidi"/>
          <w:bCs/>
        </w:rPr>
        <w:t xml:space="preserve">The extreme nature of </w:t>
      </w:r>
      <w:r w:rsidR="009E28E1" w:rsidRPr="000E1C62">
        <w:rPr>
          <w:rFonts w:asciiTheme="majorBidi" w:hAnsiTheme="majorBidi" w:cstheme="majorBidi"/>
          <w:bCs/>
        </w:rPr>
        <w:t>the</w:t>
      </w:r>
      <w:r w:rsidR="00A56853" w:rsidRPr="000E1C62">
        <w:rPr>
          <w:rFonts w:asciiTheme="majorBidi" w:hAnsiTheme="majorBidi" w:cstheme="majorBidi"/>
          <w:bCs/>
        </w:rPr>
        <w:t xml:space="preserve"> HE-HFD, which was deliberately employed to perturb metabolic homeostasis, must also be recognised. </w:t>
      </w:r>
      <w:r w:rsidR="00874B15" w:rsidRPr="000E1C62">
        <w:rPr>
          <w:rFonts w:asciiTheme="majorBidi" w:hAnsiTheme="majorBidi" w:cstheme="majorBidi"/>
          <w:bCs/>
        </w:rPr>
        <w:t>Furthermore</w:t>
      </w:r>
      <w:r w:rsidR="00A56853" w:rsidRPr="000E1C62">
        <w:rPr>
          <w:rFonts w:asciiTheme="majorBidi" w:hAnsiTheme="majorBidi" w:cstheme="majorBidi"/>
          <w:bCs/>
        </w:rPr>
        <w:t xml:space="preserve">, </w:t>
      </w:r>
      <w:r w:rsidR="00E73245" w:rsidRPr="000E1C62">
        <w:rPr>
          <w:rFonts w:asciiTheme="majorBidi" w:hAnsiTheme="majorBidi" w:cstheme="majorBidi"/>
          <w:bCs/>
        </w:rPr>
        <w:t>the</w:t>
      </w:r>
      <w:r w:rsidR="00A56853" w:rsidRPr="000E1C62">
        <w:rPr>
          <w:rFonts w:asciiTheme="majorBidi" w:hAnsiTheme="majorBidi" w:cstheme="majorBidi"/>
          <w:bCs/>
        </w:rPr>
        <w:t xml:space="preserve"> participant group only included healthy men and findings may therefore not generalise to women or individuals with metabolic conditions. </w:t>
      </w:r>
      <w:r w:rsidR="00790CD4" w:rsidRPr="000E1C62">
        <w:rPr>
          <w:rFonts w:asciiTheme="majorBidi" w:hAnsiTheme="majorBidi" w:cstheme="majorBidi"/>
          <w:bCs/>
        </w:rPr>
        <w:t xml:space="preserve">Moreover, additional studies are needed to explore </w:t>
      </w:r>
      <w:r w:rsidR="0042220E" w:rsidRPr="000E1C62">
        <w:rPr>
          <w:rFonts w:asciiTheme="majorBidi" w:hAnsiTheme="majorBidi" w:cstheme="majorBidi"/>
          <w:bCs/>
        </w:rPr>
        <w:t>how nutritional composition (</w:t>
      </w:r>
      <w:r w:rsidR="003E6323" w:rsidRPr="000E1C62">
        <w:rPr>
          <w:rFonts w:asciiTheme="majorBidi" w:hAnsiTheme="majorBidi" w:cstheme="majorBidi"/>
          <w:bCs/>
        </w:rPr>
        <w:t>e.g. carbohydrate vs fat</w:t>
      </w:r>
      <w:r w:rsidR="00644F2D" w:rsidRPr="000E1C62">
        <w:rPr>
          <w:rFonts w:asciiTheme="majorBidi" w:hAnsiTheme="majorBidi" w:cstheme="majorBidi"/>
          <w:bCs/>
        </w:rPr>
        <w:t>;</w:t>
      </w:r>
      <w:r w:rsidR="003E6323" w:rsidRPr="000E1C62">
        <w:rPr>
          <w:rFonts w:asciiTheme="majorBidi" w:hAnsiTheme="majorBidi" w:cstheme="majorBidi"/>
          <w:bCs/>
        </w:rPr>
        <w:t xml:space="preserve"> saturated vs unsaturated fat</w:t>
      </w:r>
      <w:r w:rsidR="00AD598C" w:rsidRPr="000E1C62">
        <w:rPr>
          <w:rFonts w:asciiTheme="majorBidi" w:hAnsiTheme="majorBidi" w:cstheme="majorBidi"/>
          <w:bCs/>
        </w:rPr>
        <w:t xml:space="preserve">) mediates hepatokine responses </w:t>
      </w:r>
      <w:r w:rsidR="00286E89" w:rsidRPr="000E1C62">
        <w:rPr>
          <w:rFonts w:asciiTheme="majorBidi" w:hAnsiTheme="majorBidi" w:cstheme="majorBidi"/>
          <w:bCs/>
        </w:rPr>
        <w:t xml:space="preserve">to overnutrition. </w:t>
      </w:r>
    </w:p>
    <w:p w14:paraId="07EB638E" w14:textId="1BB9C81A" w:rsidR="008E0B57" w:rsidRPr="00E7221F" w:rsidRDefault="00E74971" w:rsidP="00E7221F">
      <w:pPr>
        <w:spacing w:line="480" w:lineRule="auto"/>
        <w:jc w:val="both"/>
        <w:rPr>
          <w:rFonts w:asciiTheme="majorBidi" w:hAnsiTheme="majorBidi" w:cstheme="majorBidi"/>
          <w:bCs/>
        </w:rPr>
      </w:pPr>
      <w:r w:rsidRPr="000E1C62">
        <w:rPr>
          <w:rFonts w:asciiTheme="majorBidi" w:hAnsiTheme="majorBidi" w:cstheme="majorBidi"/>
          <w:bCs/>
        </w:rPr>
        <w:lastRenderedPageBreak/>
        <w:t xml:space="preserve">In conclusion, </w:t>
      </w:r>
      <w:r w:rsidR="002B4479" w:rsidRPr="000E1C62">
        <w:rPr>
          <w:rFonts w:asciiTheme="majorBidi" w:hAnsiTheme="majorBidi" w:cstheme="majorBidi"/>
          <w:bCs/>
        </w:rPr>
        <w:t xml:space="preserve">the present study demonstrates that circulating </w:t>
      </w:r>
      <w:r w:rsidR="00E7221F" w:rsidRPr="000E1C62">
        <w:rPr>
          <w:rFonts w:asciiTheme="majorBidi" w:hAnsiTheme="majorBidi" w:cstheme="majorBidi"/>
          <w:bCs/>
        </w:rPr>
        <w:t>FGF21</w:t>
      </w:r>
      <w:r w:rsidR="00CE0F99" w:rsidRPr="000E1C62">
        <w:rPr>
          <w:rFonts w:asciiTheme="majorBidi" w:hAnsiTheme="majorBidi" w:cstheme="majorBidi"/>
          <w:bCs/>
        </w:rPr>
        <w:t>,</w:t>
      </w:r>
      <w:r w:rsidR="002B4479" w:rsidRPr="000E1C62">
        <w:rPr>
          <w:rFonts w:asciiTheme="majorBidi" w:hAnsiTheme="majorBidi" w:cstheme="majorBidi"/>
          <w:bCs/>
        </w:rPr>
        <w:t xml:space="preserve"> </w:t>
      </w:r>
      <w:r w:rsidR="00D66E6A" w:rsidRPr="000E1C62">
        <w:rPr>
          <w:rFonts w:asciiTheme="majorBidi" w:hAnsiTheme="majorBidi" w:cstheme="majorBidi"/>
          <w:bCs/>
        </w:rPr>
        <w:t>LECT2</w:t>
      </w:r>
      <w:r w:rsidR="00CE0F99" w:rsidRPr="000E1C62">
        <w:rPr>
          <w:rFonts w:asciiTheme="majorBidi" w:hAnsiTheme="majorBidi" w:cstheme="majorBidi"/>
          <w:bCs/>
        </w:rPr>
        <w:t xml:space="preserve"> and fetuin-A</w:t>
      </w:r>
      <w:r w:rsidR="002B4479" w:rsidRPr="000E1C62">
        <w:rPr>
          <w:rFonts w:asciiTheme="majorBidi" w:hAnsiTheme="majorBidi" w:cstheme="majorBidi"/>
          <w:bCs/>
        </w:rPr>
        <w:t xml:space="preserve"> are elevated in response to</w:t>
      </w:r>
      <w:r w:rsidR="00673959" w:rsidRPr="000E1C62">
        <w:rPr>
          <w:rFonts w:asciiTheme="majorBidi" w:hAnsiTheme="majorBidi" w:cstheme="majorBidi"/>
          <w:bCs/>
        </w:rPr>
        <w:t xml:space="preserve"> acute hyper-energetic, high-fat feeding in healthy </w:t>
      </w:r>
      <w:r w:rsidR="00B7351F" w:rsidRPr="000E1C62">
        <w:rPr>
          <w:rFonts w:asciiTheme="majorBidi" w:hAnsiTheme="majorBidi" w:cstheme="majorBidi"/>
          <w:bCs/>
        </w:rPr>
        <w:t xml:space="preserve">males, whereas </w:t>
      </w:r>
      <w:r w:rsidR="00DB6C84" w:rsidRPr="000E1C62">
        <w:rPr>
          <w:rFonts w:asciiTheme="majorBidi" w:hAnsiTheme="majorBidi" w:cstheme="majorBidi"/>
          <w:bCs/>
        </w:rPr>
        <w:t xml:space="preserve">fetuin-B and SeP are not responsive to short-term overnutrition. Furthermore, </w:t>
      </w:r>
      <w:r w:rsidR="00F95BB6" w:rsidRPr="000E1C62">
        <w:rPr>
          <w:rFonts w:asciiTheme="majorBidi" w:hAnsiTheme="majorBidi" w:cstheme="majorBidi"/>
          <w:bCs/>
        </w:rPr>
        <w:t xml:space="preserve">these responses in circulating </w:t>
      </w:r>
      <w:r w:rsidR="00D66E6A" w:rsidRPr="000E1C62">
        <w:rPr>
          <w:rFonts w:asciiTheme="majorBidi" w:hAnsiTheme="majorBidi" w:cstheme="majorBidi"/>
          <w:bCs/>
        </w:rPr>
        <w:t>FGF21</w:t>
      </w:r>
      <w:r w:rsidR="00F95BB6" w:rsidRPr="000E1C62">
        <w:rPr>
          <w:rFonts w:asciiTheme="majorBidi" w:hAnsiTheme="majorBidi" w:cstheme="majorBidi"/>
          <w:bCs/>
        </w:rPr>
        <w:t xml:space="preserve"> and </w:t>
      </w:r>
      <w:r w:rsidR="00D66E6A" w:rsidRPr="000E1C62">
        <w:rPr>
          <w:rFonts w:asciiTheme="majorBidi" w:hAnsiTheme="majorBidi" w:cstheme="majorBidi"/>
          <w:bCs/>
        </w:rPr>
        <w:t>LECT2</w:t>
      </w:r>
      <w:r w:rsidR="00F95BB6" w:rsidRPr="000E1C62">
        <w:rPr>
          <w:rFonts w:asciiTheme="majorBidi" w:hAnsiTheme="majorBidi" w:cstheme="majorBidi"/>
          <w:bCs/>
        </w:rPr>
        <w:t xml:space="preserve"> occur </w:t>
      </w:r>
      <w:r w:rsidR="00FD7A5F" w:rsidRPr="000E1C62">
        <w:rPr>
          <w:rFonts w:asciiTheme="majorBidi" w:hAnsiTheme="majorBidi" w:cstheme="majorBidi"/>
          <w:bCs/>
        </w:rPr>
        <w:t xml:space="preserve">within 1-3 days of high-fat overfeeding; however, </w:t>
      </w:r>
      <w:r w:rsidR="00994899" w:rsidRPr="000E1C62">
        <w:rPr>
          <w:rFonts w:asciiTheme="majorBidi" w:hAnsiTheme="majorBidi" w:cstheme="majorBidi"/>
          <w:bCs/>
        </w:rPr>
        <w:t xml:space="preserve">the FGF21 response </w:t>
      </w:r>
      <w:r w:rsidR="002D35F2" w:rsidRPr="000E1C62">
        <w:rPr>
          <w:rFonts w:asciiTheme="majorBidi" w:hAnsiTheme="majorBidi" w:cstheme="majorBidi"/>
          <w:bCs/>
        </w:rPr>
        <w:t>is transient</w:t>
      </w:r>
      <w:r w:rsidR="00440D56" w:rsidRPr="000E1C62">
        <w:rPr>
          <w:rFonts w:asciiTheme="majorBidi" w:hAnsiTheme="majorBidi" w:cstheme="majorBidi"/>
          <w:bCs/>
        </w:rPr>
        <w:t xml:space="preserve">. </w:t>
      </w:r>
      <w:r w:rsidR="00D66E6A" w:rsidRPr="000E1C62">
        <w:rPr>
          <w:rFonts w:asciiTheme="majorBidi" w:hAnsiTheme="majorBidi" w:cstheme="majorBidi"/>
          <w:bCs/>
        </w:rPr>
        <w:t>Elevated FGF21 production could be an adaptive mechanism to limit diet-induced lipotoxicity and cellular</w:t>
      </w:r>
      <w:r w:rsidR="00D66E6A">
        <w:rPr>
          <w:rFonts w:asciiTheme="majorBidi" w:hAnsiTheme="majorBidi" w:cstheme="majorBidi"/>
          <w:bCs/>
        </w:rPr>
        <w:t xml:space="preserve"> stress; whilst increased LECT2 production may contribute to the early reduction of whole-body insulin sensitivity following overnutrition. </w:t>
      </w:r>
      <w:r w:rsidR="00DF5E99">
        <w:rPr>
          <w:rFonts w:asciiTheme="majorBidi" w:hAnsiTheme="majorBidi" w:cstheme="majorBidi"/>
          <w:bCs/>
        </w:rPr>
        <w:t xml:space="preserve">These findings </w:t>
      </w:r>
      <w:r w:rsidR="00D85C01">
        <w:rPr>
          <w:rFonts w:asciiTheme="majorBidi" w:hAnsiTheme="majorBidi" w:cstheme="majorBidi"/>
          <w:bCs/>
        </w:rPr>
        <w:t xml:space="preserve">broaden understanding </w:t>
      </w:r>
      <w:r w:rsidR="00403D8E">
        <w:rPr>
          <w:rFonts w:asciiTheme="majorBidi" w:hAnsiTheme="majorBidi" w:cstheme="majorBidi"/>
          <w:bCs/>
        </w:rPr>
        <w:t>about</w:t>
      </w:r>
      <w:r w:rsidR="00D85C01">
        <w:rPr>
          <w:rFonts w:asciiTheme="majorBidi" w:hAnsiTheme="majorBidi" w:cstheme="majorBidi"/>
          <w:bCs/>
        </w:rPr>
        <w:t xml:space="preserve"> the regulation of hepatokines in humans and their association with metabolic homeostasis.</w:t>
      </w:r>
      <w:r w:rsidR="008E0B57">
        <w:rPr>
          <w:rFonts w:asciiTheme="majorBidi" w:hAnsiTheme="majorBidi" w:cstheme="majorBidi"/>
          <w:b/>
          <w:bCs/>
        </w:rPr>
        <w:br w:type="page"/>
      </w:r>
    </w:p>
    <w:p w14:paraId="71119B3A" w14:textId="3473A114" w:rsidR="007B6986" w:rsidRDefault="006179FB" w:rsidP="00374A1C">
      <w:pPr>
        <w:spacing w:line="480" w:lineRule="auto"/>
        <w:jc w:val="both"/>
        <w:rPr>
          <w:rFonts w:asciiTheme="majorBidi" w:hAnsiTheme="majorBidi" w:cstheme="majorBidi"/>
          <w:bCs/>
        </w:rPr>
        <w:sectPr w:rsidR="007B6986" w:rsidSect="007B6986">
          <w:pgSz w:w="11906" w:h="16838"/>
          <w:pgMar w:top="1440" w:right="1440" w:bottom="1440" w:left="1440" w:header="708" w:footer="708" w:gutter="0"/>
          <w:lnNumType w:countBy="1" w:restart="continuous"/>
          <w:cols w:space="708"/>
          <w:docGrid w:linePitch="360"/>
        </w:sectPr>
      </w:pPr>
      <w:r>
        <w:rPr>
          <w:rFonts w:asciiTheme="majorBidi" w:hAnsiTheme="majorBidi" w:cstheme="majorBidi"/>
          <w:b/>
          <w:bCs/>
        </w:rPr>
        <w:lastRenderedPageBreak/>
        <w:t xml:space="preserve">Acknowledgements: </w:t>
      </w:r>
      <w:r w:rsidR="00B70D67">
        <w:rPr>
          <w:rFonts w:asciiTheme="majorBidi" w:hAnsiTheme="majorBidi" w:cstheme="majorBidi"/>
          <w:bCs/>
        </w:rPr>
        <w:t xml:space="preserve">The authors would like to thank </w:t>
      </w:r>
      <w:r w:rsidR="00126DDC">
        <w:rPr>
          <w:rFonts w:asciiTheme="majorBidi" w:hAnsiTheme="majorBidi" w:cstheme="majorBidi"/>
          <w:bCs/>
        </w:rPr>
        <w:t xml:space="preserve">Miss Katharina Rüttger for her assistance </w:t>
      </w:r>
      <w:r w:rsidR="00FC1048">
        <w:rPr>
          <w:rFonts w:asciiTheme="majorBidi" w:hAnsiTheme="majorBidi" w:cstheme="majorBidi"/>
          <w:bCs/>
        </w:rPr>
        <w:t xml:space="preserve">during </w:t>
      </w:r>
      <w:r w:rsidR="00214BE7">
        <w:rPr>
          <w:rFonts w:asciiTheme="majorBidi" w:hAnsiTheme="majorBidi" w:cstheme="majorBidi"/>
          <w:bCs/>
        </w:rPr>
        <w:t>data collection</w:t>
      </w:r>
      <w:r w:rsidR="002F1CCB">
        <w:rPr>
          <w:rFonts w:asciiTheme="majorBidi" w:hAnsiTheme="majorBidi" w:cstheme="majorBidi"/>
          <w:bCs/>
        </w:rPr>
        <w:t xml:space="preserve"> and all the s</w:t>
      </w:r>
      <w:r w:rsidR="007A6379">
        <w:rPr>
          <w:rFonts w:asciiTheme="majorBidi" w:hAnsiTheme="majorBidi" w:cstheme="majorBidi"/>
          <w:bCs/>
        </w:rPr>
        <w:t>tudy</w:t>
      </w:r>
      <w:r w:rsidR="002F1CCB">
        <w:rPr>
          <w:rFonts w:asciiTheme="majorBidi" w:hAnsiTheme="majorBidi" w:cstheme="majorBidi"/>
          <w:bCs/>
        </w:rPr>
        <w:t xml:space="preserve"> part</w:t>
      </w:r>
      <w:r w:rsidR="007A6379">
        <w:rPr>
          <w:rFonts w:asciiTheme="majorBidi" w:hAnsiTheme="majorBidi" w:cstheme="majorBidi"/>
          <w:bCs/>
        </w:rPr>
        <w:t>icipants for their commitment to the researc</w:t>
      </w:r>
      <w:r w:rsidR="00B96711">
        <w:rPr>
          <w:rFonts w:asciiTheme="majorBidi" w:hAnsiTheme="majorBidi" w:cstheme="majorBidi"/>
          <w:bCs/>
        </w:rPr>
        <w:t>h.</w:t>
      </w:r>
      <w:r w:rsidR="002828A4">
        <w:rPr>
          <w:rFonts w:asciiTheme="majorBidi" w:hAnsiTheme="majorBidi" w:cstheme="majorBidi"/>
          <w:bCs/>
        </w:rPr>
        <w:t xml:space="preserve"> </w:t>
      </w:r>
      <w:r w:rsidR="00EC2F78">
        <w:rPr>
          <w:rFonts w:asciiTheme="majorBidi" w:hAnsiTheme="majorBidi" w:cstheme="majorBidi"/>
          <w:bCs/>
        </w:rPr>
        <w:t xml:space="preserve"> The authors’ responsibilities were as follow</w:t>
      </w:r>
      <w:r w:rsidR="00922337">
        <w:rPr>
          <w:rFonts w:asciiTheme="majorBidi" w:hAnsiTheme="majorBidi" w:cstheme="majorBidi"/>
          <w:bCs/>
        </w:rPr>
        <w:t>s</w:t>
      </w:r>
      <w:r w:rsidR="00ED5921" w:rsidRPr="00ED5921">
        <w:rPr>
          <w:rFonts w:ascii="Times New Roman" w:hAnsi="Times New Roman" w:cs="Times New Roman"/>
          <w:color w:val="2A2A2A"/>
          <w:shd w:val="clear" w:color="auto" w:fill="FFFFFF"/>
        </w:rPr>
        <w:t>—</w:t>
      </w:r>
      <w:r w:rsidR="00922337">
        <w:rPr>
          <w:rFonts w:asciiTheme="majorBidi" w:hAnsiTheme="majorBidi" w:cstheme="majorBidi"/>
          <w:bCs/>
        </w:rPr>
        <w:t>S</w:t>
      </w:r>
      <w:r w:rsidR="00AB5A75">
        <w:rPr>
          <w:rFonts w:asciiTheme="majorBidi" w:hAnsiTheme="majorBidi" w:cstheme="majorBidi"/>
          <w:bCs/>
        </w:rPr>
        <w:t>AW,</w:t>
      </w:r>
      <w:r w:rsidR="00672A2B">
        <w:rPr>
          <w:rFonts w:asciiTheme="majorBidi" w:hAnsiTheme="majorBidi" w:cstheme="majorBidi"/>
          <w:bCs/>
        </w:rPr>
        <w:t xml:space="preserve"> JAS, </w:t>
      </w:r>
      <w:r w:rsidR="007D5EEA">
        <w:rPr>
          <w:rFonts w:asciiTheme="majorBidi" w:hAnsiTheme="majorBidi" w:cstheme="majorBidi"/>
          <w:bCs/>
        </w:rPr>
        <w:t>SAP, DJS, R</w:t>
      </w:r>
      <w:r w:rsidR="009936EC">
        <w:rPr>
          <w:rFonts w:asciiTheme="majorBidi" w:hAnsiTheme="majorBidi" w:cstheme="majorBidi"/>
          <w:bCs/>
        </w:rPr>
        <w:t>M</w:t>
      </w:r>
      <w:r w:rsidR="007D5EEA">
        <w:rPr>
          <w:rFonts w:asciiTheme="majorBidi" w:hAnsiTheme="majorBidi" w:cstheme="majorBidi"/>
          <w:bCs/>
        </w:rPr>
        <w:t>W, CJH, GPA</w:t>
      </w:r>
      <w:r w:rsidR="00F15173">
        <w:rPr>
          <w:rFonts w:asciiTheme="majorBidi" w:hAnsiTheme="majorBidi" w:cstheme="majorBidi"/>
          <w:bCs/>
        </w:rPr>
        <w:t>,</w:t>
      </w:r>
      <w:r w:rsidR="009936EC">
        <w:rPr>
          <w:rFonts w:asciiTheme="majorBidi" w:hAnsiTheme="majorBidi" w:cstheme="majorBidi"/>
          <w:bCs/>
        </w:rPr>
        <w:t xml:space="preserve"> and JAK</w:t>
      </w:r>
      <w:r w:rsidR="00F15173">
        <w:rPr>
          <w:rFonts w:asciiTheme="majorBidi" w:hAnsiTheme="majorBidi" w:cstheme="majorBidi"/>
          <w:bCs/>
        </w:rPr>
        <w:t>: designed the research</w:t>
      </w:r>
      <w:r w:rsidR="00FC1C09">
        <w:rPr>
          <w:rFonts w:asciiTheme="majorBidi" w:hAnsiTheme="majorBidi" w:cstheme="majorBidi"/>
          <w:bCs/>
        </w:rPr>
        <w:t xml:space="preserve">; SAW, VG, EB, JC, and JAK: conducted the research; </w:t>
      </w:r>
      <w:r w:rsidR="00632999">
        <w:rPr>
          <w:rFonts w:asciiTheme="majorBidi" w:hAnsiTheme="majorBidi" w:cstheme="majorBidi"/>
          <w:bCs/>
        </w:rPr>
        <w:t xml:space="preserve">VVM: provided essential materials; </w:t>
      </w:r>
      <w:r w:rsidR="0000683F">
        <w:rPr>
          <w:rFonts w:asciiTheme="majorBidi" w:hAnsiTheme="majorBidi" w:cstheme="majorBidi"/>
          <w:bCs/>
        </w:rPr>
        <w:t>SAW, TY, TT, and HT</w:t>
      </w:r>
      <w:r w:rsidR="001E7295">
        <w:rPr>
          <w:rFonts w:asciiTheme="majorBidi" w:hAnsiTheme="majorBidi" w:cstheme="majorBidi"/>
          <w:bCs/>
        </w:rPr>
        <w:t>:</w:t>
      </w:r>
      <w:r w:rsidR="0059437B">
        <w:rPr>
          <w:rFonts w:asciiTheme="majorBidi" w:hAnsiTheme="majorBidi" w:cstheme="majorBidi"/>
          <w:bCs/>
        </w:rPr>
        <w:t xml:space="preserve"> </w:t>
      </w:r>
      <w:proofErr w:type="spellStart"/>
      <w:r w:rsidR="0059437B">
        <w:rPr>
          <w:rFonts w:asciiTheme="majorBidi" w:hAnsiTheme="majorBidi" w:cstheme="majorBidi"/>
          <w:bCs/>
        </w:rPr>
        <w:t>analyzed</w:t>
      </w:r>
      <w:proofErr w:type="spellEnd"/>
      <w:r w:rsidR="0059437B">
        <w:rPr>
          <w:rFonts w:asciiTheme="majorBidi" w:hAnsiTheme="majorBidi" w:cstheme="majorBidi"/>
          <w:bCs/>
        </w:rPr>
        <w:t xml:space="preserve"> data and/or</w:t>
      </w:r>
      <w:r w:rsidR="001E7295">
        <w:rPr>
          <w:rFonts w:asciiTheme="majorBidi" w:hAnsiTheme="majorBidi" w:cstheme="majorBidi"/>
          <w:bCs/>
        </w:rPr>
        <w:t xml:space="preserve"> performed statistical analysis; </w:t>
      </w:r>
      <w:r w:rsidR="0001430C">
        <w:rPr>
          <w:rFonts w:asciiTheme="majorBidi" w:hAnsiTheme="majorBidi" w:cstheme="majorBidi"/>
          <w:bCs/>
        </w:rPr>
        <w:t xml:space="preserve">SAW, JAS, TY, SAP, AET, DJS, CJH, GPA, and JAK: </w:t>
      </w:r>
      <w:r w:rsidR="00175E12">
        <w:rPr>
          <w:rFonts w:asciiTheme="majorBidi" w:hAnsiTheme="majorBidi" w:cstheme="majorBidi"/>
          <w:bCs/>
        </w:rPr>
        <w:t xml:space="preserve">wrote the </w:t>
      </w:r>
      <w:r w:rsidR="001025D9">
        <w:rPr>
          <w:rFonts w:asciiTheme="majorBidi" w:hAnsiTheme="majorBidi" w:cstheme="majorBidi"/>
          <w:bCs/>
        </w:rPr>
        <w:t>paper</w:t>
      </w:r>
      <w:r w:rsidR="00175E12">
        <w:rPr>
          <w:rFonts w:asciiTheme="majorBidi" w:hAnsiTheme="majorBidi" w:cstheme="majorBidi"/>
          <w:bCs/>
        </w:rPr>
        <w:t>; JAK: had primary responsibility for final content</w:t>
      </w:r>
      <w:r w:rsidR="004028C5">
        <w:rPr>
          <w:rFonts w:asciiTheme="majorBidi" w:hAnsiTheme="majorBidi" w:cstheme="majorBidi"/>
          <w:bCs/>
        </w:rPr>
        <w:t xml:space="preserve">; all authors have read and approved the final manuscript. </w:t>
      </w:r>
    </w:p>
    <w:p w14:paraId="1F6EE80C" w14:textId="77777777" w:rsidR="008A6146" w:rsidRDefault="008A6146" w:rsidP="007275DD">
      <w:pPr>
        <w:spacing w:line="480" w:lineRule="auto"/>
        <w:jc w:val="both"/>
        <w:rPr>
          <w:rFonts w:asciiTheme="majorBidi" w:hAnsiTheme="majorBidi" w:cstheme="majorBidi"/>
          <w:bCs/>
        </w:rPr>
      </w:pPr>
      <w:r>
        <w:rPr>
          <w:rFonts w:asciiTheme="majorBidi" w:hAnsiTheme="majorBidi" w:cstheme="majorBidi"/>
          <w:b/>
          <w:bCs/>
        </w:rPr>
        <w:lastRenderedPageBreak/>
        <w:t>References</w:t>
      </w:r>
    </w:p>
    <w:p w14:paraId="279422C1" w14:textId="546CA8AE" w:rsidR="007B52A5" w:rsidRPr="007B52A5" w:rsidRDefault="00244261" w:rsidP="007B52A5">
      <w:pPr>
        <w:widowControl w:val="0"/>
        <w:autoSpaceDE w:val="0"/>
        <w:autoSpaceDN w:val="0"/>
        <w:adjustRightInd w:val="0"/>
        <w:spacing w:line="480" w:lineRule="auto"/>
        <w:ind w:left="640" w:hanging="640"/>
        <w:rPr>
          <w:rFonts w:ascii="Times New Roman" w:hAnsi="Times New Roman" w:cs="Times New Roman"/>
          <w:noProof/>
        </w:rPr>
      </w:pPr>
      <w:r>
        <w:rPr>
          <w:rFonts w:asciiTheme="majorBidi" w:hAnsiTheme="majorBidi" w:cstheme="majorBidi"/>
          <w:bCs/>
        </w:rPr>
        <w:fldChar w:fldCharType="begin" w:fldLock="1"/>
      </w:r>
      <w:r>
        <w:rPr>
          <w:rFonts w:asciiTheme="majorBidi" w:hAnsiTheme="majorBidi" w:cstheme="majorBidi"/>
          <w:bCs/>
        </w:rPr>
        <w:instrText xml:space="preserve">ADDIN Mendeley Bibliography CSL_BIBLIOGRAPHY </w:instrText>
      </w:r>
      <w:r>
        <w:rPr>
          <w:rFonts w:asciiTheme="majorBidi" w:hAnsiTheme="majorBidi" w:cstheme="majorBidi"/>
          <w:bCs/>
        </w:rPr>
        <w:fldChar w:fldCharType="separate"/>
      </w:r>
      <w:r w:rsidR="007B52A5" w:rsidRPr="007B52A5">
        <w:rPr>
          <w:rFonts w:ascii="Times New Roman" w:hAnsi="Times New Roman" w:cs="Times New Roman"/>
          <w:noProof/>
        </w:rPr>
        <w:t xml:space="preserve">1. </w:t>
      </w:r>
      <w:r w:rsidR="007B52A5" w:rsidRPr="007B52A5">
        <w:rPr>
          <w:rFonts w:ascii="Times New Roman" w:hAnsi="Times New Roman" w:cs="Times New Roman"/>
          <w:noProof/>
        </w:rPr>
        <w:tab/>
        <w:t>Meex RCR, Watt MJ. Hepatokines: linking nonalcoholic fatty liver disease and insulin resistance. Nat Rev Endocrinol 2017;13:509–20.</w:t>
      </w:r>
    </w:p>
    <w:p w14:paraId="79061E00" w14:textId="2B8C4D67"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 </w:t>
      </w:r>
      <w:r w:rsidRPr="007B52A5">
        <w:rPr>
          <w:rFonts w:ascii="Times New Roman" w:hAnsi="Times New Roman" w:cs="Times New Roman"/>
          <w:noProof/>
        </w:rPr>
        <w:tab/>
        <w:t>Gancheva S, Jelenik T, Álvarez-Hernández E, Roden M. Interorgan Metabolic Crosstalk in Human Insulin Resistance. Physiol Rev 2018;98:1371–415.</w:t>
      </w:r>
    </w:p>
    <w:p w14:paraId="7AB9E8AC" w14:textId="2F6CD3E9"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 </w:t>
      </w:r>
      <w:r w:rsidRPr="007B52A5">
        <w:rPr>
          <w:rFonts w:ascii="Times New Roman" w:hAnsi="Times New Roman" w:cs="Times New Roman"/>
          <w:noProof/>
        </w:rPr>
        <w:tab/>
        <w:t>Lai KKY, Kolippakkam D, Beretta L. Comprehensive and quantitative proteome profiling of the mouse liver and plasma. Hepatology 2008;47:1043–51.</w:t>
      </w:r>
    </w:p>
    <w:p w14:paraId="4920064B" w14:textId="44510AE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 </w:t>
      </w:r>
      <w:r w:rsidRPr="007B52A5">
        <w:rPr>
          <w:rFonts w:ascii="Times New Roman" w:hAnsi="Times New Roman" w:cs="Times New Roman"/>
          <w:noProof/>
        </w:rPr>
        <w:tab/>
        <w:t>Meex RC, Hoy AJ, Morris A, Brown RD, Lo JCY, Burke M, Goode RJA, Kingwell BA, Kraakman MJ, Febbraio MA, et al. Fetuin B Is a Secreted Hepatocyte Factor Linking Steatosis to Impaired Glucose Metabolism. Cell Metab 2015;22:1078–89.</w:t>
      </w:r>
    </w:p>
    <w:p w14:paraId="6C9E562B" w14:textId="08322BFC"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 </w:t>
      </w:r>
      <w:r w:rsidRPr="007B52A5">
        <w:rPr>
          <w:rFonts w:ascii="Times New Roman" w:hAnsi="Times New Roman" w:cs="Times New Roman"/>
          <w:noProof/>
        </w:rPr>
        <w:tab/>
        <w:t>Stefan N, Hennige AM, Staiger H, Machann J, Schick F, Kröber SM, Machicao F, Fritsche A, Häring H-U. Alpha2-Heremans-Schmid glycoprotein/fetuin-A is associated with insulin resistance and fat accumulation in the liver in humans. Diabetes Care 2006;29:853–7.</w:t>
      </w:r>
    </w:p>
    <w:p w14:paraId="115C912E" w14:textId="1F31AB18"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 </w:t>
      </w:r>
      <w:r w:rsidRPr="007B52A5">
        <w:rPr>
          <w:rFonts w:ascii="Times New Roman" w:hAnsi="Times New Roman" w:cs="Times New Roman"/>
          <w:noProof/>
        </w:rPr>
        <w:tab/>
        <w:t>Misu H, Ishikura K, Kurita S, Takeshita Y, Ota T, Saito Y, Takahashi K, Kaneko S, Takamura T. Inverse Correlation between Serum Levels of Selenoprotein P and Adiponectin in Patients with Type 2 Diabetes.</w:t>
      </w:r>
      <w:r w:rsidR="00E75041">
        <w:rPr>
          <w:rFonts w:ascii="Times New Roman" w:hAnsi="Times New Roman" w:cs="Times New Roman"/>
          <w:noProof/>
        </w:rPr>
        <w:t xml:space="preserve"> </w:t>
      </w:r>
      <w:r w:rsidRPr="007B52A5">
        <w:rPr>
          <w:rFonts w:ascii="Times New Roman" w:hAnsi="Times New Roman" w:cs="Times New Roman"/>
          <w:noProof/>
        </w:rPr>
        <w:t>PLoS One</w:t>
      </w:r>
      <w:r w:rsidR="00E75041">
        <w:rPr>
          <w:rFonts w:ascii="Times New Roman" w:hAnsi="Times New Roman" w:cs="Times New Roman"/>
          <w:noProof/>
        </w:rPr>
        <w:t xml:space="preserve"> </w:t>
      </w:r>
      <w:r w:rsidRPr="007B52A5">
        <w:rPr>
          <w:rFonts w:ascii="Times New Roman" w:hAnsi="Times New Roman" w:cs="Times New Roman"/>
          <w:noProof/>
        </w:rPr>
        <w:t>2012;7:e34952.</w:t>
      </w:r>
    </w:p>
    <w:p w14:paraId="273A585F" w14:textId="7E785369"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7. </w:t>
      </w:r>
      <w:r w:rsidRPr="007B52A5">
        <w:rPr>
          <w:rFonts w:ascii="Times New Roman" w:hAnsi="Times New Roman" w:cs="Times New Roman"/>
          <w:noProof/>
        </w:rPr>
        <w:tab/>
        <w:t>Lan F, Misu H, Chikamoto K, Takayama H, Kikuchi A, Mohri K, Takata N, Hayashi H, Matsuzawa-Nagata N, Takeshita Y, et al. LECT2 Functions as a Hepatokine That Links Obesity to Skeletal Muscle Insulin Resistance. Diabetes 2014;63:1649–64.</w:t>
      </w:r>
    </w:p>
    <w:p w14:paraId="045CF302" w14:textId="3ECBBB7C"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8. </w:t>
      </w:r>
      <w:r w:rsidRPr="007B52A5">
        <w:rPr>
          <w:rFonts w:ascii="Times New Roman" w:hAnsi="Times New Roman" w:cs="Times New Roman"/>
          <w:noProof/>
        </w:rPr>
        <w:tab/>
        <w:t>Markan KR, Potthoff MJ. Metabolic fibroblast growth factors (FGFs): Mediators of energy homeostasis. Semin Cell Dev Biol 2016;53:85–93.</w:t>
      </w:r>
    </w:p>
    <w:p w14:paraId="7CE33391" w14:textId="012C9B15"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9. </w:t>
      </w:r>
      <w:r w:rsidRPr="007B52A5">
        <w:rPr>
          <w:rFonts w:ascii="Times New Roman" w:hAnsi="Times New Roman" w:cs="Times New Roman"/>
          <w:noProof/>
        </w:rPr>
        <w:tab/>
        <w:t>Kharitonenkov A, Adams AC. Inventing new medicines: The FGF21 story. Mol Metab 2014;3:221–9.</w:t>
      </w:r>
    </w:p>
    <w:p w14:paraId="333E4972" w14:textId="08B42F7D"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10. </w:t>
      </w:r>
      <w:r w:rsidRPr="007B52A5">
        <w:rPr>
          <w:rFonts w:ascii="Times New Roman" w:hAnsi="Times New Roman" w:cs="Times New Roman"/>
          <w:noProof/>
        </w:rPr>
        <w:tab/>
        <w:t>Mita Y, Nakayama K, Inari S, Nishito Y, Yoshioka Y, Sakai N, Sotani K, Nagamura T, Kuzuhara Y, Inagaki K, et al. Selenoprotein P-neutralizing antibodies improve insulin secretion and glucose sensitivity in type 2 diabetes mouse models. Nat Commun 2017;8:1658.</w:t>
      </w:r>
    </w:p>
    <w:p w14:paraId="77947958" w14:textId="64E82769"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11. </w:t>
      </w:r>
      <w:r w:rsidRPr="007B52A5">
        <w:rPr>
          <w:rFonts w:ascii="Times New Roman" w:hAnsi="Times New Roman" w:cs="Times New Roman"/>
          <w:noProof/>
        </w:rPr>
        <w:tab/>
        <w:t>Younossi ZM, Baranova A, Ziegler K, Del Giacco L, Schlauch K, Born TL, Elariny H, Gorreta F, VanMeter A, Younoszai A, et al. A genomic and proteomic study of the spectrum of nonalcoholic fatty liver disease. Hepatology</w:t>
      </w:r>
      <w:r w:rsidR="005D50EA">
        <w:rPr>
          <w:rFonts w:ascii="Times New Roman" w:hAnsi="Times New Roman" w:cs="Times New Roman"/>
          <w:noProof/>
        </w:rPr>
        <w:t xml:space="preserve"> </w:t>
      </w:r>
      <w:r w:rsidRPr="007B52A5">
        <w:rPr>
          <w:rFonts w:ascii="Times New Roman" w:hAnsi="Times New Roman" w:cs="Times New Roman"/>
          <w:noProof/>
        </w:rPr>
        <w:t>2005;42:665–74</w:t>
      </w:r>
      <w:r w:rsidR="005D50EA">
        <w:rPr>
          <w:rFonts w:ascii="Times New Roman" w:hAnsi="Times New Roman" w:cs="Times New Roman"/>
          <w:noProof/>
        </w:rPr>
        <w:t>.</w:t>
      </w:r>
    </w:p>
    <w:p w14:paraId="16002A7E" w14:textId="37C3863B"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12. </w:t>
      </w:r>
      <w:r w:rsidRPr="007B52A5">
        <w:rPr>
          <w:rFonts w:ascii="Times New Roman" w:hAnsi="Times New Roman" w:cs="Times New Roman"/>
          <w:noProof/>
        </w:rPr>
        <w:tab/>
        <w:t>Kirpich IA, Gobejishvili LN, Homme MB, Waigel S, Cave M, Arteel G, Barve SS, McClain CJ, Deaciuc I V. Integrated hepatic transcriptome and proteome analysis of mice with high-fat diet-induced nonalcoholic fatty liver disease. J Nutr Biochem 2011;22:38–45.</w:t>
      </w:r>
    </w:p>
    <w:p w14:paraId="1F6AF1A0" w14:textId="352ED4B6"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13. </w:t>
      </w:r>
      <w:r w:rsidRPr="007B52A5">
        <w:rPr>
          <w:rFonts w:ascii="Times New Roman" w:hAnsi="Times New Roman" w:cs="Times New Roman"/>
          <w:noProof/>
        </w:rPr>
        <w:tab/>
        <w:t>Fu S, Fan J, Blanco J, Gimenez-Cassina A, Danial NN, Watkins SM, Hotamisligil GS. Polysome Profiling in Liver Identifies Dynamic Regulation of Endoplasmic Reticulum Translatome by Obesity and Fasting. PLoS Genet 2012;8:e1002902.</w:t>
      </w:r>
    </w:p>
    <w:p w14:paraId="64C45666" w14:textId="5FDC0AFC"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14. </w:t>
      </w:r>
      <w:r w:rsidRPr="007B52A5">
        <w:rPr>
          <w:rFonts w:ascii="Times New Roman" w:hAnsi="Times New Roman" w:cs="Times New Roman"/>
          <w:noProof/>
        </w:rPr>
        <w:tab/>
        <w:t>Jung TW, Chung YH, Kim H-C, Abd El-Aty AM, Jeong JH. LECT2 promotes inflammation and insulin resistance in adipocytes via P38 pathways. J Mol Endocrinol 2018;61:37–45.</w:t>
      </w:r>
    </w:p>
    <w:p w14:paraId="5B3367A3" w14:textId="30346636"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15. </w:t>
      </w:r>
      <w:r w:rsidRPr="007B52A5">
        <w:rPr>
          <w:rFonts w:ascii="Times New Roman" w:hAnsi="Times New Roman" w:cs="Times New Roman"/>
          <w:noProof/>
        </w:rPr>
        <w:tab/>
        <w:t>Chikamoto K, Misu H, Takayama H, Kikuchi A, Ishii K, Lan F, Takata N, Tajima-Shirasaki N, Takeshita Y, Tsugane H, et al. Rapid response of the steatosis-sensing hepatokine LECT2 during diet-induced weight cycling in mice. Biochem Biophys Res Commun 2016;478:1310–6.</w:t>
      </w:r>
    </w:p>
    <w:p w14:paraId="5E1BB739" w14:textId="76644041"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16. </w:t>
      </w:r>
      <w:r w:rsidRPr="007B52A5">
        <w:rPr>
          <w:rFonts w:ascii="Times New Roman" w:hAnsi="Times New Roman" w:cs="Times New Roman"/>
          <w:noProof/>
        </w:rPr>
        <w:tab/>
        <w:t>Trepanowski JF, Mey J, Varady KA. Fetuin-A: a novel link between obesity and related complications. Int J Obes 2015;39:734–41.</w:t>
      </w:r>
    </w:p>
    <w:p w14:paraId="6850EBD5" w14:textId="163167B1"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17. </w:t>
      </w:r>
      <w:r w:rsidRPr="007B52A5">
        <w:rPr>
          <w:rFonts w:ascii="Times New Roman" w:hAnsi="Times New Roman" w:cs="Times New Roman"/>
          <w:noProof/>
        </w:rPr>
        <w:tab/>
        <w:t>Takayama H, Misu H, Iwama H, Chikamoto K, Saito Y, Murao K, Teraguchi A, Lan F, Kikuchi A, Saito R, et al. Metformin Suppresses Expression of the Selenoprotein P Gene via an AMP-activated Kinase (AMPK)/FoxO3a Pathway in H4IIEC3 Hepatocytes. J Biol Chem 2014;289:335–45.</w:t>
      </w:r>
    </w:p>
    <w:p w14:paraId="03743A53" w14:textId="54FF02EF"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18. </w:t>
      </w:r>
      <w:r w:rsidRPr="007B52A5">
        <w:rPr>
          <w:rFonts w:ascii="Times New Roman" w:hAnsi="Times New Roman" w:cs="Times New Roman"/>
          <w:noProof/>
        </w:rPr>
        <w:tab/>
        <w:t>Slowik V, Apte U. Leukocyte Cell-Derived Chemotaxin-2: It’s Role in Pathophysiology and Future in Clinical Medicine. Clin Transl Sci</w:t>
      </w:r>
      <w:r w:rsidR="00B6159E">
        <w:rPr>
          <w:rFonts w:ascii="Times New Roman" w:hAnsi="Times New Roman" w:cs="Times New Roman"/>
          <w:noProof/>
        </w:rPr>
        <w:t xml:space="preserve"> </w:t>
      </w:r>
      <w:r w:rsidRPr="007B52A5">
        <w:rPr>
          <w:rFonts w:ascii="Times New Roman" w:hAnsi="Times New Roman" w:cs="Times New Roman"/>
          <w:noProof/>
        </w:rPr>
        <w:t>2017;10:249–59.</w:t>
      </w:r>
    </w:p>
    <w:p w14:paraId="1CEE43DE" w14:textId="7BC4116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19. </w:t>
      </w:r>
      <w:r w:rsidRPr="007B52A5">
        <w:rPr>
          <w:rFonts w:ascii="Times New Roman" w:hAnsi="Times New Roman" w:cs="Times New Roman"/>
          <w:noProof/>
        </w:rPr>
        <w:tab/>
        <w:t>Inagaki T, Dutchak P, Zhao G, Ding X, Gautron L, Parameswara V, Li Y, Goetz R, Mohammadi M, Esser V, et al. Endocrine Regulation of the Fasting Response by PPARα-Mediated Induction of Fibroblast Growth Factor 21. Cell Metab 2007;5:415–25.</w:t>
      </w:r>
    </w:p>
    <w:p w14:paraId="7BAE5A96" w14:textId="7677B86E"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20. </w:t>
      </w:r>
      <w:r w:rsidRPr="007B52A5">
        <w:rPr>
          <w:rFonts w:ascii="Times New Roman" w:hAnsi="Times New Roman" w:cs="Times New Roman"/>
          <w:noProof/>
        </w:rPr>
        <w:tab/>
        <w:t>Laeger T, Henagan TM, Albarado DC, Redman LM, Bray GA, Noland RC, Münzberg H, Hutson SM, Gettys TW, Schwartz MW, et al. FGF21 is an endocrine signal of protein restriction. J Clin Invest 2014;124:3913–22.</w:t>
      </w:r>
    </w:p>
    <w:p w14:paraId="6AD61C82" w14:textId="32169D86"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21. </w:t>
      </w:r>
      <w:r w:rsidRPr="007B52A5">
        <w:rPr>
          <w:rFonts w:ascii="Times New Roman" w:hAnsi="Times New Roman" w:cs="Times New Roman"/>
          <w:noProof/>
        </w:rPr>
        <w:tab/>
        <w:t>Markan KR, Naber MC, Ameka MK, Anderegg MD, Mangelsdorf DJ, Kliewer SA, Mohammadi M, Potthoff MJ. Circulating FGF21 Is Liver Derived and Enhances Glucose Uptake During Refeeding and Overfeeding. Diabetes 2014;63:4057–63.</w:t>
      </w:r>
    </w:p>
    <w:p w14:paraId="33109659" w14:textId="451E0E4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22. </w:t>
      </w:r>
      <w:r w:rsidRPr="007B52A5">
        <w:rPr>
          <w:rFonts w:ascii="Times New Roman" w:hAnsi="Times New Roman" w:cs="Times New Roman"/>
          <w:noProof/>
        </w:rPr>
        <w:tab/>
        <w:t>Fisher FM, Maratos-Flier E. Understanding the Physiology of FGF21. Annu Rev Physiol 2016;78:223–41.</w:t>
      </w:r>
    </w:p>
    <w:p w14:paraId="1E649632" w14:textId="2D157EA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23. </w:t>
      </w:r>
      <w:r w:rsidRPr="007B52A5">
        <w:rPr>
          <w:rFonts w:ascii="Times New Roman" w:hAnsi="Times New Roman" w:cs="Times New Roman"/>
          <w:noProof/>
        </w:rPr>
        <w:tab/>
        <w:t>Bondurant LD, Potthoff MJ. Fibroblast Growth Factor 21: A Versatile Regulator of Metabolic Homeostasis. 2018;1–24.</w:t>
      </w:r>
    </w:p>
    <w:p w14:paraId="13E2C90B" w14:textId="00687024"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24. </w:t>
      </w:r>
      <w:r w:rsidRPr="007B52A5">
        <w:rPr>
          <w:rFonts w:ascii="Times New Roman" w:hAnsi="Times New Roman" w:cs="Times New Roman"/>
          <w:noProof/>
        </w:rPr>
        <w:tab/>
        <w:t>Salminen A, Kaarniranta K, Kauppinen A. Integrated stress response stimulates FGF21 expression: Systemic enhancer of longevity. Cell Signal 2017;40:10–21.</w:t>
      </w:r>
    </w:p>
    <w:p w14:paraId="7E476C68" w14:textId="6FEF5B05"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25. </w:t>
      </w:r>
      <w:r w:rsidRPr="007B52A5">
        <w:rPr>
          <w:rFonts w:ascii="Times New Roman" w:hAnsi="Times New Roman" w:cs="Times New Roman"/>
          <w:noProof/>
        </w:rPr>
        <w:tab/>
      </w:r>
      <w:r w:rsidR="005D52A4">
        <w:rPr>
          <w:rFonts w:ascii="Times New Roman" w:hAnsi="Times New Roman" w:cs="Times New Roman"/>
          <w:noProof/>
        </w:rPr>
        <w:t>Maruyama R</w:t>
      </w:r>
      <w:r w:rsidR="005D52A4" w:rsidRPr="00FC57EA">
        <w:rPr>
          <w:rFonts w:ascii="Times New Roman" w:hAnsi="Times New Roman" w:cs="Times New Roman"/>
          <w:noProof/>
        </w:rPr>
        <w:t xml:space="preserve">, </w:t>
      </w:r>
      <w:r w:rsidR="005D52A4">
        <w:rPr>
          <w:rFonts w:ascii="Times New Roman" w:hAnsi="Times New Roman" w:cs="Times New Roman"/>
          <w:noProof/>
        </w:rPr>
        <w:t>Shimizu M</w:t>
      </w:r>
      <w:r w:rsidR="005D52A4" w:rsidRPr="00FC57EA">
        <w:rPr>
          <w:rFonts w:ascii="Times New Roman" w:hAnsi="Times New Roman" w:cs="Times New Roman"/>
          <w:noProof/>
        </w:rPr>
        <w:t xml:space="preserve">, </w:t>
      </w:r>
      <w:r w:rsidR="005D52A4">
        <w:rPr>
          <w:rFonts w:ascii="Times New Roman" w:hAnsi="Times New Roman" w:cs="Times New Roman"/>
          <w:noProof/>
        </w:rPr>
        <w:t>Hashidume T</w:t>
      </w:r>
      <w:r w:rsidR="005D52A4" w:rsidRPr="00FC57EA">
        <w:rPr>
          <w:rFonts w:ascii="Times New Roman" w:hAnsi="Times New Roman" w:cs="Times New Roman"/>
          <w:noProof/>
        </w:rPr>
        <w:t xml:space="preserve">, </w:t>
      </w:r>
      <w:r w:rsidR="005D52A4">
        <w:rPr>
          <w:rFonts w:ascii="Times New Roman" w:hAnsi="Times New Roman" w:cs="Times New Roman"/>
          <w:noProof/>
        </w:rPr>
        <w:t>Inoue J</w:t>
      </w:r>
      <w:r w:rsidR="005D52A4" w:rsidRPr="00FC57EA">
        <w:rPr>
          <w:rFonts w:ascii="Times New Roman" w:hAnsi="Times New Roman" w:cs="Times New Roman"/>
          <w:noProof/>
        </w:rPr>
        <w:t xml:space="preserve">, </w:t>
      </w:r>
      <w:r w:rsidR="005D52A4">
        <w:rPr>
          <w:rFonts w:ascii="Times New Roman" w:hAnsi="Times New Roman" w:cs="Times New Roman"/>
          <w:noProof/>
        </w:rPr>
        <w:t>Itoh N</w:t>
      </w:r>
      <w:r w:rsidR="005D52A4" w:rsidRPr="00FC57EA">
        <w:rPr>
          <w:rFonts w:ascii="Times New Roman" w:hAnsi="Times New Roman" w:cs="Times New Roman"/>
          <w:noProof/>
        </w:rPr>
        <w:t xml:space="preserve">, </w:t>
      </w:r>
      <w:r w:rsidR="005D52A4">
        <w:rPr>
          <w:rFonts w:ascii="Times New Roman" w:hAnsi="Times New Roman" w:cs="Times New Roman"/>
          <w:noProof/>
        </w:rPr>
        <w:t>Sato R</w:t>
      </w:r>
      <w:r w:rsidR="005D52A4" w:rsidRPr="00FC57EA">
        <w:rPr>
          <w:rFonts w:ascii="Times New Roman" w:hAnsi="Times New Roman" w:cs="Times New Roman"/>
          <w:noProof/>
        </w:rPr>
        <w:t>. FGF21 Alleviates Hepatic Endoplasmic Reticulum Stress under Physiological Conditions. J Nutr Sci Vitaminol 2018;64:200–8.</w:t>
      </w:r>
    </w:p>
    <w:p w14:paraId="1516C194" w14:textId="66A576A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26. </w:t>
      </w:r>
      <w:r w:rsidRPr="007B52A5">
        <w:rPr>
          <w:rFonts w:ascii="Times New Roman" w:hAnsi="Times New Roman" w:cs="Times New Roman"/>
          <w:noProof/>
        </w:rPr>
        <w:tab/>
        <w:t>Xu X, Krumm C, So J-S, Bare CJ, Holman C, Gromada J, Cohen DE, Lee A-H. Preemptive Activation of the Integrated Stress Response Protects Mice From Diet-Induced Obesity and Insulin Resistance by Fibroblast Growth Factor 21 Induction. Hepatology 2018;68:2167–81.</w:t>
      </w:r>
    </w:p>
    <w:p w14:paraId="250CFE8B" w14:textId="2D813D2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27. </w:t>
      </w:r>
      <w:r w:rsidRPr="007B52A5">
        <w:rPr>
          <w:rFonts w:ascii="Times New Roman" w:hAnsi="Times New Roman" w:cs="Times New Roman"/>
          <w:noProof/>
        </w:rPr>
        <w:tab/>
      </w:r>
      <w:r w:rsidR="007B4FBB" w:rsidRPr="00FC57EA">
        <w:rPr>
          <w:rFonts w:ascii="Times New Roman" w:hAnsi="Times New Roman" w:cs="Times New Roman"/>
          <w:noProof/>
        </w:rPr>
        <w:t>Willis SA, King JA, Parry SA, Woods RM, Sargeant JA, Hulston CJ. The effect of acute, high-fat overfeeding on circulating hepatokine concentrations</w:t>
      </w:r>
      <w:r w:rsidR="007B4FBB">
        <w:rPr>
          <w:rFonts w:ascii="Times New Roman" w:hAnsi="Times New Roman" w:cs="Times New Roman"/>
          <w:noProof/>
        </w:rPr>
        <w:t xml:space="preserve"> in</w:t>
      </w:r>
      <w:r w:rsidR="007B4FBB" w:rsidRPr="00FC57EA">
        <w:rPr>
          <w:rFonts w:ascii="Times New Roman" w:hAnsi="Times New Roman" w:cs="Times New Roman"/>
          <w:noProof/>
        </w:rPr>
        <w:t xml:space="preserve"> BASES Conference 2018 – Programme and Abstracts</w:t>
      </w:r>
      <w:r w:rsidR="007B4FBB">
        <w:rPr>
          <w:rFonts w:ascii="Times New Roman" w:hAnsi="Times New Roman" w:cs="Times New Roman"/>
          <w:noProof/>
        </w:rPr>
        <w:t xml:space="preserve">. </w:t>
      </w:r>
      <w:r w:rsidR="007B4FBB" w:rsidRPr="00FC57EA">
        <w:rPr>
          <w:rFonts w:ascii="Times New Roman" w:hAnsi="Times New Roman" w:cs="Times New Roman"/>
          <w:noProof/>
        </w:rPr>
        <w:t>J Sports Sci 2018</w:t>
      </w:r>
      <w:r w:rsidR="007B4FBB">
        <w:rPr>
          <w:rFonts w:ascii="Times New Roman" w:hAnsi="Times New Roman" w:cs="Times New Roman"/>
          <w:noProof/>
        </w:rPr>
        <w:t>;38(sup 1):</w:t>
      </w:r>
      <w:r w:rsidR="007B4FBB" w:rsidRPr="00FC57EA">
        <w:rPr>
          <w:rFonts w:ascii="Times New Roman" w:hAnsi="Times New Roman" w:cs="Times New Roman"/>
          <w:noProof/>
        </w:rPr>
        <w:t>60.</w:t>
      </w:r>
    </w:p>
    <w:p w14:paraId="7E8DE1AD" w14:textId="3AF9B166"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28. </w:t>
      </w:r>
      <w:r w:rsidRPr="007B52A5">
        <w:rPr>
          <w:rFonts w:ascii="Times New Roman" w:hAnsi="Times New Roman" w:cs="Times New Roman"/>
          <w:noProof/>
        </w:rPr>
        <w:tab/>
        <w:t>Willis SA, Sargeant JA, Thackray AE, Yates T, Stensel DJ, Aithal GP, King JA. Effect of exercise intensity on circulating hepatokine concentrations in healthy men. Appl Physiol Nutr Metab 2019;44:1065–72.</w:t>
      </w:r>
    </w:p>
    <w:p w14:paraId="2417991E" w14:textId="2328C5A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29. </w:t>
      </w:r>
      <w:r w:rsidRPr="007B52A5">
        <w:rPr>
          <w:rFonts w:ascii="Times New Roman" w:hAnsi="Times New Roman" w:cs="Times New Roman"/>
          <w:noProof/>
        </w:rPr>
        <w:tab/>
        <w:t>Hulston CJ, Churnside AA, Venables MC. Probiotic supplementation prevents high-fat, overfeeding-induced insulin resistance in human subjects. Br J Nutr</w:t>
      </w:r>
      <w:r w:rsidR="00591558">
        <w:rPr>
          <w:rFonts w:ascii="Times New Roman" w:hAnsi="Times New Roman" w:cs="Times New Roman"/>
          <w:noProof/>
        </w:rPr>
        <w:t xml:space="preserve"> </w:t>
      </w:r>
      <w:r w:rsidRPr="007B52A5">
        <w:rPr>
          <w:rFonts w:ascii="Times New Roman" w:hAnsi="Times New Roman" w:cs="Times New Roman"/>
          <w:noProof/>
        </w:rPr>
        <w:t>2015;113:596–602.</w:t>
      </w:r>
    </w:p>
    <w:p w14:paraId="3859E3B3" w14:textId="74BD03B3"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30. </w:t>
      </w:r>
      <w:r w:rsidRPr="007B52A5">
        <w:rPr>
          <w:rFonts w:ascii="Times New Roman" w:hAnsi="Times New Roman" w:cs="Times New Roman"/>
          <w:noProof/>
        </w:rPr>
        <w:tab/>
        <w:t>Frayn KN. Calculation of substrate oxidation rates in vivo from gaseous exchange. J Appl Physiol 1983;55:628–34.</w:t>
      </w:r>
    </w:p>
    <w:p w14:paraId="6B810EA9" w14:textId="546DD329"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31. </w:t>
      </w:r>
      <w:r w:rsidRPr="007B52A5">
        <w:rPr>
          <w:rFonts w:ascii="Times New Roman" w:hAnsi="Times New Roman" w:cs="Times New Roman"/>
          <w:noProof/>
        </w:rPr>
        <w:tab/>
        <w:t>Mifflin MD, St Jeor ST, Hill LA, Scott BJ, Daugherty SA, Koh YO. A new predictive equation for resting energy expenditure in healthy individuals. Am J Clin Nutr 1990;51:241–7.</w:t>
      </w:r>
    </w:p>
    <w:p w14:paraId="511C51EB" w14:textId="5162A234"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32. </w:t>
      </w:r>
      <w:r w:rsidRPr="007B52A5">
        <w:rPr>
          <w:rFonts w:ascii="Times New Roman" w:hAnsi="Times New Roman" w:cs="Times New Roman"/>
          <w:noProof/>
        </w:rPr>
        <w:tab/>
      </w:r>
      <w:r w:rsidR="005E7164">
        <w:rPr>
          <w:rFonts w:ascii="Times New Roman" w:hAnsi="Times New Roman" w:cs="Times New Roman"/>
          <w:noProof/>
        </w:rPr>
        <w:t>FAO, WHO</w:t>
      </w:r>
      <w:r w:rsidR="00CE718F">
        <w:rPr>
          <w:rFonts w:ascii="Times New Roman" w:hAnsi="Times New Roman" w:cs="Times New Roman"/>
          <w:noProof/>
        </w:rPr>
        <w:t xml:space="preserve"> and UNU</w:t>
      </w:r>
      <w:r w:rsidRPr="007B52A5">
        <w:rPr>
          <w:rFonts w:ascii="Times New Roman" w:hAnsi="Times New Roman" w:cs="Times New Roman"/>
          <w:noProof/>
        </w:rPr>
        <w:t xml:space="preserve">. </w:t>
      </w:r>
      <w:r w:rsidRPr="008C38F0">
        <w:rPr>
          <w:rFonts w:ascii="Times New Roman" w:hAnsi="Times New Roman" w:cs="Times New Roman"/>
          <w:noProof/>
        </w:rPr>
        <w:t>Human energy requirements: report of a joint FAO/ WHO/UNU Expert Consultation</w:t>
      </w:r>
      <w:r w:rsidR="00FC7A36">
        <w:rPr>
          <w:rFonts w:ascii="Times New Roman" w:hAnsi="Times New Roman" w:cs="Times New Roman"/>
          <w:noProof/>
        </w:rPr>
        <w:t xml:space="preserve"> [Internet]</w:t>
      </w:r>
      <w:r w:rsidRPr="008C38F0">
        <w:rPr>
          <w:rFonts w:ascii="Times New Roman" w:hAnsi="Times New Roman" w:cs="Times New Roman"/>
          <w:noProof/>
        </w:rPr>
        <w:t>.</w:t>
      </w:r>
      <w:r w:rsidRPr="007B52A5">
        <w:rPr>
          <w:rFonts w:ascii="Times New Roman" w:hAnsi="Times New Roman" w:cs="Times New Roman"/>
          <w:noProof/>
        </w:rPr>
        <w:t xml:space="preserve"> </w:t>
      </w:r>
      <w:r w:rsidR="00674A24">
        <w:rPr>
          <w:rFonts w:ascii="Times New Roman" w:hAnsi="Times New Roman" w:cs="Times New Roman"/>
          <w:noProof/>
        </w:rPr>
        <w:t>Food and Agriculture Organisation</w:t>
      </w:r>
      <w:r w:rsidR="00D504E2">
        <w:rPr>
          <w:rFonts w:ascii="Times New Roman" w:hAnsi="Times New Roman" w:cs="Times New Roman"/>
          <w:noProof/>
        </w:rPr>
        <w:t>;</w:t>
      </w:r>
      <w:r w:rsidRPr="007B52A5">
        <w:rPr>
          <w:rFonts w:ascii="Times New Roman" w:hAnsi="Times New Roman" w:cs="Times New Roman"/>
          <w:noProof/>
        </w:rPr>
        <w:t xml:space="preserve"> 2005</w:t>
      </w:r>
      <w:r w:rsidR="00352715">
        <w:rPr>
          <w:rFonts w:ascii="Times New Roman" w:hAnsi="Times New Roman" w:cs="Times New Roman"/>
          <w:noProof/>
        </w:rPr>
        <w:t xml:space="preserve">. </w:t>
      </w:r>
      <w:r w:rsidR="00E704E4">
        <w:rPr>
          <w:rFonts w:ascii="Times New Roman" w:hAnsi="Times New Roman" w:cs="Times New Roman"/>
          <w:noProof/>
        </w:rPr>
        <w:t>[cited 2019 Oct 03</w:t>
      </w:r>
      <w:r w:rsidR="00E574A8">
        <w:rPr>
          <w:rFonts w:ascii="Times New Roman" w:hAnsi="Times New Roman" w:cs="Times New Roman"/>
          <w:noProof/>
        </w:rPr>
        <w:t>]. Available fr</w:t>
      </w:r>
      <w:r w:rsidR="00E574A8" w:rsidRPr="009B3648">
        <w:rPr>
          <w:rFonts w:ascii="Times New Roman" w:hAnsi="Times New Roman" w:cs="Times New Roman"/>
          <w:noProof/>
        </w:rPr>
        <w:t xml:space="preserve">om: </w:t>
      </w:r>
      <w:hyperlink r:id="rId13" w:history="1">
        <w:r w:rsidR="009B3648" w:rsidRPr="009B3648">
          <w:rPr>
            <w:rStyle w:val="Hyperlink"/>
            <w:rFonts w:ascii="Times New Roman" w:hAnsi="Times New Roman" w:cs="Times New Roman"/>
          </w:rPr>
          <w:t>http://www.fao.org/3/y5686e/y5686e00.htm</w:t>
        </w:r>
      </w:hyperlink>
      <w:r w:rsidR="001110B3">
        <w:rPr>
          <w:rFonts w:ascii="Times New Roman" w:hAnsi="Times New Roman" w:cs="Times New Roman"/>
        </w:rPr>
        <w:t>.</w:t>
      </w:r>
      <w:r w:rsidRPr="007B52A5">
        <w:rPr>
          <w:rFonts w:ascii="Times New Roman" w:hAnsi="Times New Roman" w:cs="Times New Roman"/>
          <w:noProof/>
        </w:rPr>
        <w:t xml:space="preserve"> </w:t>
      </w:r>
    </w:p>
    <w:p w14:paraId="467F8D32" w14:textId="0075DAA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33. </w:t>
      </w:r>
      <w:r w:rsidRPr="007B52A5">
        <w:rPr>
          <w:rFonts w:ascii="Times New Roman" w:hAnsi="Times New Roman" w:cs="Times New Roman"/>
          <w:noProof/>
        </w:rPr>
        <w:tab/>
        <w:t>Tanaka M, Saito Y, Misu H, Kato S, Kita Y, Takeshita Y, Kanamori T, Nagano T, Nakagen M, Urabe T, et al. Development of a Sol Particle Homogeneous Immunoassay for Measuring Full-Length Selenoprotein P in Human Serum. J Clin Lab Anal  2016;30:114–22.</w:t>
      </w:r>
    </w:p>
    <w:p w14:paraId="2658956D" w14:textId="47EB74F8"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34. </w:t>
      </w:r>
      <w:r w:rsidRPr="007B52A5">
        <w:rPr>
          <w:rFonts w:ascii="Times New Roman" w:hAnsi="Times New Roman" w:cs="Times New Roman"/>
          <w:noProof/>
        </w:rPr>
        <w:tab/>
        <w:t>Saito Y, Misu H, Takayama H, Takashima S, Usui S, Takamura M, Kaneko S, Takamura T, Noguchi N. Comparison of Human Selenoprotein P Determinants in Serum between Our Original Methods and Commercially Available Kits. Biol Pharm Bull 2018;41:828–32.</w:t>
      </w:r>
    </w:p>
    <w:p w14:paraId="2F693D68" w14:textId="02C642DC"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35. </w:t>
      </w:r>
      <w:r w:rsidRPr="007B52A5">
        <w:rPr>
          <w:rFonts w:ascii="Times New Roman" w:hAnsi="Times New Roman" w:cs="Times New Roman"/>
          <w:noProof/>
        </w:rPr>
        <w:tab/>
        <w:t>Matthews DR, Hosker JP, Rudenski AS, Naylor BA, Treacher DF, Turner RC. Homeostasis model assessment: insulin resistance and </w:t>
      </w:r>
      <w:r w:rsidR="001842BB">
        <w:rPr>
          <w:rFonts w:ascii="Times New Roman" w:hAnsi="Times New Roman" w:cs="Times New Roman"/>
          <w:noProof/>
        </w:rPr>
        <w:t>beta</w:t>
      </w:r>
      <w:r w:rsidRPr="007B52A5">
        <w:rPr>
          <w:rFonts w:ascii="Times New Roman" w:hAnsi="Times New Roman" w:cs="Times New Roman"/>
          <w:noProof/>
        </w:rPr>
        <w:t>-cell function from fasting plasma glucose and insulin concentrations in man. Diabetologia 1985;28:412–9.</w:t>
      </w:r>
    </w:p>
    <w:p w14:paraId="73658B35" w14:textId="1473913B"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36. </w:t>
      </w:r>
      <w:r w:rsidRPr="007B52A5">
        <w:rPr>
          <w:rFonts w:ascii="Times New Roman" w:hAnsi="Times New Roman" w:cs="Times New Roman"/>
          <w:noProof/>
        </w:rPr>
        <w:tab/>
        <w:t>Gastaldelli A, Cusi K, Pettiti M, Hardies J, Miyazaki Y, Berria R, Buzzigoli E, Sironi AM, Cersosimo E, Ferrannini E, et al. Relationship Between Hepatic/Visceral Fat and Hepatic Insulin Resistance in Nondiabetic and Type 2 Diabetic Subjects. Gastroenterology 2007;133:496–506.</w:t>
      </w:r>
    </w:p>
    <w:p w14:paraId="199A5496" w14:textId="35557B3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37. </w:t>
      </w:r>
      <w:r w:rsidRPr="007B52A5">
        <w:rPr>
          <w:rFonts w:ascii="Times New Roman" w:hAnsi="Times New Roman" w:cs="Times New Roman"/>
          <w:noProof/>
        </w:rPr>
        <w:tab/>
        <w:t>Matsuda M, DeFronzo RA. Insulin sensitivity indices obtained from oral glucose tolerance testing: comparison with the euglycemic insulin clamp. Diabetes Care 1999;22:1462–70.</w:t>
      </w:r>
    </w:p>
    <w:p w14:paraId="50ABBA5C" w14:textId="77777777"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38. </w:t>
      </w:r>
      <w:r w:rsidRPr="007B52A5">
        <w:rPr>
          <w:rFonts w:ascii="Times New Roman" w:hAnsi="Times New Roman" w:cs="Times New Roman"/>
          <w:noProof/>
        </w:rPr>
        <w:tab/>
        <w:t xml:space="preserve">Cohen J. Statistical Power Analysis for the Behavioral Sciences. 2nd ed. Hillsdale, NJ, USA: Lawrence Erlbaum Associates; 1988. </w:t>
      </w:r>
    </w:p>
    <w:p w14:paraId="67193A47" w14:textId="5CAA3A02"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39. </w:t>
      </w:r>
      <w:r w:rsidRPr="007B52A5">
        <w:rPr>
          <w:rFonts w:ascii="Times New Roman" w:hAnsi="Times New Roman" w:cs="Times New Roman"/>
          <w:noProof/>
        </w:rPr>
        <w:tab/>
        <w:t>Heilbronn LK, Campbell L V., Xu A, Samocha-Bonet D. Metabolically Protective Cytokines Adiponectin and Fibroblast Growth Factor-21 Are Increased by Acute Overfeeding in Healthy Humans. PLoS One</w:t>
      </w:r>
      <w:r w:rsidR="006C5F7A">
        <w:rPr>
          <w:rFonts w:ascii="Times New Roman" w:hAnsi="Times New Roman" w:cs="Times New Roman"/>
          <w:noProof/>
        </w:rPr>
        <w:t xml:space="preserve"> </w:t>
      </w:r>
      <w:r w:rsidRPr="007B52A5">
        <w:rPr>
          <w:rFonts w:ascii="Times New Roman" w:hAnsi="Times New Roman" w:cs="Times New Roman"/>
          <w:noProof/>
        </w:rPr>
        <w:t>2013;8:e78864.</w:t>
      </w:r>
    </w:p>
    <w:p w14:paraId="4DDDB459" w14:textId="277587C7"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40. </w:t>
      </w:r>
      <w:r w:rsidRPr="007B52A5">
        <w:rPr>
          <w:rFonts w:ascii="Times New Roman" w:hAnsi="Times New Roman" w:cs="Times New Roman"/>
          <w:noProof/>
        </w:rPr>
        <w:tab/>
        <w:t>Vienberg SG, Brøns C, Nilsson E, Astrup A, Vaag A, Andersen B. Impact of short-term high-fat feeding and insulin-stimulated FGF21 levels in subjects with low birth weight and controls. Eur J Endocrinol 2012;167:49–57.</w:t>
      </w:r>
    </w:p>
    <w:p w14:paraId="4D5C8C27" w14:textId="45BC3FA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41. </w:t>
      </w:r>
      <w:r w:rsidRPr="007B52A5">
        <w:rPr>
          <w:rFonts w:ascii="Times New Roman" w:hAnsi="Times New Roman" w:cs="Times New Roman"/>
          <w:noProof/>
        </w:rPr>
        <w:tab/>
        <w:t>Lundsgaard A-M, Fritzen AM, Sjøberg KA, Myrmel LS, Madsen L, Wojtaszewski JFP, Richter EA, Kiens B. Circulating FGF21 in humans is potently induced by short term overfeeding of carbohydrates. Mol Metab 2017;6:22–9.</w:t>
      </w:r>
    </w:p>
    <w:p w14:paraId="72799B7E" w14:textId="02313172"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42. </w:t>
      </w:r>
      <w:r w:rsidRPr="007B52A5">
        <w:rPr>
          <w:rFonts w:ascii="Times New Roman" w:hAnsi="Times New Roman" w:cs="Times New Roman"/>
          <w:noProof/>
        </w:rPr>
        <w:tab/>
        <w:t>Luukkonen PK, Sädevirta S, Zhou Y, Kayser B, Ali A, Ahonen L, Lallukka S, Pelloux V, Gaggini M, Jian C, et al. Saturated Fat Is More Metabolically Harmful for the Human Liver Than Unsaturated Fat or Simple Sugars. Diabetes Care 2018;41:1732–9.</w:t>
      </w:r>
    </w:p>
    <w:p w14:paraId="3E4F1D1F" w14:textId="45C3A20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43. </w:t>
      </w:r>
      <w:r w:rsidRPr="007B52A5">
        <w:rPr>
          <w:rFonts w:ascii="Times New Roman" w:hAnsi="Times New Roman" w:cs="Times New Roman"/>
          <w:noProof/>
        </w:rPr>
        <w:tab/>
        <w:t>Badman MK, Pissios P, Kennedy AR, Koukos G, Flier JS, Maratos-Flier E. Hepatic Fibroblast Growth Factor 21 Is Regulated by PPARα and Is a Key Mediator of Hepatic Lipid Metabolism in Ketotic States. Cell Metab 2007;5:426–37.</w:t>
      </w:r>
    </w:p>
    <w:p w14:paraId="7C1CFAE9" w14:textId="4EC2A6A8"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44. </w:t>
      </w:r>
      <w:r w:rsidRPr="007B52A5">
        <w:rPr>
          <w:rFonts w:ascii="Times New Roman" w:hAnsi="Times New Roman" w:cs="Times New Roman"/>
          <w:noProof/>
        </w:rPr>
        <w:tab/>
        <w:t>Arner P, Pettersson A, Mitchell PJ, Dunbar JD, Kharitonenkov A, Rydén M. FGF21 attenuates lipolysis in human adipocytes - A possible link to improved insulin sensitivity. FEBS Lett 2008;582:1725–30.</w:t>
      </w:r>
    </w:p>
    <w:p w14:paraId="7ED2B5E0" w14:textId="618E43D3"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45. </w:t>
      </w:r>
      <w:r w:rsidRPr="007B52A5">
        <w:rPr>
          <w:rFonts w:ascii="Times New Roman" w:hAnsi="Times New Roman" w:cs="Times New Roman"/>
          <w:noProof/>
        </w:rPr>
        <w:tab/>
        <w:t>Yang C, Wang C, Ye M, Jin C, He W, Wang F, McKeehan WL, Luo Y. Control of lipid metabolism by adipocyte FGFR1-mediated adipohepatic communication during hepatic stress. Nutr Metab 2012;9:94.</w:t>
      </w:r>
    </w:p>
    <w:p w14:paraId="74984EAE" w14:textId="1B490C5B"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46. </w:t>
      </w:r>
      <w:r w:rsidRPr="007B52A5">
        <w:rPr>
          <w:rFonts w:ascii="Times New Roman" w:hAnsi="Times New Roman" w:cs="Times New Roman"/>
          <w:noProof/>
        </w:rPr>
        <w:tab/>
        <w:t xml:space="preserve">Fisher FM, Chui PC, Nasser IA, Popov Y, Cunniff JC, Lundasen T, Kharitonenkov A, Schuppan D, Flier JS, Maratos-Flier E. Fibroblast Growth Factor 21 Limits </w:t>
      </w:r>
      <w:r w:rsidRPr="007B52A5">
        <w:rPr>
          <w:rFonts w:ascii="Times New Roman" w:hAnsi="Times New Roman" w:cs="Times New Roman"/>
          <w:noProof/>
        </w:rPr>
        <w:lastRenderedPageBreak/>
        <w:t>Lipotoxicity by Promoting Hepatic Fatty Acid Activation in Mice on Methionine and Choline-Deficient Diets. Gastroenterology 2014;147:1073–1083.e6.</w:t>
      </w:r>
    </w:p>
    <w:p w14:paraId="120F503E" w14:textId="7EDB0EC7"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47. </w:t>
      </w:r>
      <w:r w:rsidRPr="007B52A5">
        <w:rPr>
          <w:rFonts w:ascii="Times New Roman" w:hAnsi="Times New Roman" w:cs="Times New Roman"/>
          <w:noProof/>
        </w:rPr>
        <w:tab/>
        <w:t>Birkenfeld AL, Lee H-Y, Majumdar S, Jurczak MJ, Camporez JP, Jornayvaz FR, Frederick DW, Guigni B, Kahn M, Zhang D, et al. Influence of the Hepatic Eukaryotic Initiation Factor 2α (eIF2α) Endoplasmic Reticulum (ER) Stress Response Pathway on Insulin-mediated ER Stress and Hepatic and Peripheral Glucose Metabolism. J Biol Chem 2011;286:36163–70.</w:t>
      </w:r>
    </w:p>
    <w:p w14:paraId="708604B5" w14:textId="7F3C526B"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48. </w:t>
      </w:r>
      <w:r w:rsidRPr="007B52A5">
        <w:rPr>
          <w:rFonts w:ascii="Times New Roman" w:hAnsi="Times New Roman" w:cs="Times New Roman"/>
          <w:noProof/>
        </w:rPr>
        <w:tab/>
        <w:t>Boden G, Song W, Duan X, Cheung P, Kresge K, Barrero C, Merali S. Infusion of Glucose and Lipids at Physiological Rates Causes Acute Endoplasmic Reticulum Stress in Rat Liver. Obesity 2011;19:1366–73.</w:t>
      </w:r>
    </w:p>
    <w:p w14:paraId="606F77B5" w14:textId="5EF28794"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49. </w:t>
      </w:r>
      <w:r w:rsidRPr="007B52A5">
        <w:rPr>
          <w:rFonts w:ascii="Times New Roman" w:hAnsi="Times New Roman" w:cs="Times New Roman"/>
          <w:noProof/>
        </w:rPr>
        <w:tab/>
        <w:t>Leamy AK, Egnatchik RA, Shiota M, Ivanova PT, Myers DS, Brown HA, Young JD. Enhanced synthesis of saturated phospholipids is associated with ER stress and lipotoxicity in palmitate treated hepatic cells. J Lipid Res 2014;55:1478–88.</w:t>
      </w:r>
    </w:p>
    <w:p w14:paraId="2F504095" w14:textId="5F09B941"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50. </w:t>
      </w:r>
      <w:r w:rsidRPr="007B52A5">
        <w:rPr>
          <w:rFonts w:ascii="Times New Roman" w:hAnsi="Times New Roman" w:cs="Times New Roman"/>
          <w:noProof/>
        </w:rPr>
        <w:tab/>
        <w:t>Nygaard EB, Ørskov C, Almdal T, Vestergaard H, Andersen B. Fasting decreases plasma FGF21 in obese subjects and the expression of FGF21 receptors in adipose tissue in both lean and obese subjects. J Endocrinol 2018;239:73–80.</w:t>
      </w:r>
    </w:p>
    <w:p w14:paraId="34CA6833" w14:textId="728EB344"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51. </w:t>
      </w:r>
      <w:r w:rsidRPr="007B52A5">
        <w:rPr>
          <w:rFonts w:ascii="Times New Roman" w:hAnsi="Times New Roman" w:cs="Times New Roman"/>
          <w:noProof/>
        </w:rPr>
        <w:tab/>
        <w:t>Okumura A, Unoki-Kubota H, Matsushita Y, Shiga T, Moriyoshi Y, Yamagoe S, Kaburagi Y. Increased serum leukocyte cell-derived chemotaxin 2 (LECT2) levels in obesity and fatty liver. Biosci Trends 2013;7:276–83.</w:t>
      </w:r>
    </w:p>
    <w:p w14:paraId="540C3EB9" w14:textId="5CA4517D"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52. </w:t>
      </w:r>
      <w:r w:rsidRPr="007B52A5">
        <w:rPr>
          <w:rFonts w:ascii="Times New Roman" w:hAnsi="Times New Roman" w:cs="Times New Roman"/>
          <w:noProof/>
        </w:rPr>
        <w:tab/>
        <w:t>Yoo HJ, Hwang SY, Choi J-H, Lee HJ, Chung HS, Seo J-A, Kim SG, Kim NH, Baik SH, Choi DS, et al. Association of leukocyte cell-derived chemotaxin 2 (LECT2) with NAFLD, metabolic syndrome, and atherosclerosis. PLoS One 2017;12:e0174717.</w:t>
      </w:r>
    </w:p>
    <w:p w14:paraId="74CF2302" w14:textId="0C3FB078"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53. </w:t>
      </w:r>
      <w:r w:rsidRPr="007B52A5">
        <w:rPr>
          <w:rFonts w:ascii="Times New Roman" w:hAnsi="Times New Roman" w:cs="Times New Roman"/>
          <w:noProof/>
        </w:rPr>
        <w:tab/>
        <w:t xml:space="preserve">Tanisawa K, Taniguchi H, Sun X, Ito T, Kawakami R, Sakamoto S, Higuchi M. </w:t>
      </w:r>
      <w:r w:rsidRPr="007B52A5">
        <w:rPr>
          <w:rFonts w:ascii="Times New Roman" w:hAnsi="Times New Roman" w:cs="Times New Roman"/>
          <w:noProof/>
        </w:rPr>
        <w:lastRenderedPageBreak/>
        <w:t>Visceral fat area is a strong predictor of leukocyte cell-derived chemotaxin 2, a potential biomarker of dyslipidemia. PLoS One 2017;12:e0173310.</w:t>
      </w:r>
    </w:p>
    <w:p w14:paraId="497F01D5" w14:textId="2630E39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54. </w:t>
      </w:r>
      <w:r w:rsidRPr="007B52A5">
        <w:rPr>
          <w:rFonts w:ascii="Times New Roman" w:hAnsi="Times New Roman" w:cs="Times New Roman"/>
          <w:noProof/>
        </w:rPr>
        <w:tab/>
        <w:t>Zhang Z, Zeng H, Lin J, Hu Y, Yang R, Sun J, Chen R, Chen H. Circulating LECT2 levels in newly diagnosed type 2 diabetes mellitus and their association with metabolic parameters. Medicine 2018;97:e0354.</w:t>
      </w:r>
    </w:p>
    <w:p w14:paraId="287616D5" w14:textId="32E0CEE2"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55. </w:t>
      </w:r>
      <w:r w:rsidRPr="007B52A5">
        <w:rPr>
          <w:rFonts w:ascii="Times New Roman" w:hAnsi="Times New Roman" w:cs="Times New Roman"/>
          <w:noProof/>
        </w:rPr>
        <w:tab/>
        <w:t>Sargeant JA, Aithal GP, Takamura T, Misu H, Takayama H, Douglas JA, Turner MC, Stensel DJ, Nimmo MA, Webb DR, et al. The influence of adiposity and acute exercise on circulating hepatokines in normal-weight and overweight/obese men. Appl Physiol Nutr Metab</w:t>
      </w:r>
      <w:r w:rsidR="009E0A8C">
        <w:rPr>
          <w:rFonts w:ascii="Times New Roman" w:hAnsi="Times New Roman" w:cs="Times New Roman"/>
          <w:noProof/>
        </w:rPr>
        <w:t xml:space="preserve"> </w:t>
      </w:r>
      <w:r w:rsidRPr="007B52A5">
        <w:rPr>
          <w:rFonts w:ascii="Times New Roman" w:hAnsi="Times New Roman" w:cs="Times New Roman"/>
          <w:noProof/>
        </w:rPr>
        <w:t>2018;43:482–90.</w:t>
      </w:r>
    </w:p>
    <w:p w14:paraId="5556A3AC" w14:textId="3461757E"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56. </w:t>
      </w:r>
      <w:r w:rsidRPr="007B52A5">
        <w:rPr>
          <w:rFonts w:ascii="Times New Roman" w:hAnsi="Times New Roman" w:cs="Times New Roman"/>
          <w:noProof/>
        </w:rPr>
        <w:tab/>
        <w:t>Garcia D, Hellberg K, Chaix A, Wallace M, Herzig S, Badur MG, Lin T, Shokhirev MN, Pinto AFM, Ross DS, et al. Genetic Liver-Specific AMPK Activation Protects against Diet-Induced Obesity and NAFLD. Cell Rep 2019;26:192–208.e6.</w:t>
      </w:r>
    </w:p>
    <w:p w14:paraId="77D1E375" w14:textId="65CC9D81"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57. </w:t>
      </w:r>
      <w:r w:rsidRPr="007B52A5">
        <w:rPr>
          <w:rFonts w:ascii="Times New Roman" w:hAnsi="Times New Roman" w:cs="Times New Roman"/>
          <w:noProof/>
        </w:rPr>
        <w:tab/>
        <w:t>Samocha-Bonet D, Tam CS, Campbell L V., Heilbronn LK. Raised Circulating Fetuin-A After 28-Day Overfeeding in Healthy Humans. Diabetes Care 2014;37:e15–6.</w:t>
      </w:r>
    </w:p>
    <w:p w14:paraId="4A1007E0" w14:textId="53FBFC4D"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58. </w:t>
      </w:r>
      <w:r w:rsidRPr="007B52A5">
        <w:rPr>
          <w:rFonts w:ascii="Times New Roman" w:hAnsi="Times New Roman" w:cs="Times New Roman"/>
          <w:noProof/>
        </w:rPr>
        <w:tab/>
        <w:t>Lin X, Braymer HD, Bray GA, York DA. Differential expression of insulin receptor tyrosine kinase inhibitor (fetuin) gene in a model of diet-induced obesity. Life Sci 1998;63:145–53.</w:t>
      </w:r>
    </w:p>
    <w:p w14:paraId="640AE654" w14:textId="653A4B0C"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59. </w:t>
      </w:r>
      <w:r w:rsidRPr="007B52A5">
        <w:rPr>
          <w:rFonts w:ascii="Times New Roman" w:hAnsi="Times New Roman" w:cs="Times New Roman"/>
          <w:noProof/>
        </w:rPr>
        <w:tab/>
        <w:t>Takata H, Ikeda Y, Suehiro T, Ishibashi A, Inoue M, Kumon Y, Terada Y. High glucose induces transactivation of the alpha2-HS glycoprotein gene through the ERK1/2 signaling pathway. J Atheroscler Thromb 2009;16:448–56.</w:t>
      </w:r>
    </w:p>
    <w:p w14:paraId="11330913" w14:textId="5E8FA7AA"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60. </w:t>
      </w:r>
      <w:r w:rsidRPr="007B52A5">
        <w:rPr>
          <w:rFonts w:ascii="Times New Roman" w:hAnsi="Times New Roman" w:cs="Times New Roman"/>
          <w:noProof/>
        </w:rPr>
        <w:tab/>
        <w:t>Dasgupta S, Bhattacharya S, Biswas A, Majumdar SS, Mukhopadhyay S, Ray S, Bhattacharya S. NF-κB mediates lipid-induced fetuin-A expression in hepatocytes that impairs adipocyte function effecting insulin resistance. Biochem J 2010;429:451–62.</w:t>
      </w:r>
    </w:p>
    <w:p w14:paraId="6DEFC83C" w14:textId="53AC6CA1"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61. </w:t>
      </w:r>
      <w:r w:rsidRPr="007B52A5">
        <w:rPr>
          <w:rFonts w:ascii="Times New Roman" w:hAnsi="Times New Roman" w:cs="Times New Roman"/>
          <w:noProof/>
        </w:rPr>
        <w:tab/>
        <w:t>Jung TW, Youn B-S, Choi HY, Lee SY, Hong HC, Yang SJ, Yoo HJ, Kim B-H, Baik SH, Choi KM. Salsalate and adiponectin ameliorate hepatic steatosis by inhibition of the hepatokine fetuin-A. Biochem Pharmacol 2013;86:960–9.</w:t>
      </w:r>
    </w:p>
    <w:p w14:paraId="22E197B1" w14:textId="707C32EB"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62. </w:t>
      </w:r>
      <w:r w:rsidRPr="007B52A5">
        <w:rPr>
          <w:rFonts w:ascii="Times New Roman" w:hAnsi="Times New Roman" w:cs="Times New Roman"/>
          <w:noProof/>
        </w:rPr>
        <w:tab/>
        <w:t>Misu H, Takamura T, Takayama H, Hayashi H, Matsuzawa-Nagata N, Kurita S, Ishikura K, Ando H, Takeshita Y, Ota T, et al. A Liver-Derived Secretory Protein, Selenoprotein P, Causes Insulin Resistance. Cell Metab 2010;12:483–95.</w:t>
      </w:r>
    </w:p>
    <w:p w14:paraId="43851860" w14:textId="1D6F8820"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63. </w:t>
      </w:r>
      <w:r w:rsidRPr="007B52A5">
        <w:rPr>
          <w:rFonts w:ascii="Times New Roman" w:hAnsi="Times New Roman" w:cs="Times New Roman"/>
          <w:noProof/>
        </w:rPr>
        <w:tab/>
        <w:t>Chen M, Liu B, Wilkinson D, Hutchison AT, Thompson CH, Wittert GA, Heilbronn LK. Selenoprotein P is elevated in individuals with obesity, but is not independently associated with insulin resistance. Obes Res Clin Pract</w:t>
      </w:r>
      <w:r w:rsidR="00C25E6E">
        <w:rPr>
          <w:rFonts w:ascii="Times New Roman" w:hAnsi="Times New Roman" w:cs="Times New Roman"/>
          <w:noProof/>
        </w:rPr>
        <w:t xml:space="preserve"> </w:t>
      </w:r>
      <w:r w:rsidRPr="007B52A5">
        <w:rPr>
          <w:rFonts w:ascii="Times New Roman" w:hAnsi="Times New Roman" w:cs="Times New Roman"/>
          <w:noProof/>
        </w:rPr>
        <w:t>2017;11:227–32.</w:t>
      </w:r>
    </w:p>
    <w:p w14:paraId="6404E1C1" w14:textId="091C4AD5"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64. </w:t>
      </w:r>
      <w:r w:rsidRPr="007B52A5">
        <w:rPr>
          <w:rFonts w:ascii="Times New Roman" w:hAnsi="Times New Roman" w:cs="Times New Roman"/>
          <w:noProof/>
        </w:rPr>
        <w:tab/>
        <w:t>Yang SJ, Hwang SY, Choi HY, Yoo HJ, Seo JA, Kim SG, Kim NH, Baik SH, Choi DS, Choi KM. Serum Selenoprotein P Levels in Patients with Type 2 Diabetes and Prediabetes: Implications for Insulin Resistance, Inflammation, and Atherosclerosis. J Clin Endocrinol Metab. 2011;96:E1325–9.</w:t>
      </w:r>
    </w:p>
    <w:p w14:paraId="2A55A2E0" w14:textId="7DA4F0C3"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65. </w:t>
      </w:r>
      <w:r w:rsidRPr="007B52A5">
        <w:rPr>
          <w:rFonts w:ascii="Times New Roman" w:hAnsi="Times New Roman" w:cs="Times New Roman"/>
          <w:noProof/>
        </w:rPr>
        <w:tab/>
        <w:t>Choi HY, Hwang SY, Lee CH, Hong HC, Yang SJ, Yoo HJ, Seo JA, Kim SG, Kim NH, Baik SH, et al. Increased Selenoprotein P Levels in Subjects with Visceral Obesity and Nonalcoholic Fatty Liver Disease. Diabetes Metab J 2013;37:63.</w:t>
      </w:r>
    </w:p>
    <w:p w14:paraId="32562539" w14:textId="2080FF42"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66. </w:t>
      </w:r>
      <w:r w:rsidRPr="007B52A5">
        <w:rPr>
          <w:rFonts w:ascii="Times New Roman" w:hAnsi="Times New Roman" w:cs="Times New Roman"/>
          <w:noProof/>
        </w:rPr>
        <w:tab/>
        <w:t>Zhu J, Wan X, Wang Y, Zhu K, Li C, Yu C, Li Y. Serum fetuin B level increased in subjects of nonalcoholic fatty liver disease: a case-control study. Endocrine 2017;56:208–11.</w:t>
      </w:r>
    </w:p>
    <w:p w14:paraId="2DDEB7E0" w14:textId="0C690914"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67. </w:t>
      </w:r>
      <w:r w:rsidRPr="007B52A5">
        <w:rPr>
          <w:rFonts w:ascii="Times New Roman" w:hAnsi="Times New Roman" w:cs="Times New Roman"/>
          <w:noProof/>
        </w:rPr>
        <w:tab/>
        <w:t>Peter A, Kovarova M, Staiger H, Machann J, Schick F, Königsrainer A, Königsrainer I, Schleicher E, Fritsche A, Häring H-U, et al. The hepatokines fetuin-A and fetuin-B are upregulated in the state of hepatic steatosis and may differently impact on glucose homeostasis in humans. Am J Physiol Metab 2018;314:E266–73.</w:t>
      </w:r>
    </w:p>
    <w:p w14:paraId="5440E0BE" w14:textId="49288A82"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lastRenderedPageBreak/>
        <w:t xml:space="preserve">68. </w:t>
      </w:r>
      <w:r w:rsidRPr="007B52A5">
        <w:rPr>
          <w:rFonts w:ascii="Times New Roman" w:hAnsi="Times New Roman" w:cs="Times New Roman"/>
          <w:noProof/>
        </w:rPr>
        <w:tab/>
        <w:t>Onishi S, Kitazawa H, Meguro S, Tokimitsu I. Green tea extracts reduce leukocyte cell–Derived chemotaxin 2 and selenoprotein P levels in the livers of C57BL/6J mice fed a high-fat diet. Biosci Biotechnol Biochem 2018;82:1568–75.</w:t>
      </w:r>
    </w:p>
    <w:p w14:paraId="57FAC718" w14:textId="232977F2"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69. </w:t>
      </w:r>
      <w:r w:rsidRPr="007B52A5">
        <w:rPr>
          <w:rFonts w:ascii="Times New Roman" w:hAnsi="Times New Roman" w:cs="Times New Roman"/>
          <w:noProof/>
        </w:rPr>
        <w:tab/>
        <w:t>Wulan SN, Schrauwen-Hinderling VB, Westerterp KR, Plasqui G. Liver fat accumulation in response to overfeeding with a high-fat diet: a comparison between South Asian and Caucasian men. Nutr Metab 2015;12:18.</w:t>
      </w:r>
    </w:p>
    <w:p w14:paraId="4AB4B70A" w14:textId="4A8C874F"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70. </w:t>
      </w:r>
      <w:r w:rsidRPr="007B52A5">
        <w:rPr>
          <w:rFonts w:ascii="Times New Roman" w:hAnsi="Times New Roman" w:cs="Times New Roman"/>
          <w:noProof/>
        </w:rPr>
        <w:tab/>
        <w:t>Macdiarmid J, Blundell J. Assessing dietary intake: Who, what and why of under-reporting. Nutr Res Rev 1998;11:231.</w:t>
      </w:r>
    </w:p>
    <w:p w14:paraId="11DED3E0" w14:textId="3F89830C"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71. </w:t>
      </w:r>
      <w:r w:rsidRPr="007B52A5">
        <w:rPr>
          <w:rFonts w:ascii="Times New Roman" w:hAnsi="Times New Roman" w:cs="Times New Roman"/>
          <w:noProof/>
        </w:rPr>
        <w:tab/>
        <w:t>Salle A, Ryan M, Ritz P. Underreporting of Food Intake in Obese Diabetic and Nondiabetic Patients. Diabetes Care 2006;29:2726–7.</w:t>
      </w:r>
    </w:p>
    <w:p w14:paraId="2C72F8AA" w14:textId="43DF0B26" w:rsidR="007B52A5" w:rsidRPr="007B52A5" w:rsidRDefault="007B52A5" w:rsidP="007B52A5">
      <w:pPr>
        <w:widowControl w:val="0"/>
        <w:autoSpaceDE w:val="0"/>
        <w:autoSpaceDN w:val="0"/>
        <w:adjustRightInd w:val="0"/>
        <w:spacing w:line="480" w:lineRule="auto"/>
        <w:ind w:left="640" w:hanging="640"/>
        <w:rPr>
          <w:rFonts w:ascii="Times New Roman" w:hAnsi="Times New Roman" w:cs="Times New Roman"/>
          <w:noProof/>
        </w:rPr>
      </w:pPr>
      <w:r w:rsidRPr="007B52A5">
        <w:rPr>
          <w:rFonts w:ascii="Times New Roman" w:hAnsi="Times New Roman" w:cs="Times New Roman"/>
          <w:noProof/>
        </w:rPr>
        <w:t xml:space="preserve">72. </w:t>
      </w:r>
      <w:r w:rsidRPr="007B52A5">
        <w:rPr>
          <w:rFonts w:ascii="Times New Roman" w:hAnsi="Times New Roman" w:cs="Times New Roman"/>
          <w:noProof/>
        </w:rPr>
        <w:tab/>
        <w:t>Parry SA, Smith JR, Corbett TRB, Woods RM, Hulston CJ. Short-term, high-fat overfeeding impairs glycaemic control but does not alter gut hormone responses to a mixed meal tolerance test in healthy, normal-weight individuals. Br J Nutr</w:t>
      </w:r>
      <w:r w:rsidR="006745FE">
        <w:rPr>
          <w:rFonts w:ascii="Times New Roman" w:hAnsi="Times New Roman" w:cs="Times New Roman"/>
          <w:noProof/>
        </w:rPr>
        <w:t xml:space="preserve"> </w:t>
      </w:r>
      <w:r w:rsidRPr="007B52A5">
        <w:rPr>
          <w:rFonts w:ascii="Times New Roman" w:hAnsi="Times New Roman" w:cs="Times New Roman"/>
          <w:noProof/>
        </w:rPr>
        <w:t>2017;117:48–55.</w:t>
      </w:r>
    </w:p>
    <w:p w14:paraId="33D6E59D" w14:textId="5CA5048F" w:rsidR="00F078D2" w:rsidRPr="005409E2" w:rsidRDefault="00244261" w:rsidP="00495362">
      <w:pPr>
        <w:widowControl w:val="0"/>
        <w:autoSpaceDE w:val="0"/>
        <w:autoSpaceDN w:val="0"/>
        <w:adjustRightInd w:val="0"/>
        <w:spacing w:line="480" w:lineRule="auto"/>
        <w:ind w:left="640" w:hanging="640"/>
        <w:rPr>
          <w:rFonts w:asciiTheme="majorBidi" w:hAnsiTheme="majorBidi" w:cstheme="majorBidi"/>
          <w:bCs/>
        </w:rPr>
      </w:pPr>
      <w:r>
        <w:rPr>
          <w:rFonts w:asciiTheme="majorBidi" w:hAnsiTheme="majorBidi" w:cstheme="majorBidi"/>
          <w:bCs/>
        </w:rPr>
        <w:fldChar w:fldCharType="end"/>
      </w:r>
      <w:r w:rsidR="00982423">
        <w:rPr>
          <w:rFonts w:asciiTheme="majorBidi" w:hAnsiTheme="majorBidi" w:cstheme="majorBidi"/>
          <w:bCs/>
        </w:rPr>
        <w:t>.</w:t>
      </w:r>
      <w:r w:rsidR="00F078D2">
        <w:rPr>
          <w:rFonts w:asciiTheme="majorBidi" w:hAnsiTheme="majorBidi" w:cstheme="majorBidi"/>
        </w:rPr>
        <w:br w:type="page"/>
      </w:r>
    </w:p>
    <w:p w14:paraId="0A827957" w14:textId="32ABD7CA" w:rsidR="00897031" w:rsidRPr="002F4260" w:rsidRDefault="00897031" w:rsidP="00097B40">
      <w:pPr>
        <w:spacing w:after="0" w:line="480" w:lineRule="auto"/>
        <w:rPr>
          <w:rFonts w:asciiTheme="majorBidi" w:hAnsiTheme="majorBidi" w:cstheme="majorBidi"/>
        </w:rPr>
      </w:pPr>
      <w:r>
        <w:rPr>
          <w:rFonts w:asciiTheme="majorBidi" w:hAnsiTheme="majorBidi" w:cstheme="majorBidi"/>
          <w:b/>
        </w:rPr>
        <w:lastRenderedPageBreak/>
        <w:t xml:space="preserve">Table </w:t>
      </w:r>
      <w:r w:rsidR="00B513B5">
        <w:rPr>
          <w:rFonts w:asciiTheme="majorBidi" w:hAnsiTheme="majorBidi" w:cstheme="majorBidi"/>
          <w:b/>
        </w:rPr>
        <w:t>1</w:t>
      </w:r>
      <w:r>
        <w:rPr>
          <w:rFonts w:asciiTheme="majorBidi" w:hAnsiTheme="majorBidi" w:cstheme="majorBidi"/>
          <w:b/>
        </w:rPr>
        <w:t xml:space="preserve">. </w:t>
      </w:r>
      <w:r>
        <w:rPr>
          <w:rFonts w:asciiTheme="majorBidi" w:hAnsiTheme="majorBidi" w:cstheme="majorBidi"/>
        </w:rPr>
        <w:t xml:space="preserve">Dietary intake and composition </w:t>
      </w:r>
      <w:r w:rsidR="00D41EC9">
        <w:rPr>
          <w:rFonts w:asciiTheme="majorBidi" w:hAnsiTheme="majorBidi" w:cstheme="majorBidi"/>
        </w:rPr>
        <w:t>at</w:t>
      </w:r>
      <w:r w:rsidR="00506155">
        <w:rPr>
          <w:rFonts w:asciiTheme="majorBidi" w:hAnsiTheme="majorBidi" w:cstheme="majorBidi"/>
        </w:rPr>
        <w:t xml:space="preserve"> base</w:t>
      </w:r>
      <w:r w:rsidR="00E91B03">
        <w:rPr>
          <w:rFonts w:asciiTheme="majorBidi" w:hAnsiTheme="majorBidi" w:cstheme="majorBidi"/>
        </w:rPr>
        <w:t>line</w:t>
      </w:r>
      <w:r>
        <w:rPr>
          <w:rFonts w:asciiTheme="majorBidi" w:hAnsiTheme="majorBidi" w:cstheme="majorBidi"/>
        </w:rPr>
        <w:t xml:space="preserve"> and during the</w:t>
      </w:r>
      <w:r w:rsidR="00A37270">
        <w:rPr>
          <w:rFonts w:asciiTheme="majorBidi" w:hAnsiTheme="majorBidi" w:cstheme="majorBidi"/>
        </w:rPr>
        <w:t xml:space="preserve"> seven-day</w:t>
      </w:r>
      <w:r>
        <w:rPr>
          <w:rFonts w:asciiTheme="majorBidi" w:hAnsiTheme="majorBidi" w:cstheme="majorBidi"/>
        </w:rPr>
        <w:t xml:space="preserve"> control and hyper-energetic, high-fat diets.</w:t>
      </w:r>
    </w:p>
    <w:tbl>
      <w:tblPr>
        <w:tblStyle w:val="LightShading"/>
        <w:tblW w:w="9001" w:type="dxa"/>
        <w:tblInd w:w="9" w:type="dxa"/>
        <w:tblBorders>
          <w:top w:val="none" w:sz="0" w:space="0" w:color="auto"/>
          <w:bottom w:val="none" w:sz="0" w:space="0" w:color="auto"/>
        </w:tblBorders>
        <w:tblLayout w:type="fixed"/>
        <w:tblLook w:val="04A0" w:firstRow="1" w:lastRow="0" w:firstColumn="1" w:lastColumn="0" w:noHBand="0" w:noVBand="1"/>
      </w:tblPr>
      <w:tblGrid>
        <w:gridCol w:w="2520"/>
        <w:gridCol w:w="854"/>
        <w:gridCol w:w="238"/>
        <w:gridCol w:w="854"/>
        <w:gridCol w:w="644"/>
        <w:gridCol w:w="236"/>
        <w:gridCol w:w="631"/>
        <w:gridCol w:w="658"/>
        <w:gridCol w:w="252"/>
        <w:gridCol w:w="686"/>
        <w:gridCol w:w="1428"/>
      </w:tblGrid>
      <w:tr w:rsidR="00422DD1" w:rsidRPr="00324C80" w14:paraId="6A59B2B4" w14:textId="19DCB89E" w:rsidTr="00D911DC">
        <w:trPr>
          <w:cnfStyle w:val="100000000000" w:firstRow="1" w:lastRow="0" w:firstColumn="0" w:lastColumn="0" w:oddVBand="0" w:evenVBand="0" w:oddHBand="0" w:evenHBand="0" w:firstRowFirstColumn="0" w:firstRowLastColumn="0" w:lastRowFirstColumn="0" w:lastRowLastColumn="0"/>
          <w:trHeight w:hRule="exact" w:val="961"/>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none" w:sz="0" w:space="0" w:color="auto"/>
              <w:bottom w:val="single" w:sz="4" w:space="0" w:color="auto"/>
              <w:right w:val="none" w:sz="0" w:space="0" w:color="auto"/>
            </w:tcBorders>
            <w:shd w:val="clear" w:color="auto" w:fill="auto"/>
            <w:vAlign w:val="center"/>
          </w:tcPr>
          <w:p w14:paraId="4A75B514" w14:textId="77777777" w:rsidR="00422DD1" w:rsidRPr="00A316F5" w:rsidRDefault="00422DD1" w:rsidP="00FC6119">
            <w:pPr>
              <w:spacing w:before="120" w:line="360" w:lineRule="auto"/>
              <w:rPr>
                <w:rFonts w:ascii="Times New Roman" w:hAnsi="Times New Roman" w:cs="Times New Roman"/>
                <w:b w:val="0"/>
                <w:iCs/>
              </w:rPr>
            </w:pPr>
          </w:p>
          <w:p w14:paraId="20B09C21" w14:textId="77777777" w:rsidR="00422DD1" w:rsidRPr="009D141A" w:rsidRDefault="00422DD1" w:rsidP="00FC6119">
            <w:pPr>
              <w:spacing w:before="120" w:line="360" w:lineRule="auto"/>
              <w:rPr>
                <w:rFonts w:ascii="Times New Roman" w:hAnsi="Times New Roman" w:cs="Times New Roman"/>
                <w:b w:val="0"/>
                <w:bCs w:val="0"/>
                <w:i/>
                <w:iCs/>
              </w:rPr>
            </w:pPr>
          </w:p>
        </w:tc>
        <w:tc>
          <w:tcPr>
            <w:tcW w:w="1946" w:type="dxa"/>
            <w:gridSpan w:val="3"/>
            <w:tcBorders>
              <w:top w:val="single" w:sz="4" w:space="0" w:color="auto"/>
              <w:left w:val="none" w:sz="0" w:space="0" w:color="auto"/>
              <w:bottom w:val="single" w:sz="4" w:space="0" w:color="auto"/>
              <w:right w:val="none" w:sz="0" w:space="0" w:color="auto"/>
            </w:tcBorders>
            <w:shd w:val="clear" w:color="auto" w:fill="auto"/>
          </w:tcPr>
          <w:p w14:paraId="66DF0858" w14:textId="77777777" w:rsidR="00422DD1" w:rsidRDefault="00422DD1" w:rsidP="00FC6119">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Cs w:val="0"/>
                <w:color w:val="000000"/>
              </w:rPr>
              <w:t>Baseline</w:t>
            </w:r>
          </w:p>
          <w:p w14:paraId="32626BFD" w14:textId="107E8277" w:rsidR="00422DD1" w:rsidRPr="000008FA" w:rsidRDefault="00422DD1" w:rsidP="00C42C8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(Pre-intervention)</w:t>
            </w:r>
          </w:p>
        </w:tc>
        <w:tc>
          <w:tcPr>
            <w:tcW w:w="1511" w:type="dxa"/>
            <w:gridSpan w:val="3"/>
            <w:tcBorders>
              <w:top w:val="single" w:sz="4" w:space="0" w:color="auto"/>
              <w:left w:val="none" w:sz="0" w:space="0" w:color="auto"/>
              <w:bottom w:val="single" w:sz="4" w:space="0" w:color="auto"/>
              <w:right w:val="none" w:sz="0" w:space="0" w:color="auto"/>
            </w:tcBorders>
            <w:shd w:val="clear" w:color="auto" w:fill="auto"/>
          </w:tcPr>
          <w:p w14:paraId="04D5A620" w14:textId="395078D5" w:rsidR="00422DD1" w:rsidRPr="006056BB" w:rsidRDefault="00422DD1" w:rsidP="00FC6119">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Pr>
                <w:rFonts w:ascii="Times New Roman" w:hAnsi="Times New Roman" w:cs="Times New Roman"/>
                <w:bCs w:val="0"/>
                <w:color w:val="000000"/>
              </w:rPr>
              <w:t>Control diet</w:t>
            </w:r>
          </w:p>
        </w:tc>
        <w:tc>
          <w:tcPr>
            <w:tcW w:w="1596" w:type="dxa"/>
            <w:gridSpan w:val="3"/>
            <w:tcBorders>
              <w:top w:val="single" w:sz="4" w:space="0" w:color="auto"/>
              <w:left w:val="none" w:sz="0" w:space="0" w:color="auto"/>
              <w:bottom w:val="single" w:sz="4" w:space="0" w:color="auto"/>
              <w:right w:val="none" w:sz="0" w:space="0" w:color="auto"/>
            </w:tcBorders>
            <w:shd w:val="clear" w:color="auto" w:fill="auto"/>
          </w:tcPr>
          <w:p w14:paraId="1352CB9B" w14:textId="77777777" w:rsidR="00422DD1" w:rsidRPr="006056BB" w:rsidRDefault="00422DD1" w:rsidP="00FC6119">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056BB">
              <w:rPr>
                <w:rFonts w:ascii="Times New Roman" w:hAnsi="Times New Roman" w:cs="Times New Roman"/>
                <w:bCs w:val="0"/>
                <w:color w:val="000000"/>
              </w:rPr>
              <w:t>HE-HFD</w:t>
            </w:r>
          </w:p>
        </w:tc>
        <w:tc>
          <w:tcPr>
            <w:tcW w:w="1428" w:type="dxa"/>
            <w:tcBorders>
              <w:top w:val="single" w:sz="4" w:space="0" w:color="auto"/>
              <w:left w:val="none" w:sz="0" w:space="0" w:color="auto"/>
              <w:bottom w:val="single" w:sz="4" w:space="0" w:color="auto"/>
              <w:right w:val="none" w:sz="0" w:space="0" w:color="auto"/>
            </w:tcBorders>
            <w:shd w:val="clear" w:color="auto" w:fill="auto"/>
          </w:tcPr>
          <w:p w14:paraId="67793EAA" w14:textId="7F350F3A" w:rsidR="00422DD1" w:rsidRPr="002B72BE" w:rsidRDefault="002B72BE" w:rsidP="00FC6119">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i/>
                <w:iCs/>
                <w:color w:val="000000"/>
              </w:rPr>
              <w:t>P</w:t>
            </w:r>
            <w:r>
              <w:rPr>
                <w:rFonts w:ascii="Times New Roman" w:hAnsi="Times New Roman" w:cs="Times New Roman"/>
                <w:color w:val="000000"/>
              </w:rPr>
              <w:t>-value</w:t>
            </w:r>
            <w:r w:rsidR="00E87215">
              <w:rPr>
                <w:rFonts w:ascii="Times New Roman" w:hAnsi="Times New Roman" w:cs="Times New Roman"/>
                <w:color w:val="000000"/>
              </w:rPr>
              <w:t xml:space="preserve"> </w:t>
            </w:r>
            <w:r w:rsidR="00E87215" w:rsidRPr="00E869B7">
              <w:rPr>
                <w:rFonts w:ascii="Times New Roman" w:hAnsi="Times New Roman" w:cs="Times New Roman"/>
                <w:b w:val="0"/>
                <w:bCs w:val="0"/>
                <w:color w:val="000000"/>
              </w:rPr>
              <w:t>(Diet effect)</w:t>
            </w:r>
          </w:p>
        </w:tc>
      </w:tr>
      <w:tr w:rsidR="00E9120E" w:rsidRPr="000E1C62" w14:paraId="2A25D340" w14:textId="764CCAFF" w:rsidTr="00D911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none" w:sz="0" w:space="0" w:color="auto"/>
              <w:right w:val="none" w:sz="0" w:space="0" w:color="auto"/>
            </w:tcBorders>
            <w:shd w:val="clear" w:color="auto" w:fill="auto"/>
            <w:vAlign w:val="center"/>
          </w:tcPr>
          <w:p w14:paraId="0E29827A" w14:textId="52ED6072" w:rsidR="00422DD1" w:rsidRPr="000E1C62" w:rsidRDefault="00422DD1" w:rsidP="004F511E">
            <w:pPr>
              <w:spacing w:before="120" w:line="480" w:lineRule="auto"/>
              <w:rPr>
                <w:rFonts w:ascii="Times New Roman" w:hAnsi="Times New Roman" w:cs="Times New Roman"/>
                <w:bCs w:val="0"/>
              </w:rPr>
            </w:pPr>
            <w:r w:rsidRPr="000E1C62">
              <w:rPr>
                <w:rFonts w:ascii="Times New Roman" w:hAnsi="Times New Roman" w:cs="Times New Roman"/>
                <w:bCs w:val="0"/>
              </w:rPr>
              <w:t>Energy (MJ</w:t>
            </w:r>
            <w:r w:rsidRPr="000E1C62">
              <w:rPr>
                <w:rFonts w:asciiTheme="majorBidi" w:hAnsiTheme="majorBidi" w:cstheme="majorBidi"/>
              </w:rPr>
              <w:t>∙</w:t>
            </w:r>
            <w:r w:rsidRPr="000E1C62">
              <w:rPr>
                <w:rFonts w:ascii="Times New Roman" w:hAnsi="Times New Roman" w:cs="Times New Roman"/>
              </w:rPr>
              <w:t>d</w:t>
            </w:r>
            <w:r w:rsidRPr="000E1C62">
              <w:rPr>
                <w:rFonts w:ascii="Times New Roman" w:hAnsi="Times New Roman" w:cs="Times New Roman"/>
                <w:vertAlign w:val="superscript"/>
              </w:rPr>
              <w:t>-1</w:t>
            </w:r>
            <w:r w:rsidRPr="000E1C62">
              <w:rPr>
                <w:rFonts w:ascii="Times New Roman" w:hAnsi="Times New Roman" w:cs="Times New Roman"/>
                <w:bCs w:val="0"/>
              </w:rPr>
              <w:t>)</w:t>
            </w:r>
          </w:p>
        </w:tc>
        <w:tc>
          <w:tcPr>
            <w:tcW w:w="854" w:type="dxa"/>
            <w:tcBorders>
              <w:top w:val="single" w:sz="4" w:space="0" w:color="auto"/>
              <w:left w:val="none" w:sz="0" w:space="0" w:color="auto"/>
              <w:right w:val="none" w:sz="0" w:space="0" w:color="auto"/>
            </w:tcBorders>
            <w:shd w:val="clear" w:color="auto" w:fill="auto"/>
            <w:vAlign w:val="center"/>
          </w:tcPr>
          <w:p w14:paraId="697F490D" w14:textId="4FB1A945" w:rsidR="00422DD1" w:rsidRPr="000E1C62" w:rsidRDefault="00422DD1" w:rsidP="004F511E">
            <w:pPr>
              <w:spacing w:before="120"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11.5</w:t>
            </w:r>
          </w:p>
        </w:tc>
        <w:tc>
          <w:tcPr>
            <w:tcW w:w="238" w:type="dxa"/>
            <w:tcBorders>
              <w:top w:val="single" w:sz="4" w:space="0" w:color="auto"/>
              <w:left w:val="none" w:sz="0" w:space="0" w:color="auto"/>
              <w:right w:val="none" w:sz="0" w:space="0" w:color="auto"/>
            </w:tcBorders>
            <w:shd w:val="clear" w:color="auto" w:fill="auto"/>
            <w:vAlign w:val="center"/>
          </w:tcPr>
          <w:p w14:paraId="5322638B" w14:textId="77777777" w:rsidR="00422DD1" w:rsidRPr="000E1C62" w:rsidRDefault="00422DD1" w:rsidP="004F511E">
            <w:pPr>
              <w:spacing w:before="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tcBorders>
              <w:top w:val="single" w:sz="4" w:space="0" w:color="auto"/>
              <w:left w:val="none" w:sz="0" w:space="0" w:color="auto"/>
              <w:right w:val="none" w:sz="0" w:space="0" w:color="auto"/>
            </w:tcBorders>
            <w:shd w:val="clear" w:color="auto" w:fill="auto"/>
            <w:vAlign w:val="center"/>
          </w:tcPr>
          <w:p w14:paraId="6951B3F2" w14:textId="46DB3074" w:rsidR="00422DD1" w:rsidRPr="000E1C62" w:rsidRDefault="00422DD1" w:rsidP="004F511E">
            <w:pPr>
              <w:spacing w:before="12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1.4</w:t>
            </w:r>
          </w:p>
        </w:tc>
        <w:tc>
          <w:tcPr>
            <w:tcW w:w="644" w:type="dxa"/>
            <w:tcBorders>
              <w:top w:val="single" w:sz="4" w:space="0" w:color="auto"/>
              <w:left w:val="none" w:sz="0" w:space="0" w:color="auto"/>
              <w:right w:val="none" w:sz="0" w:space="0" w:color="auto"/>
            </w:tcBorders>
            <w:shd w:val="clear" w:color="auto" w:fill="auto"/>
            <w:vAlign w:val="center"/>
          </w:tcPr>
          <w:p w14:paraId="7E712CB1" w14:textId="6A72345F" w:rsidR="00422DD1" w:rsidRPr="000E1C62" w:rsidRDefault="00422DD1" w:rsidP="004F511E">
            <w:pPr>
              <w:spacing w:before="120"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10.9</w:t>
            </w:r>
          </w:p>
        </w:tc>
        <w:tc>
          <w:tcPr>
            <w:tcW w:w="236" w:type="dxa"/>
            <w:tcBorders>
              <w:top w:val="single" w:sz="4" w:space="0" w:color="auto"/>
              <w:left w:val="none" w:sz="0" w:space="0" w:color="auto"/>
              <w:right w:val="none" w:sz="0" w:space="0" w:color="auto"/>
            </w:tcBorders>
            <w:shd w:val="clear" w:color="auto" w:fill="auto"/>
            <w:vAlign w:val="center"/>
          </w:tcPr>
          <w:p w14:paraId="56CC8413" w14:textId="77777777" w:rsidR="00422DD1" w:rsidRPr="000E1C62" w:rsidRDefault="00422DD1" w:rsidP="004F511E">
            <w:pPr>
              <w:spacing w:before="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tcBorders>
              <w:top w:val="single" w:sz="4" w:space="0" w:color="auto"/>
              <w:left w:val="none" w:sz="0" w:space="0" w:color="auto"/>
              <w:right w:val="none" w:sz="0" w:space="0" w:color="auto"/>
            </w:tcBorders>
            <w:shd w:val="clear" w:color="auto" w:fill="auto"/>
            <w:vAlign w:val="center"/>
          </w:tcPr>
          <w:p w14:paraId="7EF3BDD1" w14:textId="12881E07" w:rsidR="00422DD1" w:rsidRPr="000E1C62" w:rsidRDefault="00422DD1" w:rsidP="004F511E">
            <w:pPr>
              <w:spacing w:before="12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2.0</w:t>
            </w:r>
          </w:p>
        </w:tc>
        <w:tc>
          <w:tcPr>
            <w:tcW w:w="658" w:type="dxa"/>
            <w:tcBorders>
              <w:top w:val="single" w:sz="4" w:space="0" w:color="auto"/>
              <w:left w:val="none" w:sz="0" w:space="0" w:color="auto"/>
              <w:right w:val="none" w:sz="0" w:space="0" w:color="auto"/>
            </w:tcBorders>
            <w:shd w:val="clear" w:color="auto" w:fill="auto"/>
            <w:vAlign w:val="center"/>
          </w:tcPr>
          <w:p w14:paraId="67C5F0DC" w14:textId="3DC2FC66" w:rsidR="00422DD1" w:rsidRPr="000E1C62" w:rsidRDefault="00422DD1" w:rsidP="00E9120E">
            <w:pPr>
              <w:spacing w:before="120"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20.9</w:t>
            </w:r>
          </w:p>
        </w:tc>
        <w:tc>
          <w:tcPr>
            <w:tcW w:w="252" w:type="dxa"/>
            <w:tcBorders>
              <w:top w:val="single" w:sz="4" w:space="0" w:color="auto"/>
              <w:left w:val="none" w:sz="0" w:space="0" w:color="auto"/>
              <w:right w:val="none" w:sz="0" w:space="0" w:color="auto"/>
            </w:tcBorders>
            <w:shd w:val="clear" w:color="auto" w:fill="auto"/>
            <w:vAlign w:val="center"/>
          </w:tcPr>
          <w:p w14:paraId="2FB62487" w14:textId="77777777" w:rsidR="00422DD1" w:rsidRPr="000E1C62" w:rsidRDefault="00422DD1" w:rsidP="004F511E">
            <w:pPr>
              <w:spacing w:before="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0E1C62">
              <w:rPr>
                <w:rFonts w:ascii="Times New Roman" w:hAnsi="Times New Roman" w:cs="Times New Roman"/>
                <w:color w:val="000000"/>
              </w:rPr>
              <w:t>±</w:t>
            </w:r>
          </w:p>
        </w:tc>
        <w:tc>
          <w:tcPr>
            <w:tcW w:w="686" w:type="dxa"/>
            <w:tcBorders>
              <w:top w:val="single" w:sz="4" w:space="0" w:color="auto"/>
              <w:left w:val="none" w:sz="0" w:space="0" w:color="auto"/>
              <w:right w:val="none" w:sz="0" w:space="0" w:color="auto"/>
            </w:tcBorders>
            <w:shd w:val="clear" w:color="auto" w:fill="auto"/>
            <w:vAlign w:val="center"/>
          </w:tcPr>
          <w:p w14:paraId="79A42B80" w14:textId="67349767" w:rsidR="00422DD1" w:rsidRPr="000E1C62" w:rsidRDefault="00422DD1" w:rsidP="004F511E">
            <w:pPr>
              <w:spacing w:before="12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0.8</w:t>
            </w:r>
            <w:r w:rsidRPr="000E1C62">
              <w:rPr>
                <w:rFonts w:ascii="Times New Roman" w:hAnsi="Times New Roman" w:cs="Times New Roman"/>
                <w:bCs/>
                <w:i/>
                <w:iCs/>
                <w:color w:val="000000"/>
                <w:vertAlign w:val="superscript"/>
              </w:rPr>
              <w:t>ab</w:t>
            </w:r>
          </w:p>
        </w:tc>
        <w:tc>
          <w:tcPr>
            <w:tcW w:w="1428" w:type="dxa"/>
            <w:tcBorders>
              <w:top w:val="single" w:sz="4" w:space="0" w:color="auto"/>
              <w:left w:val="none" w:sz="0" w:space="0" w:color="auto"/>
              <w:right w:val="none" w:sz="0" w:space="0" w:color="auto"/>
            </w:tcBorders>
            <w:shd w:val="clear" w:color="auto" w:fill="auto"/>
          </w:tcPr>
          <w:p w14:paraId="5F2A0E02" w14:textId="2AFA4BF5" w:rsidR="00422DD1" w:rsidRPr="000E1C62" w:rsidRDefault="00826FAB" w:rsidP="001A211C">
            <w:pPr>
              <w:spacing w:before="12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0E1C62">
              <w:rPr>
                <w:rFonts w:ascii="Times New Roman" w:hAnsi="Times New Roman" w:cs="Times New Roman"/>
                <w:b/>
                <w:color w:val="000000"/>
              </w:rPr>
              <w:t>&lt;0.001</w:t>
            </w:r>
          </w:p>
        </w:tc>
      </w:tr>
      <w:tr w:rsidR="001A211C" w:rsidRPr="000E1C62" w14:paraId="2517828E" w14:textId="5D2DEE6A" w:rsidTr="00300FF2">
        <w:trPr>
          <w:trHeight w:val="328"/>
        </w:trPr>
        <w:tc>
          <w:tcPr>
            <w:cnfStyle w:val="001000000000" w:firstRow="0" w:lastRow="0" w:firstColumn="1" w:lastColumn="0" w:oddVBand="0" w:evenVBand="0" w:oddHBand="0" w:evenHBand="0" w:firstRowFirstColumn="0" w:firstRowLastColumn="0" w:lastRowFirstColumn="0" w:lastRowLastColumn="0"/>
            <w:tcW w:w="9001" w:type="dxa"/>
            <w:gridSpan w:val="11"/>
            <w:shd w:val="clear" w:color="auto" w:fill="auto"/>
            <w:vAlign w:val="center"/>
          </w:tcPr>
          <w:p w14:paraId="5C049455" w14:textId="3E81AA1C" w:rsidR="001A211C" w:rsidRPr="000E1C62" w:rsidRDefault="001A211C" w:rsidP="004F511E">
            <w:pPr>
              <w:spacing w:line="480" w:lineRule="auto"/>
              <w:rPr>
                <w:rFonts w:ascii="Times New Roman" w:hAnsi="Times New Roman" w:cs="Times New Roman"/>
                <w:color w:val="000000"/>
              </w:rPr>
            </w:pPr>
            <w:r w:rsidRPr="000E1C62">
              <w:rPr>
                <w:rFonts w:ascii="Times New Roman" w:hAnsi="Times New Roman" w:cs="Times New Roman"/>
                <w:color w:val="000000"/>
              </w:rPr>
              <w:t>Fat</w:t>
            </w:r>
          </w:p>
        </w:tc>
      </w:tr>
      <w:tr w:rsidR="00E9120E" w:rsidRPr="000E1C62" w14:paraId="64A484A0" w14:textId="28713916" w:rsidTr="00300FF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auto"/>
            <w:vAlign w:val="center"/>
          </w:tcPr>
          <w:p w14:paraId="3EFEE716" w14:textId="00331918" w:rsidR="00422DD1" w:rsidRPr="000E1C62" w:rsidRDefault="00422DD1" w:rsidP="004F511E">
            <w:pPr>
              <w:spacing w:line="480" w:lineRule="auto"/>
              <w:rPr>
                <w:rFonts w:ascii="Times New Roman" w:hAnsi="Times New Roman" w:cs="Times New Roman"/>
                <w:b w:val="0"/>
              </w:rPr>
            </w:pPr>
            <w:r w:rsidRPr="000E1C62">
              <w:rPr>
                <w:rFonts w:ascii="Times New Roman" w:hAnsi="Times New Roman" w:cs="Times New Roman"/>
                <w:b w:val="0"/>
              </w:rPr>
              <w:t>Grams per day</w:t>
            </w:r>
          </w:p>
        </w:tc>
        <w:tc>
          <w:tcPr>
            <w:tcW w:w="854" w:type="dxa"/>
            <w:tcBorders>
              <w:left w:val="none" w:sz="0" w:space="0" w:color="auto"/>
              <w:right w:val="none" w:sz="0" w:space="0" w:color="auto"/>
            </w:tcBorders>
            <w:shd w:val="clear" w:color="auto" w:fill="auto"/>
            <w:vAlign w:val="center"/>
          </w:tcPr>
          <w:p w14:paraId="53F41853" w14:textId="3868CD88" w:rsidR="00422DD1" w:rsidRPr="000E1C62" w:rsidRDefault="00422DD1" w:rsidP="004F511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111</w:t>
            </w:r>
          </w:p>
        </w:tc>
        <w:tc>
          <w:tcPr>
            <w:tcW w:w="238" w:type="dxa"/>
            <w:tcBorders>
              <w:left w:val="none" w:sz="0" w:space="0" w:color="auto"/>
              <w:right w:val="none" w:sz="0" w:space="0" w:color="auto"/>
            </w:tcBorders>
            <w:shd w:val="clear" w:color="auto" w:fill="auto"/>
            <w:vAlign w:val="center"/>
          </w:tcPr>
          <w:p w14:paraId="5656001E" w14:textId="5EDF936D"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tcBorders>
              <w:left w:val="none" w:sz="0" w:space="0" w:color="auto"/>
              <w:right w:val="none" w:sz="0" w:space="0" w:color="auto"/>
            </w:tcBorders>
            <w:shd w:val="clear" w:color="auto" w:fill="auto"/>
            <w:vAlign w:val="center"/>
          </w:tcPr>
          <w:p w14:paraId="3C4F622E" w14:textId="01D76333"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25</w:t>
            </w:r>
          </w:p>
        </w:tc>
        <w:tc>
          <w:tcPr>
            <w:tcW w:w="644" w:type="dxa"/>
            <w:tcBorders>
              <w:left w:val="none" w:sz="0" w:space="0" w:color="auto"/>
              <w:right w:val="none" w:sz="0" w:space="0" w:color="auto"/>
            </w:tcBorders>
            <w:shd w:val="clear" w:color="auto" w:fill="auto"/>
            <w:vAlign w:val="center"/>
          </w:tcPr>
          <w:p w14:paraId="4C764C09" w14:textId="045852DA" w:rsidR="00422DD1" w:rsidRPr="000E1C62" w:rsidRDefault="00422DD1" w:rsidP="004F511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102</w:t>
            </w:r>
          </w:p>
        </w:tc>
        <w:tc>
          <w:tcPr>
            <w:tcW w:w="236" w:type="dxa"/>
            <w:tcBorders>
              <w:left w:val="none" w:sz="0" w:space="0" w:color="auto"/>
              <w:right w:val="none" w:sz="0" w:space="0" w:color="auto"/>
            </w:tcBorders>
            <w:shd w:val="clear" w:color="auto" w:fill="auto"/>
            <w:vAlign w:val="center"/>
          </w:tcPr>
          <w:p w14:paraId="714FE07D" w14:textId="4227ACB1"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tcBorders>
              <w:left w:val="none" w:sz="0" w:space="0" w:color="auto"/>
              <w:right w:val="none" w:sz="0" w:space="0" w:color="auto"/>
            </w:tcBorders>
            <w:shd w:val="clear" w:color="auto" w:fill="auto"/>
            <w:vAlign w:val="center"/>
          </w:tcPr>
          <w:p w14:paraId="206418D8" w14:textId="3C68B574"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27</w:t>
            </w:r>
          </w:p>
        </w:tc>
        <w:tc>
          <w:tcPr>
            <w:tcW w:w="658" w:type="dxa"/>
            <w:tcBorders>
              <w:left w:val="none" w:sz="0" w:space="0" w:color="auto"/>
              <w:right w:val="none" w:sz="0" w:space="0" w:color="auto"/>
            </w:tcBorders>
            <w:shd w:val="clear" w:color="auto" w:fill="auto"/>
            <w:vAlign w:val="center"/>
          </w:tcPr>
          <w:p w14:paraId="3B19CCA4" w14:textId="5DB1824F" w:rsidR="00422DD1" w:rsidRPr="000E1C62" w:rsidRDefault="00422DD1" w:rsidP="00E912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356</w:t>
            </w:r>
          </w:p>
        </w:tc>
        <w:tc>
          <w:tcPr>
            <w:tcW w:w="252" w:type="dxa"/>
            <w:tcBorders>
              <w:left w:val="none" w:sz="0" w:space="0" w:color="auto"/>
              <w:right w:val="none" w:sz="0" w:space="0" w:color="auto"/>
            </w:tcBorders>
            <w:shd w:val="clear" w:color="auto" w:fill="auto"/>
            <w:vAlign w:val="center"/>
          </w:tcPr>
          <w:p w14:paraId="67CC95EE" w14:textId="5E04FB7D"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86" w:type="dxa"/>
            <w:tcBorders>
              <w:left w:val="none" w:sz="0" w:space="0" w:color="auto"/>
              <w:right w:val="none" w:sz="0" w:space="0" w:color="auto"/>
            </w:tcBorders>
            <w:shd w:val="clear" w:color="auto" w:fill="auto"/>
            <w:vAlign w:val="center"/>
          </w:tcPr>
          <w:p w14:paraId="2EA0A9F2" w14:textId="0B2B7701"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15</w:t>
            </w:r>
            <w:r w:rsidRPr="000E1C62">
              <w:rPr>
                <w:rFonts w:ascii="Times New Roman" w:hAnsi="Times New Roman" w:cs="Times New Roman"/>
                <w:bCs/>
                <w:i/>
                <w:iCs/>
                <w:color w:val="000000"/>
                <w:vertAlign w:val="superscript"/>
              </w:rPr>
              <w:t>ab</w:t>
            </w:r>
          </w:p>
        </w:tc>
        <w:tc>
          <w:tcPr>
            <w:tcW w:w="1428" w:type="dxa"/>
            <w:tcBorders>
              <w:left w:val="none" w:sz="0" w:space="0" w:color="auto"/>
              <w:right w:val="none" w:sz="0" w:space="0" w:color="auto"/>
            </w:tcBorders>
            <w:shd w:val="clear" w:color="auto" w:fill="auto"/>
          </w:tcPr>
          <w:p w14:paraId="30839D18" w14:textId="794ACA88" w:rsidR="00422DD1" w:rsidRPr="000E1C62" w:rsidRDefault="00C64F68" w:rsidP="00C64F6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0E1C62">
              <w:rPr>
                <w:rFonts w:ascii="Times New Roman" w:hAnsi="Times New Roman" w:cs="Times New Roman"/>
                <w:b/>
                <w:bCs/>
                <w:color w:val="000000"/>
              </w:rPr>
              <w:t>&lt;0.001</w:t>
            </w:r>
          </w:p>
        </w:tc>
      </w:tr>
      <w:tr w:rsidR="00E9120E" w:rsidRPr="000E1C62" w14:paraId="46C4E4B9" w14:textId="7306ED80" w:rsidTr="00300FF2">
        <w:trPr>
          <w:trHeight w:val="328"/>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0825FA92" w14:textId="3DFE34FF" w:rsidR="00422DD1" w:rsidRPr="000E1C62" w:rsidRDefault="00422DD1" w:rsidP="004F511E">
            <w:pPr>
              <w:spacing w:line="480" w:lineRule="auto"/>
              <w:rPr>
                <w:rFonts w:ascii="Times New Roman" w:hAnsi="Times New Roman" w:cs="Times New Roman"/>
                <w:b w:val="0"/>
                <w:bCs w:val="0"/>
              </w:rPr>
            </w:pPr>
            <w:r w:rsidRPr="000E1C62">
              <w:rPr>
                <w:rFonts w:ascii="Times New Roman" w:hAnsi="Times New Roman" w:cs="Times New Roman"/>
                <w:b w:val="0"/>
                <w:bCs w:val="0"/>
              </w:rPr>
              <w:t>% energy</w:t>
            </w:r>
          </w:p>
        </w:tc>
        <w:tc>
          <w:tcPr>
            <w:tcW w:w="854" w:type="dxa"/>
            <w:shd w:val="clear" w:color="auto" w:fill="auto"/>
            <w:vAlign w:val="center"/>
          </w:tcPr>
          <w:p w14:paraId="340A6EFC" w14:textId="6D0E58DF" w:rsidR="00422DD1" w:rsidRPr="000E1C62" w:rsidRDefault="00422DD1" w:rsidP="004F511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36.9</w:t>
            </w:r>
          </w:p>
        </w:tc>
        <w:tc>
          <w:tcPr>
            <w:tcW w:w="238" w:type="dxa"/>
            <w:shd w:val="clear" w:color="auto" w:fill="auto"/>
            <w:vAlign w:val="center"/>
          </w:tcPr>
          <w:p w14:paraId="0F507904" w14:textId="77777777" w:rsidR="00422DD1" w:rsidRPr="000E1C62" w:rsidRDefault="00422DD1" w:rsidP="004F511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shd w:val="clear" w:color="auto" w:fill="auto"/>
            <w:vAlign w:val="center"/>
          </w:tcPr>
          <w:p w14:paraId="1D3F3C29" w14:textId="1D9C9321" w:rsidR="00422DD1" w:rsidRPr="000E1C62" w:rsidRDefault="00422DD1" w:rsidP="004F511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8.0</w:t>
            </w:r>
          </w:p>
        </w:tc>
        <w:tc>
          <w:tcPr>
            <w:tcW w:w="644" w:type="dxa"/>
            <w:shd w:val="clear" w:color="auto" w:fill="auto"/>
            <w:vAlign w:val="center"/>
          </w:tcPr>
          <w:p w14:paraId="1DF3C318" w14:textId="1E575DEB" w:rsidR="00422DD1" w:rsidRPr="000E1C62" w:rsidRDefault="00422DD1" w:rsidP="004F511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35.7</w:t>
            </w:r>
          </w:p>
        </w:tc>
        <w:tc>
          <w:tcPr>
            <w:tcW w:w="236" w:type="dxa"/>
            <w:shd w:val="clear" w:color="auto" w:fill="auto"/>
            <w:vAlign w:val="center"/>
          </w:tcPr>
          <w:p w14:paraId="2B902D29" w14:textId="77777777" w:rsidR="00422DD1" w:rsidRPr="000E1C62" w:rsidRDefault="00422DD1" w:rsidP="004F511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shd w:val="clear" w:color="auto" w:fill="auto"/>
            <w:vAlign w:val="center"/>
          </w:tcPr>
          <w:p w14:paraId="552155A2" w14:textId="2F1D850F" w:rsidR="00422DD1" w:rsidRPr="000E1C62" w:rsidRDefault="00422DD1" w:rsidP="004F511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6.7</w:t>
            </w:r>
          </w:p>
        </w:tc>
        <w:tc>
          <w:tcPr>
            <w:tcW w:w="658" w:type="dxa"/>
            <w:shd w:val="clear" w:color="auto" w:fill="auto"/>
            <w:vAlign w:val="center"/>
          </w:tcPr>
          <w:p w14:paraId="7ADF1C96" w14:textId="77777777" w:rsidR="00422DD1" w:rsidRPr="000E1C62" w:rsidRDefault="00422DD1" w:rsidP="00E912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65.0</w:t>
            </w:r>
          </w:p>
        </w:tc>
        <w:tc>
          <w:tcPr>
            <w:tcW w:w="252" w:type="dxa"/>
            <w:shd w:val="clear" w:color="auto" w:fill="auto"/>
            <w:vAlign w:val="center"/>
          </w:tcPr>
          <w:p w14:paraId="5C58A68B" w14:textId="77777777" w:rsidR="00422DD1" w:rsidRPr="000E1C62" w:rsidRDefault="00422DD1" w:rsidP="004F511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86" w:type="dxa"/>
            <w:shd w:val="clear" w:color="auto" w:fill="auto"/>
            <w:vAlign w:val="center"/>
          </w:tcPr>
          <w:p w14:paraId="4FFA0CAB" w14:textId="37619A74" w:rsidR="00422DD1" w:rsidRPr="000E1C62" w:rsidRDefault="00422DD1" w:rsidP="004F511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0.6</w:t>
            </w:r>
            <w:r w:rsidRPr="000E1C62">
              <w:rPr>
                <w:rFonts w:ascii="Times New Roman" w:hAnsi="Times New Roman" w:cs="Times New Roman"/>
                <w:bCs/>
                <w:i/>
                <w:iCs/>
                <w:color w:val="000000"/>
                <w:vertAlign w:val="superscript"/>
              </w:rPr>
              <w:t>ab</w:t>
            </w:r>
          </w:p>
        </w:tc>
        <w:tc>
          <w:tcPr>
            <w:tcW w:w="1428" w:type="dxa"/>
            <w:shd w:val="clear" w:color="auto" w:fill="auto"/>
          </w:tcPr>
          <w:p w14:paraId="7BF62311" w14:textId="5F8BB025" w:rsidR="00422DD1" w:rsidRPr="000E1C62" w:rsidRDefault="003556AA" w:rsidP="003556A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b/>
                <w:bCs/>
                <w:color w:val="000000"/>
              </w:rPr>
              <w:t>&lt;0.001</w:t>
            </w:r>
          </w:p>
        </w:tc>
      </w:tr>
      <w:tr w:rsidR="00E9120E" w:rsidRPr="000E1C62" w14:paraId="1062B851" w14:textId="3C49F577" w:rsidTr="00300FF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auto"/>
            <w:vAlign w:val="center"/>
          </w:tcPr>
          <w:p w14:paraId="0A875691" w14:textId="4E789930" w:rsidR="00422DD1" w:rsidRPr="000E1C62" w:rsidRDefault="00422DD1" w:rsidP="004F511E">
            <w:pPr>
              <w:spacing w:line="480" w:lineRule="auto"/>
              <w:rPr>
                <w:rFonts w:ascii="Times New Roman" w:hAnsi="Times New Roman" w:cs="Times New Roman"/>
              </w:rPr>
            </w:pPr>
            <w:r w:rsidRPr="000E1C62">
              <w:rPr>
                <w:rFonts w:ascii="Times New Roman" w:hAnsi="Times New Roman" w:cs="Times New Roman"/>
                <w:b w:val="0"/>
                <w:bCs w:val="0"/>
              </w:rPr>
              <w:t xml:space="preserve">      SFA (% energy)</w:t>
            </w:r>
          </w:p>
        </w:tc>
        <w:tc>
          <w:tcPr>
            <w:tcW w:w="854" w:type="dxa"/>
            <w:tcBorders>
              <w:left w:val="none" w:sz="0" w:space="0" w:color="auto"/>
              <w:right w:val="none" w:sz="0" w:space="0" w:color="auto"/>
            </w:tcBorders>
            <w:shd w:val="clear" w:color="auto" w:fill="auto"/>
            <w:vAlign w:val="center"/>
          </w:tcPr>
          <w:p w14:paraId="0510A57D" w14:textId="0466FE07" w:rsidR="00422DD1" w:rsidRPr="000E1C62" w:rsidRDefault="00422DD1" w:rsidP="004F511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13.7</w:t>
            </w:r>
          </w:p>
        </w:tc>
        <w:tc>
          <w:tcPr>
            <w:tcW w:w="238" w:type="dxa"/>
            <w:tcBorders>
              <w:left w:val="none" w:sz="0" w:space="0" w:color="auto"/>
              <w:right w:val="none" w:sz="0" w:space="0" w:color="auto"/>
            </w:tcBorders>
            <w:shd w:val="clear" w:color="auto" w:fill="auto"/>
            <w:vAlign w:val="center"/>
          </w:tcPr>
          <w:p w14:paraId="6AA95159" w14:textId="794CEC2B"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tcBorders>
              <w:left w:val="none" w:sz="0" w:space="0" w:color="auto"/>
              <w:right w:val="none" w:sz="0" w:space="0" w:color="auto"/>
            </w:tcBorders>
            <w:shd w:val="clear" w:color="auto" w:fill="auto"/>
            <w:vAlign w:val="center"/>
          </w:tcPr>
          <w:p w14:paraId="7CA2B239" w14:textId="515613AF"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2.9</w:t>
            </w:r>
          </w:p>
        </w:tc>
        <w:tc>
          <w:tcPr>
            <w:tcW w:w="644" w:type="dxa"/>
            <w:tcBorders>
              <w:left w:val="none" w:sz="0" w:space="0" w:color="auto"/>
              <w:right w:val="none" w:sz="0" w:space="0" w:color="auto"/>
            </w:tcBorders>
            <w:shd w:val="clear" w:color="auto" w:fill="auto"/>
            <w:vAlign w:val="center"/>
          </w:tcPr>
          <w:p w14:paraId="089C2E52" w14:textId="67387841" w:rsidR="00422DD1" w:rsidRPr="000E1C62" w:rsidRDefault="00422DD1" w:rsidP="004F511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13.2</w:t>
            </w:r>
          </w:p>
        </w:tc>
        <w:tc>
          <w:tcPr>
            <w:tcW w:w="236" w:type="dxa"/>
            <w:tcBorders>
              <w:left w:val="none" w:sz="0" w:space="0" w:color="auto"/>
              <w:right w:val="none" w:sz="0" w:space="0" w:color="auto"/>
            </w:tcBorders>
            <w:shd w:val="clear" w:color="auto" w:fill="auto"/>
            <w:vAlign w:val="center"/>
          </w:tcPr>
          <w:p w14:paraId="6AA9ABC5" w14:textId="38BB4D84"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tcBorders>
              <w:left w:val="none" w:sz="0" w:space="0" w:color="auto"/>
              <w:right w:val="none" w:sz="0" w:space="0" w:color="auto"/>
            </w:tcBorders>
            <w:shd w:val="clear" w:color="auto" w:fill="auto"/>
            <w:vAlign w:val="center"/>
          </w:tcPr>
          <w:p w14:paraId="0A2F9650" w14:textId="755E9FE8"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2.6</w:t>
            </w:r>
          </w:p>
        </w:tc>
        <w:tc>
          <w:tcPr>
            <w:tcW w:w="658" w:type="dxa"/>
            <w:tcBorders>
              <w:left w:val="none" w:sz="0" w:space="0" w:color="auto"/>
              <w:right w:val="none" w:sz="0" w:space="0" w:color="auto"/>
            </w:tcBorders>
            <w:shd w:val="clear" w:color="auto" w:fill="auto"/>
            <w:vAlign w:val="center"/>
          </w:tcPr>
          <w:p w14:paraId="5EA62432" w14:textId="2A183EA6" w:rsidR="00422DD1" w:rsidRPr="000E1C62" w:rsidRDefault="00422DD1" w:rsidP="00E912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31.5</w:t>
            </w:r>
          </w:p>
        </w:tc>
        <w:tc>
          <w:tcPr>
            <w:tcW w:w="252" w:type="dxa"/>
            <w:tcBorders>
              <w:left w:val="none" w:sz="0" w:space="0" w:color="auto"/>
              <w:right w:val="none" w:sz="0" w:space="0" w:color="auto"/>
            </w:tcBorders>
            <w:shd w:val="clear" w:color="auto" w:fill="auto"/>
            <w:vAlign w:val="center"/>
          </w:tcPr>
          <w:p w14:paraId="26C787A7" w14:textId="77777777"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0E1C62">
              <w:rPr>
                <w:rFonts w:ascii="Times New Roman" w:hAnsi="Times New Roman" w:cs="Times New Roman"/>
                <w:color w:val="000000"/>
              </w:rPr>
              <w:t>±</w:t>
            </w:r>
          </w:p>
        </w:tc>
        <w:tc>
          <w:tcPr>
            <w:tcW w:w="686" w:type="dxa"/>
            <w:tcBorders>
              <w:left w:val="none" w:sz="0" w:space="0" w:color="auto"/>
              <w:right w:val="none" w:sz="0" w:space="0" w:color="auto"/>
            </w:tcBorders>
            <w:shd w:val="clear" w:color="auto" w:fill="auto"/>
            <w:vAlign w:val="center"/>
          </w:tcPr>
          <w:p w14:paraId="4FABE450" w14:textId="3778FBD3"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0.5</w:t>
            </w:r>
            <w:r w:rsidRPr="000E1C62">
              <w:rPr>
                <w:rFonts w:ascii="Times New Roman" w:hAnsi="Times New Roman" w:cs="Times New Roman"/>
                <w:bCs/>
                <w:i/>
                <w:iCs/>
                <w:color w:val="000000"/>
                <w:vertAlign w:val="superscript"/>
              </w:rPr>
              <w:t>ab</w:t>
            </w:r>
          </w:p>
        </w:tc>
        <w:tc>
          <w:tcPr>
            <w:tcW w:w="1428" w:type="dxa"/>
            <w:tcBorders>
              <w:left w:val="none" w:sz="0" w:space="0" w:color="auto"/>
              <w:right w:val="none" w:sz="0" w:space="0" w:color="auto"/>
            </w:tcBorders>
            <w:shd w:val="clear" w:color="auto" w:fill="auto"/>
          </w:tcPr>
          <w:p w14:paraId="3C4CE94B" w14:textId="2D630BE5" w:rsidR="00422DD1" w:rsidRPr="000E1C62" w:rsidRDefault="00CA43A1" w:rsidP="00CA43A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
                <w:bCs/>
                <w:color w:val="000000"/>
              </w:rPr>
              <w:t>&lt;0.001</w:t>
            </w:r>
          </w:p>
        </w:tc>
      </w:tr>
      <w:tr w:rsidR="00E9120E" w:rsidRPr="000E1C62" w14:paraId="5348D787" w14:textId="3F0FA3F0" w:rsidTr="00300FF2">
        <w:trPr>
          <w:trHeight w:val="504"/>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3645BA71" w14:textId="175EAD15" w:rsidR="00422DD1" w:rsidRPr="000E1C62" w:rsidRDefault="00422DD1" w:rsidP="004F511E">
            <w:pPr>
              <w:spacing w:line="480" w:lineRule="auto"/>
              <w:rPr>
                <w:rFonts w:ascii="Times New Roman" w:hAnsi="Times New Roman" w:cs="Times New Roman"/>
              </w:rPr>
            </w:pPr>
            <w:r w:rsidRPr="000E1C62">
              <w:rPr>
                <w:rFonts w:ascii="Times New Roman" w:hAnsi="Times New Roman" w:cs="Times New Roman"/>
                <w:b w:val="0"/>
                <w:bCs w:val="0"/>
              </w:rPr>
              <w:t xml:space="preserve">      MUFA (% energy)</w:t>
            </w:r>
          </w:p>
        </w:tc>
        <w:tc>
          <w:tcPr>
            <w:tcW w:w="854" w:type="dxa"/>
            <w:shd w:val="clear" w:color="auto" w:fill="auto"/>
            <w:vAlign w:val="center"/>
          </w:tcPr>
          <w:p w14:paraId="2C0E51AD" w14:textId="19CD57DD" w:rsidR="00422DD1" w:rsidRPr="000E1C62" w:rsidRDefault="00422DD1" w:rsidP="004F511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15.9</w:t>
            </w:r>
          </w:p>
        </w:tc>
        <w:tc>
          <w:tcPr>
            <w:tcW w:w="238" w:type="dxa"/>
            <w:shd w:val="clear" w:color="auto" w:fill="auto"/>
            <w:vAlign w:val="center"/>
          </w:tcPr>
          <w:p w14:paraId="3C601E68" w14:textId="170D2416" w:rsidR="00422DD1" w:rsidRPr="000E1C62" w:rsidRDefault="00422DD1" w:rsidP="004F511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shd w:val="clear" w:color="auto" w:fill="auto"/>
            <w:vAlign w:val="center"/>
          </w:tcPr>
          <w:p w14:paraId="4E7B5D56" w14:textId="180C6140" w:rsidR="00422DD1" w:rsidRPr="000E1C62" w:rsidRDefault="00422DD1" w:rsidP="004F511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5.2</w:t>
            </w:r>
          </w:p>
        </w:tc>
        <w:tc>
          <w:tcPr>
            <w:tcW w:w="644" w:type="dxa"/>
            <w:shd w:val="clear" w:color="auto" w:fill="auto"/>
            <w:vAlign w:val="center"/>
          </w:tcPr>
          <w:p w14:paraId="6DB8991C" w14:textId="48DBB29F" w:rsidR="00422DD1" w:rsidRPr="000E1C62" w:rsidRDefault="00422DD1" w:rsidP="004F511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15.7</w:t>
            </w:r>
          </w:p>
        </w:tc>
        <w:tc>
          <w:tcPr>
            <w:tcW w:w="236" w:type="dxa"/>
            <w:shd w:val="clear" w:color="auto" w:fill="auto"/>
            <w:vAlign w:val="center"/>
          </w:tcPr>
          <w:p w14:paraId="5DD6C473" w14:textId="049990E8" w:rsidR="00422DD1" w:rsidRPr="000E1C62" w:rsidRDefault="00422DD1" w:rsidP="004F511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shd w:val="clear" w:color="auto" w:fill="auto"/>
            <w:vAlign w:val="center"/>
          </w:tcPr>
          <w:p w14:paraId="133B6498" w14:textId="7E993E22" w:rsidR="00422DD1" w:rsidRPr="000E1C62" w:rsidRDefault="00422DD1" w:rsidP="004F511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4.4</w:t>
            </w:r>
          </w:p>
        </w:tc>
        <w:tc>
          <w:tcPr>
            <w:tcW w:w="658" w:type="dxa"/>
            <w:shd w:val="clear" w:color="auto" w:fill="auto"/>
            <w:vAlign w:val="center"/>
          </w:tcPr>
          <w:p w14:paraId="688ED583" w14:textId="36114488" w:rsidR="00422DD1" w:rsidRPr="000E1C62" w:rsidRDefault="00422DD1" w:rsidP="00E912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25.7</w:t>
            </w:r>
          </w:p>
        </w:tc>
        <w:tc>
          <w:tcPr>
            <w:tcW w:w="252" w:type="dxa"/>
            <w:shd w:val="clear" w:color="auto" w:fill="auto"/>
            <w:vAlign w:val="center"/>
          </w:tcPr>
          <w:p w14:paraId="4AA1E891" w14:textId="77777777" w:rsidR="00422DD1" w:rsidRPr="000E1C62" w:rsidRDefault="00422DD1" w:rsidP="004F511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0E1C62">
              <w:rPr>
                <w:rFonts w:ascii="Times New Roman" w:hAnsi="Times New Roman" w:cs="Times New Roman"/>
                <w:color w:val="000000"/>
              </w:rPr>
              <w:t>±</w:t>
            </w:r>
          </w:p>
        </w:tc>
        <w:tc>
          <w:tcPr>
            <w:tcW w:w="686" w:type="dxa"/>
            <w:shd w:val="clear" w:color="auto" w:fill="auto"/>
            <w:vAlign w:val="center"/>
          </w:tcPr>
          <w:p w14:paraId="4063E4AF" w14:textId="18BD8A0D" w:rsidR="00422DD1" w:rsidRPr="000E1C62" w:rsidRDefault="00422DD1" w:rsidP="004F511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0.5</w:t>
            </w:r>
            <w:r w:rsidRPr="000E1C62">
              <w:rPr>
                <w:rFonts w:ascii="Times New Roman" w:hAnsi="Times New Roman" w:cs="Times New Roman"/>
                <w:bCs/>
                <w:i/>
                <w:iCs/>
                <w:color w:val="000000"/>
                <w:vertAlign w:val="superscript"/>
              </w:rPr>
              <w:t>ab</w:t>
            </w:r>
          </w:p>
        </w:tc>
        <w:tc>
          <w:tcPr>
            <w:tcW w:w="1428" w:type="dxa"/>
            <w:shd w:val="clear" w:color="auto" w:fill="auto"/>
          </w:tcPr>
          <w:p w14:paraId="67005F9E" w14:textId="38FE70D1" w:rsidR="00422DD1" w:rsidRPr="000E1C62" w:rsidRDefault="00AC1464" w:rsidP="00AC146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
                <w:bCs/>
                <w:color w:val="000000"/>
              </w:rPr>
              <w:t>&lt;0.001</w:t>
            </w:r>
          </w:p>
        </w:tc>
      </w:tr>
      <w:tr w:rsidR="00E9120E" w:rsidRPr="000E1C62" w14:paraId="1FF7EC27" w14:textId="3526DBDD" w:rsidTr="00300FF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auto"/>
            <w:vAlign w:val="center"/>
          </w:tcPr>
          <w:p w14:paraId="2C813A99" w14:textId="3076A74D" w:rsidR="00422DD1" w:rsidRPr="000E1C62" w:rsidRDefault="00422DD1" w:rsidP="004F511E">
            <w:pPr>
              <w:spacing w:line="480" w:lineRule="auto"/>
              <w:rPr>
                <w:rFonts w:ascii="Times New Roman" w:hAnsi="Times New Roman" w:cs="Times New Roman"/>
                <w:b w:val="0"/>
                <w:bCs w:val="0"/>
              </w:rPr>
            </w:pPr>
            <w:r w:rsidRPr="000E1C62">
              <w:rPr>
                <w:rFonts w:ascii="Times New Roman" w:hAnsi="Times New Roman" w:cs="Times New Roman"/>
                <w:b w:val="0"/>
                <w:bCs w:val="0"/>
              </w:rPr>
              <w:t xml:space="preserve">      PUFA (% energy)</w:t>
            </w:r>
          </w:p>
        </w:tc>
        <w:tc>
          <w:tcPr>
            <w:tcW w:w="854" w:type="dxa"/>
            <w:tcBorders>
              <w:left w:val="none" w:sz="0" w:space="0" w:color="auto"/>
              <w:right w:val="none" w:sz="0" w:space="0" w:color="auto"/>
            </w:tcBorders>
            <w:shd w:val="clear" w:color="auto" w:fill="auto"/>
            <w:vAlign w:val="center"/>
          </w:tcPr>
          <w:p w14:paraId="74B1D047" w14:textId="62359CB0" w:rsidR="00422DD1" w:rsidRPr="000E1C62" w:rsidRDefault="00422DD1" w:rsidP="004F511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7.3</w:t>
            </w:r>
          </w:p>
        </w:tc>
        <w:tc>
          <w:tcPr>
            <w:tcW w:w="238" w:type="dxa"/>
            <w:tcBorders>
              <w:left w:val="none" w:sz="0" w:space="0" w:color="auto"/>
              <w:right w:val="none" w:sz="0" w:space="0" w:color="auto"/>
            </w:tcBorders>
            <w:shd w:val="clear" w:color="auto" w:fill="auto"/>
            <w:vAlign w:val="center"/>
          </w:tcPr>
          <w:p w14:paraId="649025AF" w14:textId="77EF7729"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tcBorders>
              <w:left w:val="none" w:sz="0" w:space="0" w:color="auto"/>
              <w:right w:val="none" w:sz="0" w:space="0" w:color="auto"/>
            </w:tcBorders>
            <w:shd w:val="clear" w:color="auto" w:fill="auto"/>
            <w:vAlign w:val="center"/>
          </w:tcPr>
          <w:p w14:paraId="09028803" w14:textId="1736DA51"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2.0</w:t>
            </w:r>
          </w:p>
        </w:tc>
        <w:tc>
          <w:tcPr>
            <w:tcW w:w="644" w:type="dxa"/>
            <w:tcBorders>
              <w:left w:val="none" w:sz="0" w:space="0" w:color="auto"/>
              <w:right w:val="none" w:sz="0" w:space="0" w:color="auto"/>
            </w:tcBorders>
            <w:shd w:val="clear" w:color="auto" w:fill="auto"/>
            <w:vAlign w:val="center"/>
          </w:tcPr>
          <w:p w14:paraId="4128A1F9" w14:textId="7E5D7F23" w:rsidR="00422DD1" w:rsidRPr="000E1C62" w:rsidRDefault="00422DD1" w:rsidP="004F511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6.9</w:t>
            </w:r>
          </w:p>
        </w:tc>
        <w:tc>
          <w:tcPr>
            <w:tcW w:w="236" w:type="dxa"/>
            <w:tcBorders>
              <w:left w:val="none" w:sz="0" w:space="0" w:color="auto"/>
              <w:right w:val="none" w:sz="0" w:space="0" w:color="auto"/>
            </w:tcBorders>
            <w:shd w:val="clear" w:color="auto" w:fill="auto"/>
            <w:vAlign w:val="center"/>
          </w:tcPr>
          <w:p w14:paraId="4EDAA0DA" w14:textId="1258C07E"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tcBorders>
              <w:left w:val="none" w:sz="0" w:space="0" w:color="auto"/>
              <w:right w:val="none" w:sz="0" w:space="0" w:color="auto"/>
            </w:tcBorders>
            <w:shd w:val="clear" w:color="auto" w:fill="auto"/>
            <w:vAlign w:val="center"/>
          </w:tcPr>
          <w:p w14:paraId="3459AB67" w14:textId="361A1841"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2.0</w:t>
            </w:r>
          </w:p>
        </w:tc>
        <w:tc>
          <w:tcPr>
            <w:tcW w:w="658" w:type="dxa"/>
            <w:tcBorders>
              <w:left w:val="none" w:sz="0" w:space="0" w:color="auto"/>
              <w:right w:val="none" w:sz="0" w:space="0" w:color="auto"/>
            </w:tcBorders>
            <w:shd w:val="clear" w:color="auto" w:fill="auto"/>
            <w:vAlign w:val="center"/>
          </w:tcPr>
          <w:p w14:paraId="6F1170F2" w14:textId="77186963" w:rsidR="00422DD1" w:rsidRPr="000E1C62" w:rsidRDefault="00422DD1" w:rsidP="00E912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7.8</w:t>
            </w:r>
          </w:p>
        </w:tc>
        <w:tc>
          <w:tcPr>
            <w:tcW w:w="252" w:type="dxa"/>
            <w:tcBorders>
              <w:left w:val="none" w:sz="0" w:space="0" w:color="auto"/>
              <w:right w:val="none" w:sz="0" w:space="0" w:color="auto"/>
            </w:tcBorders>
            <w:shd w:val="clear" w:color="auto" w:fill="auto"/>
            <w:vAlign w:val="center"/>
          </w:tcPr>
          <w:p w14:paraId="0B26EEA6" w14:textId="77777777" w:rsidR="00422DD1" w:rsidRPr="000E1C62" w:rsidRDefault="00422DD1" w:rsidP="004F511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0E1C62">
              <w:rPr>
                <w:rFonts w:ascii="Times New Roman" w:hAnsi="Times New Roman" w:cs="Times New Roman"/>
                <w:color w:val="000000"/>
              </w:rPr>
              <w:t>±</w:t>
            </w:r>
          </w:p>
        </w:tc>
        <w:tc>
          <w:tcPr>
            <w:tcW w:w="686" w:type="dxa"/>
            <w:tcBorders>
              <w:left w:val="none" w:sz="0" w:space="0" w:color="auto"/>
              <w:right w:val="none" w:sz="0" w:space="0" w:color="auto"/>
            </w:tcBorders>
            <w:shd w:val="clear" w:color="auto" w:fill="auto"/>
            <w:vAlign w:val="center"/>
          </w:tcPr>
          <w:p w14:paraId="6F9E1E29" w14:textId="7A4CCB8D" w:rsidR="00422DD1" w:rsidRPr="000E1C62" w:rsidRDefault="00422DD1" w:rsidP="004F511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0.5</w:t>
            </w:r>
          </w:p>
        </w:tc>
        <w:tc>
          <w:tcPr>
            <w:tcW w:w="1428" w:type="dxa"/>
            <w:tcBorders>
              <w:left w:val="none" w:sz="0" w:space="0" w:color="auto"/>
              <w:right w:val="none" w:sz="0" w:space="0" w:color="auto"/>
            </w:tcBorders>
            <w:shd w:val="clear" w:color="auto" w:fill="auto"/>
          </w:tcPr>
          <w:p w14:paraId="1DFC45D8" w14:textId="1449D634" w:rsidR="00422DD1" w:rsidRPr="000E1C62" w:rsidRDefault="00172F13" w:rsidP="00535DF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0.44</w:t>
            </w:r>
          </w:p>
        </w:tc>
      </w:tr>
      <w:tr w:rsidR="001A211C" w:rsidRPr="000E1C62" w14:paraId="55D4008B" w14:textId="783764CB" w:rsidTr="00300FF2">
        <w:trPr>
          <w:trHeight w:val="504"/>
        </w:trPr>
        <w:tc>
          <w:tcPr>
            <w:cnfStyle w:val="001000000000" w:firstRow="0" w:lastRow="0" w:firstColumn="1" w:lastColumn="0" w:oddVBand="0" w:evenVBand="0" w:oddHBand="0" w:evenHBand="0" w:firstRowFirstColumn="0" w:firstRowLastColumn="0" w:lastRowFirstColumn="0" w:lastRowLastColumn="0"/>
            <w:tcW w:w="9001" w:type="dxa"/>
            <w:gridSpan w:val="11"/>
            <w:shd w:val="clear" w:color="auto" w:fill="auto"/>
            <w:vAlign w:val="center"/>
          </w:tcPr>
          <w:p w14:paraId="513E929C" w14:textId="07AD75A8" w:rsidR="001A211C" w:rsidRPr="000E1C62" w:rsidRDefault="001A211C" w:rsidP="00344D65">
            <w:pPr>
              <w:spacing w:line="480" w:lineRule="auto"/>
              <w:rPr>
                <w:rFonts w:ascii="Times New Roman" w:hAnsi="Times New Roman" w:cs="Times New Roman"/>
                <w:bCs w:val="0"/>
                <w:color w:val="000000"/>
              </w:rPr>
            </w:pPr>
            <w:r w:rsidRPr="000E1C62">
              <w:rPr>
                <w:rFonts w:ascii="Times New Roman" w:hAnsi="Times New Roman" w:cs="Times New Roman"/>
                <w:bCs w:val="0"/>
                <w:color w:val="000000"/>
              </w:rPr>
              <w:t>Carbohydrate</w:t>
            </w:r>
          </w:p>
        </w:tc>
      </w:tr>
      <w:tr w:rsidR="00E9120E" w:rsidRPr="000E1C62" w14:paraId="7A0DF29F" w14:textId="29E16D8D" w:rsidTr="00300FF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auto"/>
            <w:vAlign w:val="center"/>
          </w:tcPr>
          <w:p w14:paraId="5A95FEE8" w14:textId="61324B7C" w:rsidR="00422DD1" w:rsidRPr="000E1C62" w:rsidRDefault="00422DD1" w:rsidP="00344D65">
            <w:pPr>
              <w:spacing w:line="480" w:lineRule="auto"/>
              <w:rPr>
                <w:rFonts w:ascii="Times New Roman" w:hAnsi="Times New Roman" w:cs="Times New Roman"/>
              </w:rPr>
            </w:pPr>
            <w:r w:rsidRPr="000E1C62">
              <w:rPr>
                <w:rFonts w:ascii="Times New Roman" w:hAnsi="Times New Roman" w:cs="Times New Roman"/>
                <w:b w:val="0"/>
              </w:rPr>
              <w:t>Grams per day</w:t>
            </w:r>
          </w:p>
        </w:tc>
        <w:tc>
          <w:tcPr>
            <w:tcW w:w="854" w:type="dxa"/>
            <w:tcBorders>
              <w:left w:val="none" w:sz="0" w:space="0" w:color="auto"/>
              <w:right w:val="none" w:sz="0" w:space="0" w:color="auto"/>
            </w:tcBorders>
            <w:shd w:val="clear" w:color="auto" w:fill="auto"/>
            <w:vAlign w:val="center"/>
          </w:tcPr>
          <w:p w14:paraId="4760F774" w14:textId="7CAD8B7A" w:rsidR="00422DD1" w:rsidRPr="000E1C62" w:rsidRDefault="00422DD1" w:rsidP="00344D65">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301</w:t>
            </w:r>
          </w:p>
        </w:tc>
        <w:tc>
          <w:tcPr>
            <w:tcW w:w="238" w:type="dxa"/>
            <w:tcBorders>
              <w:left w:val="none" w:sz="0" w:space="0" w:color="auto"/>
              <w:right w:val="none" w:sz="0" w:space="0" w:color="auto"/>
            </w:tcBorders>
            <w:shd w:val="clear" w:color="auto" w:fill="auto"/>
            <w:vAlign w:val="center"/>
          </w:tcPr>
          <w:p w14:paraId="6E01E991" w14:textId="37C6A3B3" w:rsidR="00422DD1" w:rsidRPr="000E1C62" w:rsidRDefault="00422DD1" w:rsidP="00344D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tcBorders>
              <w:left w:val="none" w:sz="0" w:space="0" w:color="auto"/>
              <w:right w:val="none" w:sz="0" w:space="0" w:color="auto"/>
            </w:tcBorders>
            <w:shd w:val="clear" w:color="auto" w:fill="auto"/>
            <w:vAlign w:val="center"/>
          </w:tcPr>
          <w:p w14:paraId="5A6A4401" w14:textId="52B6155C" w:rsidR="00422DD1" w:rsidRPr="000E1C62" w:rsidRDefault="00422DD1" w:rsidP="00344D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75</w:t>
            </w:r>
          </w:p>
        </w:tc>
        <w:tc>
          <w:tcPr>
            <w:tcW w:w="644" w:type="dxa"/>
            <w:tcBorders>
              <w:left w:val="none" w:sz="0" w:space="0" w:color="auto"/>
              <w:right w:val="none" w:sz="0" w:space="0" w:color="auto"/>
            </w:tcBorders>
            <w:shd w:val="clear" w:color="auto" w:fill="auto"/>
            <w:vAlign w:val="center"/>
          </w:tcPr>
          <w:p w14:paraId="39BFBC98" w14:textId="68A1C479" w:rsidR="00422DD1" w:rsidRPr="000E1C62" w:rsidRDefault="00422DD1" w:rsidP="00344D65">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288</w:t>
            </w:r>
          </w:p>
        </w:tc>
        <w:tc>
          <w:tcPr>
            <w:tcW w:w="236" w:type="dxa"/>
            <w:tcBorders>
              <w:left w:val="none" w:sz="0" w:space="0" w:color="auto"/>
              <w:right w:val="none" w:sz="0" w:space="0" w:color="auto"/>
            </w:tcBorders>
            <w:shd w:val="clear" w:color="auto" w:fill="auto"/>
            <w:vAlign w:val="center"/>
          </w:tcPr>
          <w:p w14:paraId="0BB2F215" w14:textId="3810498E" w:rsidR="00422DD1" w:rsidRPr="000E1C62" w:rsidRDefault="00422DD1" w:rsidP="00344D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tcBorders>
              <w:left w:val="none" w:sz="0" w:space="0" w:color="auto"/>
              <w:right w:val="none" w:sz="0" w:space="0" w:color="auto"/>
            </w:tcBorders>
            <w:shd w:val="clear" w:color="auto" w:fill="auto"/>
            <w:vAlign w:val="center"/>
          </w:tcPr>
          <w:p w14:paraId="6AFDC174" w14:textId="0B6E56B4" w:rsidR="00422DD1" w:rsidRPr="000E1C62" w:rsidRDefault="00422DD1" w:rsidP="00344D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70</w:t>
            </w:r>
          </w:p>
        </w:tc>
        <w:tc>
          <w:tcPr>
            <w:tcW w:w="658" w:type="dxa"/>
            <w:tcBorders>
              <w:left w:val="none" w:sz="0" w:space="0" w:color="auto"/>
              <w:right w:val="none" w:sz="0" w:space="0" w:color="auto"/>
            </w:tcBorders>
            <w:shd w:val="clear" w:color="auto" w:fill="auto"/>
            <w:vAlign w:val="center"/>
          </w:tcPr>
          <w:p w14:paraId="23F37754" w14:textId="08B2D9CD" w:rsidR="00422DD1" w:rsidRPr="000E1C62" w:rsidRDefault="00422DD1" w:rsidP="00E912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256</w:t>
            </w:r>
          </w:p>
        </w:tc>
        <w:tc>
          <w:tcPr>
            <w:tcW w:w="252" w:type="dxa"/>
            <w:tcBorders>
              <w:left w:val="none" w:sz="0" w:space="0" w:color="auto"/>
              <w:right w:val="none" w:sz="0" w:space="0" w:color="auto"/>
            </w:tcBorders>
            <w:shd w:val="clear" w:color="auto" w:fill="auto"/>
            <w:vAlign w:val="center"/>
          </w:tcPr>
          <w:p w14:paraId="4E35927A" w14:textId="505A3748" w:rsidR="00422DD1" w:rsidRPr="000E1C62" w:rsidRDefault="00422DD1" w:rsidP="00344D6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86" w:type="dxa"/>
            <w:tcBorders>
              <w:left w:val="none" w:sz="0" w:space="0" w:color="auto"/>
              <w:right w:val="none" w:sz="0" w:space="0" w:color="auto"/>
            </w:tcBorders>
            <w:shd w:val="clear" w:color="auto" w:fill="auto"/>
            <w:vAlign w:val="center"/>
          </w:tcPr>
          <w:p w14:paraId="78413EAA" w14:textId="3007ACA2" w:rsidR="00422DD1" w:rsidRPr="000E1C62" w:rsidRDefault="00422DD1" w:rsidP="00344D6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10</w:t>
            </w:r>
          </w:p>
        </w:tc>
        <w:tc>
          <w:tcPr>
            <w:tcW w:w="1428" w:type="dxa"/>
            <w:tcBorders>
              <w:left w:val="none" w:sz="0" w:space="0" w:color="auto"/>
              <w:right w:val="none" w:sz="0" w:space="0" w:color="auto"/>
            </w:tcBorders>
            <w:shd w:val="clear" w:color="auto" w:fill="auto"/>
          </w:tcPr>
          <w:p w14:paraId="1F21D509" w14:textId="18BCE750" w:rsidR="00422DD1" w:rsidRPr="000E1C62" w:rsidRDefault="0007561A" w:rsidP="0007561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0.07</w:t>
            </w:r>
          </w:p>
        </w:tc>
      </w:tr>
      <w:tr w:rsidR="00E9120E" w:rsidRPr="000E1C62" w14:paraId="70B9B229" w14:textId="2BE55A53" w:rsidTr="00300FF2">
        <w:trPr>
          <w:trHeight w:val="504"/>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052B6552" w14:textId="4B054313" w:rsidR="00422DD1" w:rsidRPr="000E1C62" w:rsidRDefault="00422DD1" w:rsidP="00344D65">
            <w:pPr>
              <w:spacing w:line="480" w:lineRule="auto"/>
              <w:rPr>
                <w:rFonts w:ascii="Times New Roman" w:hAnsi="Times New Roman" w:cs="Times New Roman"/>
                <w:b w:val="0"/>
                <w:bCs w:val="0"/>
              </w:rPr>
            </w:pPr>
            <w:r w:rsidRPr="000E1C62">
              <w:rPr>
                <w:rFonts w:ascii="Times New Roman" w:hAnsi="Times New Roman" w:cs="Times New Roman"/>
                <w:b w:val="0"/>
                <w:bCs w:val="0"/>
              </w:rPr>
              <w:t>% energy</w:t>
            </w:r>
          </w:p>
        </w:tc>
        <w:tc>
          <w:tcPr>
            <w:tcW w:w="854" w:type="dxa"/>
            <w:shd w:val="clear" w:color="auto" w:fill="auto"/>
            <w:vAlign w:val="center"/>
          </w:tcPr>
          <w:p w14:paraId="6CDAA366" w14:textId="218681DC" w:rsidR="00422DD1" w:rsidRPr="000E1C62" w:rsidRDefault="00422DD1" w:rsidP="00344D65">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44.1</w:t>
            </w:r>
          </w:p>
        </w:tc>
        <w:tc>
          <w:tcPr>
            <w:tcW w:w="238" w:type="dxa"/>
            <w:shd w:val="clear" w:color="auto" w:fill="auto"/>
            <w:vAlign w:val="center"/>
          </w:tcPr>
          <w:p w14:paraId="1ABB6B21" w14:textId="77777777" w:rsidR="00422DD1" w:rsidRPr="000E1C62" w:rsidRDefault="00422DD1" w:rsidP="00344D6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shd w:val="clear" w:color="auto" w:fill="auto"/>
            <w:vAlign w:val="center"/>
          </w:tcPr>
          <w:p w14:paraId="23099A32" w14:textId="6473B153" w:rsidR="00422DD1" w:rsidRPr="000E1C62" w:rsidRDefault="00422DD1" w:rsidP="00344D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9.3</w:t>
            </w:r>
          </w:p>
        </w:tc>
        <w:tc>
          <w:tcPr>
            <w:tcW w:w="644" w:type="dxa"/>
            <w:shd w:val="clear" w:color="auto" w:fill="auto"/>
            <w:vAlign w:val="center"/>
          </w:tcPr>
          <w:p w14:paraId="426D3566" w14:textId="6CCAF175" w:rsidR="00422DD1" w:rsidRPr="000E1C62" w:rsidRDefault="00422DD1" w:rsidP="00344D65">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45.3</w:t>
            </w:r>
          </w:p>
        </w:tc>
        <w:tc>
          <w:tcPr>
            <w:tcW w:w="236" w:type="dxa"/>
            <w:shd w:val="clear" w:color="auto" w:fill="auto"/>
            <w:vAlign w:val="center"/>
          </w:tcPr>
          <w:p w14:paraId="72A65D99" w14:textId="77777777" w:rsidR="00422DD1" w:rsidRPr="000E1C62" w:rsidRDefault="00422DD1" w:rsidP="00344D6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shd w:val="clear" w:color="auto" w:fill="auto"/>
            <w:vAlign w:val="center"/>
          </w:tcPr>
          <w:p w14:paraId="7361A4B9" w14:textId="079D4194" w:rsidR="00422DD1" w:rsidRPr="000E1C62" w:rsidRDefault="00422DD1" w:rsidP="00344D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8.1</w:t>
            </w:r>
          </w:p>
        </w:tc>
        <w:tc>
          <w:tcPr>
            <w:tcW w:w="658" w:type="dxa"/>
            <w:shd w:val="clear" w:color="auto" w:fill="auto"/>
            <w:vAlign w:val="center"/>
          </w:tcPr>
          <w:p w14:paraId="03F94E03" w14:textId="77777777" w:rsidR="00422DD1" w:rsidRPr="000E1C62" w:rsidRDefault="00422DD1" w:rsidP="00344D65">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20.7</w:t>
            </w:r>
          </w:p>
        </w:tc>
        <w:tc>
          <w:tcPr>
            <w:tcW w:w="252" w:type="dxa"/>
            <w:shd w:val="clear" w:color="auto" w:fill="auto"/>
            <w:vAlign w:val="center"/>
          </w:tcPr>
          <w:p w14:paraId="0E3285DC" w14:textId="77777777" w:rsidR="00422DD1" w:rsidRPr="000E1C62" w:rsidRDefault="00422DD1" w:rsidP="00344D6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86" w:type="dxa"/>
            <w:shd w:val="clear" w:color="auto" w:fill="auto"/>
            <w:vAlign w:val="center"/>
          </w:tcPr>
          <w:p w14:paraId="43460850" w14:textId="2D29E122" w:rsidR="00422DD1" w:rsidRPr="000E1C62" w:rsidRDefault="00422DD1" w:rsidP="00344D6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0.4</w:t>
            </w:r>
            <w:r w:rsidRPr="000E1C62">
              <w:rPr>
                <w:rFonts w:ascii="Times New Roman" w:hAnsi="Times New Roman" w:cs="Times New Roman"/>
                <w:bCs/>
                <w:i/>
                <w:iCs/>
                <w:color w:val="000000"/>
                <w:vertAlign w:val="superscript"/>
              </w:rPr>
              <w:t>ab</w:t>
            </w:r>
          </w:p>
        </w:tc>
        <w:tc>
          <w:tcPr>
            <w:tcW w:w="1428" w:type="dxa"/>
            <w:shd w:val="clear" w:color="auto" w:fill="auto"/>
          </w:tcPr>
          <w:p w14:paraId="20FDFC24" w14:textId="48E063FD" w:rsidR="00422DD1" w:rsidRPr="000E1C62" w:rsidRDefault="00F70C71" w:rsidP="00545E0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0E1C62">
              <w:rPr>
                <w:rFonts w:ascii="Times New Roman" w:hAnsi="Times New Roman" w:cs="Times New Roman"/>
                <w:b/>
                <w:color w:val="000000"/>
              </w:rPr>
              <w:t>&lt;0.001</w:t>
            </w:r>
          </w:p>
        </w:tc>
      </w:tr>
      <w:tr w:rsidR="001A211C" w:rsidRPr="000E1C62" w14:paraId="0F36BBA7" w14:textId="3DDA7C67" w:rsidTr="00300FF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001" w:type="dxa"/>
            <w:gridSpan w:val="11"/>
            <w:tcBorders>
              <w:left w:val="none" w:sz="0" w:space="0" w:color="auto"/>
              <w:right w:val="none" w:sz="0" w:space="0" w:color="auto"/>
            </w:tcBorders>
            <w:shd w:val="clear" w:color="auto" w:fill="auto"/>
            <w:vAlign w:val="center"/>
          </w:tcPr>
          <w:p w14:paraId="08929EEE" w14:textId="7DF3A515" w:rsidR="001A211C" w:rsidRPr="000E1C62" w:rsidRDefault="001A211C" w:rsidP="009E6933">
            <w:pPr>
              <w:spacing w:line="480" w:lineRule="auto"/>
              <w:rPr>
                <w:rFonts w:ascii="Times New Roman" w:hAnsi="Times New Roman" w:cs="Times New Roman"/>
                <w:color w:val="000000"/>
              </w:rPr>
            </w:pPr>
            <w:r w:rsidRPr="000E1C62">
              <w:rPr>
                <w:rFonts w:ascii="Times New Roman" w:hAnsi="Times New Roman" w:cs="Times New Roman"/>
              </w:rPr>
              <w:t>Protein</w:t>
            </w:r>
          </w:p>
        </w:tc>
      </w:tr>
      <w:tr w:rsidR="00E9120E" w:rsidRPr="000E1C62" w14:paraId="0D200B54" w14:textId="5B639C36" w:rsidTr="00D911DC">
        <w:trPr>
          <w:trHeight w:val="504"/>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32D3FBDF" w14:textId="5C1CCF12" w:rsidR="00422DD1" w:rsidRPr="000E1C62" w:rsidRDefault="00422DD1" w:rsidP="009E6933">
            <w:pPr>
              <w:spacing w:line="480" w:lineRule="auto"/>
              <w:rPr>
                <w:rFonts w:ascii="Times New Roman" w:hAnsi="Times New Roman" w:cs="Times New Roman"/>
                <w:b w:val="0"/>
              </w:rPr>
            </w:pPr>
            <w:r w:rsidRPr="000E1C62">
              <w:rPr>
                <w:rFonts w:ascii="Times New Roman" w:hAnsi="Times New Roman" w:cs="Times New Roman"/>
                <w:b w:val="0"/>
              </w:rPr>
              <w:t>Grams per day</w:t>
            </w:r>
          </w:p>
        </w:tc>
        <w:tc>
          <w:tcPr>
            <w:tcW w:w="854" w:type="dxa"/>
            <w:shd w:val="clear" w:color="auto" w:fill="auto"/>
            <w:vAlign w:val="center"/>
          </w:tcPr>
          <w:p w14:paraId="097275FD" w14:textId="19EDDA6B" w:rsidR="00422DD1" w:rsidRPr="000E1C62" w:rsidRDefault="00422DD1" w:rsidP="009E693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126</w:t>
            </w:r>
          </w:p>
        </w:tc>
        <w:tc>
          <w:tcPr>
            <w:tcW w:w="238" w:type="dxa"/>
            <w:shd w:val="clear" w:color="auto" w:fill="auto"/>
            <w:vAlign w:val="center"/>
          </w:tcPr>
          <w:p w14:paraId="0725302F" w14:textId="712D1C1F" w:rsidR="00422DD1" w:rsidRPr="000E1C62" w:rsidRDefault="00422DD1" w:rsidP="009E693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shd w:val="clear" w:color="auto" w:fill="auto"/>
            <w:vAlign w:val="center"/>
          </w:tcPr>
          <w:p w14:paraId="38B63EEC" w14:textId="62DF5D30" w:rsidR="00422DD1" w:rsidRPr="000E1C62" w:rsidRDefault="00422DD1" w:rsidP="009E69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29</w:t>
            </w:r>
          </w:p>
        </w:tc>
        <w:tc>
          <w:tcPr>
            <w:tcW w:w="644" w:type="dxa"/>
            <w:shd w:val="clear" w:color="auto" w:fill="auto"/>
            <w:vAlign w:val="center"/>
          </w:tcPr>
          <w:p w14:paraId="4298BCA3" w14:textId="55E229F5" w:rsidR="00422DD1" w:rsidRPr="000E1C62" w:rsidRDefault="00422DD1" w:rsidP="009E693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117</w:t>
            </w:r>
          </w:p>
        </w:tc>
        <w:tc>
          <w:tcPr>
            <w:tcW w:w="236" w:type="dxa"/>
            <w:shd w:val="clear" w:color="auto" w:fill="auto"/>
            <w:vAlign w:val="center"/>
          </w:tcPr>
          <w:p w14:paraId="788993BA" w14:textId="0672B351" w:rsidR="00422DD1" w:rsidRPr="000E1C62" w:rsidRDefault="00422DD1" w:rsidP="009E693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shd w:val="clear" w:color="auto" w:fill="auto"/>
            <w:vAlign w:val="center"/>
          </w:tcPr>
          <w:p w14:paraId="50F53098" w14:textId="5756FAC4" w:rsidR="00422DD1" w:rsidRPr="000E1C62" w:rsidRDefault="00422DD1" w:rsidP="009E69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44</w:t>
            </w:r>
          </w:p>
        </w:tc>
        <w:tc>
          <w:tcPr>
            <w:tcW w:w="658" w:type="dxa"/>
            <w:shd w:val="clear" w:color="auto" w:fill="auto"/>
            <w:vAlign w:val="center"/>
          </w:tcPr>
          <w:p w14:paraId="695611F4" w14:textId="6FD265B5" w:rsidR="00422DD1" w:rsidRPr="000E1C62" w:rsidRDefault="00422DD1" w:rsidP="009E693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176</w:t>
            </w:r>
          </w:p>
        </w:tc>
        <w:tc>
          <w:tcPr>
            <w:tcW w:w="252" w:type="dxa"/>
            <w:shd w:val="clear" w:color="auto" w:fill="auto"/>
            <w:vAlign w:val="center"/>
          </w:tcPr>
          <w:p w14:paraId="25FBBC92" w14:textId="7594B647" w:rsidR="00422DD1" w:rsidRPr="000E1C62" w:rsidRDefault="00422DD1" w:rsidP="009E693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86" w:type="dxa"/>
            <w:shd w:val="clear" w:color="auto" w:fill="auto"/>
            <w:vAlign w:val="center"/>
          </w:tcPr>
          <w:p w14:paraId="457DFB57" w14:textId="4B8B0A44" w:rsidR="00422DD1" w:rsidRPr="000E1C62" w:rsidRDefault="00422DD1" w:rsidP="009E693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color w:val="000000"/>
              </w:rPr>
              <w:t>5</w:t>
            </w:r>
            <w:r w:rsidRPr="000E1C62">
              <w:rPr>
                <w:rFonts w:ascii="Times New Roman" w:hAnsi="Times New Roman" w:cs="Times New Roman"/>
                <w:bCs/>
                <w:i/>
                <w:iCs/>
                <w:color w:val="000000"/>
                <w:vertAlign w:val="superscript"/>
              </w:rPr>
              <w:t>ab</w:t>
            </w:r>
          </w:p>
        </w:tc>
        <w:tc>
          <w:tcPr>
            <w:tcW w:w="1428" w:type="dxa"/>
            <w:shd w:val="clear" w:color="auto" w:fill="auto"/>
          </w:tcPr>
          <w:p w14:paraId="3C1DEBF8" w14:textId="5D79488B" w:rsidR="00422DD1" w:rsidRPr="000E1C62" w:rsidRDefault="00342DFF" w:rsidP="00342DF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b/>
                <w:color w:val="000000"/>
              </w:rPr>
              <w:t>&lt;0.001</w:t>
            </w:r>
          </w:p>
        </w:tc>
      </w:tr>
      <w:tr w:rsidR="00E9120E" w:rsidRPr="000E1C62" w14:paraId="19AC772C" w14:textId="4FE7E0AF" w:rsidTr="00D911D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single" w:sz="4" w:space="0" w:color="auto"/>
              <w:right w:val="none" w:sz="0" w:space="0" w:color="auto"/>
            </w:tcBorders>
            <w:shd w:val="clear" w:color="auto" w:fill="auto"/>
            <w:vAlign w:val="center"/>
          </w:tcPr>
          <w:p w14:paraId="1EF4CB94" w14:textId="0943D426" w:rsidR="00422DD1" w:rsidRPr="000E1C62" w:rsidRDefault="00422DD1" w:rsidP="009E6933">
            <w:pPr>
              <w:spacing w:line="480" w:lineRule="auto"/>
              <w:rPr>
                <w:rFonts w:ascii="Times New Roman" w:hAnsi="Times New Roman" w:cs="Times New Roman"/>
                <w:b w:val="0"/>
                <w:bCs w:val="0"/>
              </w:rPr>
            </w:pPr>
            <w:r w:rsidRPr="000E1C62">
              <w:rPr>
                <w:rFonts w:ascii="Times New Roman" w:hAnsi="Times New Roman" w:cs="Times New Roman"/>
                <w:b w:val="0"/>
                <w:bCs w:val="0"/>
              </w:rPr>
              <w:t>% energy</w:t>
            </w:r>
          </w:p>
        </w:tc>
        <w:tc>
          <w:tcPr>
            <w:tcW w:w="854" w:type="dxa"/>
            <w:tcBorders>
              <w:left w:val="none" w:sz="0" w:space="0" w:color="auto"/>
              <w:bottom w:val="single" w:sz="4" w:space="0" w:color="auto"/>
              <w:right w:val="none" w:sz="0" w:space="0" w:color="auto"/>
            </w:tcBorders>
            <w:shd w:val="clear" w:color="auto" w:fill="auto"/>
            <w:vAlign w:val="center"/>
          </w:tcPr>
          <w:p w14:paraId="3032A9D5" w14:textId="64F994B8" w:rsidR="00422DD1" w:rsidRPr="000E1C62" w:rsidRDefault="00422DD1" w:rsidP="009E693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19.0</w:t>
            </w:r>
          </w:p>
        </w:tc>
        <w:tc>
          <w:tcPr>
            <w:tcW w:w="238" w:type="dxa"/>
            <w:tcBorders>
              <w:left w:val="none" w:sz="0" w:space="0" w:color="auto"/>
              <w:bottom w:val="single" w:sz="4" w:space="0" w:color="auto"/>
              <w:right w:val="none" w:sz="0" w:space="0" w:color="auto"/>
            </w:tcBorders>
            <w:shd w:val="clear" w:color="auto" w:fill="auto"/>
            <w:vAlign w:val="center"/>
          </w:tcPr>
          <w:p w14:paraId="22AA2BA5" w14:textId="77777777" w:rsidR="00422DD1" w:rsidRPr="000E1C62" w:rsidRDefault="00422DD1" w:rsidP="009E693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854" w:type="dxa"/>
            <w:tcBorders>
              <w:left w:val="none" w:sz="0" w:space="0" w:color="auto"/>
              <w:bottom w:val="single" w:sz="4" w:space="0" w:color="auto"/>
              <w:right w:val="none" w:sz="0" w:space="0" w:color="auto"/>
            </w:tcBorders>
            <w:shd w:val="clear" w:color="auto" w:fill="auto"/>
            <w:vAlign w:val="center"/>
          </w:tcPr>
          <w:p w14:paraId="7559158E" w14:textId="58537203" w:rsidR="00422DD1" w:rsidRPr="000E1C62" w:rsidRDefault="00422DD1" w:rsidP="009E69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2.7</w:t>
            </w:r>
          </w:p>
        </w:tc>
        <w:tc>
          <w:tcPr>
            <w:tcW w:w="644" w:type="dxa"/>
            <w:tcBorders>
              <w:left w:val="none" w:sz="0" w:space="0" w:color="auto"/>
              <w:bottom w:val="single" w:sz="4" w:space="0" w:color="auto"/>
              <w:right w:val="none" w:sz="0" w:space="0" w:color="auto"/>
            </w:tcBorders>
            <w:shd w:val="clear" w:color="auto" w:fill="auto"/>
            <w:vAlign w:val="center"/>
          </w:tcPr>
          <w:p w14:paraId="759CE6C3" w14:textId="65A96408" w:rsidR="00422DD1" w:rsidRPr="000E1C62" w:rsidRDefault="00422DD1" w:rsidP="009E693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18.9</w:t>
            </w:r>
          </w:p>
        </w:tc>
        <w:tc>
          <w:tcPr>
            <w:tcW w:w="236" w:type="dxa"/>
            <w:tcBorders>
              <w:left w:val="none" w:sz="0" w:space="0" w:color="auto"/>
              <w:bottom w:val="single" w:sz="4" w:space="0" w:color="auto"/>
              <w:right w:val="none" w:sz="0" w:space="0" w:color="auto"/>
            </w:tcBorders>
            <w:shd w:val="clear" w:color="auto" w:fill="auto"/>
            <w:vAlign w:val="center"/>
          </w:tcPr>
          <w:p w14:paraId="1F4DC28C" w14:textId="77777777" w:rsidR="00422DD1" w:rsidRPr="000E1C62" w:rsidRDefault="00422DD1" w:rsidP="009E693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31" w:type="dxa"/>
            <w:tcBorders>
              <w:left w:val="none" w:sz="0" w:space="0" w:color="auto"/>
              <w:bottom w:val="single" w:sz="4" w:space="0" w:color="auto"/>
              <w:right w:val="none" w:sz="0" w:space="0" w:color="auto"/>
            </w:tcBorders>
            <w:shd w:val="clear" w:color="auto" w:fill="auto"/>
            <w:vAlign w:val="center"/>
          </w:tcPr>
          <w:p w14:paraId="052D4A82" w14:textId="4364DBA1" w:rsidR="00422DD1" w:rsidRPr="000E1C62" w:rsidRDefault="00422DD1" w:rsidP="009E69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3.3</w:t>
            </w:r>
          </w:p>
        </w:tc>
        <w:tc>
          <w:tcPr>
            <w:tcW w:w="658" w:type="dxa"/>
            <w:tcBorders>
              <w:left w:val="none" w:sz="0" w:space="0" w:color="auto"/>
              <w:bottom w:val="single" w:sz="4" w:space="0" w:color="auto"/>
              <w:right w:val="none" w:sz="0" w:space="0" w:color="auto"/>
            </w:tcBorders>
            <w:shd w:val="clear" w:color="auto" w:fill="auto"/>
            <w:vAlign w:val="center"/>
          </w:tcPr>
          <w:p w14:paraId="359001F1" w14:textId="77777777" w:rsidR="00422DD1" w:rsidRPr="000E1C62" w:rsidRDefault="00422DD1" w:rsidP="009E693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bCs/>
                <w:color w:val="000000"/>
              </w:rPr>
              <w:t>14.2</w:t>
            </w:r>
          </w:p>
        </w:tc>
        <w:tc>
          <w:tcPr>
            <w:tcW w:w="252" w:type="dxa"/>
            <w:tcBorders>
              <w:left w:val="none" w:sz="0" w:space="0" w:color="auto"/>
              <w:bottom w:val="single" w:sz="4" w:space="0" w:color="auto"/>
              <w:right w:val="none" w:sz="0" w:space="0" w:color="auto"/>
            </w:tcBorders>
            <w:shd w:val="clear" w:color="auto" w:fill="auto"/>
            <w:vAlign w:val="center"/>
          </w:tcPr>
          <w:p w14:paraId="70A75489" w14:textId="77777777" w:rsidR="00422DD1" w:rsidRPr="000E1C62" w:rsidRDefault="00422DD1" w:rsidP="009E693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color w:val="000000"/>
              </w:rPr>
              <w:t>±</w:t>
            </w:r>
          </w:p>
        </w:tc>
        <w:tc>
          <w:tcPr>
            <w:tcW w:w="686" w:type="dxa"/>
            <w:tcBorders>
              <w:left w:val="none" w:sz="0" w:space="0" w:color="auto"/>
              <w:bottom w:val="single" w:sz="4" w:space="0" w:color="auto"/>
              <w:right w:val="none" w:sz="0" w:space="0" w:color="auto"/>
            </w:tcBorders>
            <w:shd w:val="clear" w:color="auto" w:fill="auto"/>
            <w:vAlign w:val="center"/>
          </w:tcPr>
          <w:p w14:paraId="5E6311BD" w14:textId="3A66BE80" w:rsidR="00422DD1" w:rsidRPr="000E1C62" w:rsidRDefault="00422DD1" w:rsidP="009E693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E1C62">
              <w:rPr>
                <w:rFonts w:ascii="Times New Roman" w:hAnsi="Times New Roman" w:cs="Times New Roman"/>
                <w:color w:val="000000"/>
              </w:rPr>
              <w:t>0.4</w:t>
            </w:r>
            <w:r w:rsidRPr="000E1C62">
              <w:rPr>
                <w:rFonts w:ascii="Times New Roman" w:hAnsi="Times New Roman" w:cs="Times New Roman"/>
                <w:bCs/>
                <w:i/>
                <w:iCs/>
                <w:color w:val="000000"/>
                <w:vertAlign w:val="superscript"/>
              </w:rPr>
              <w:t>ab</w:t>
            </w:r>
          </w:p>
        </w:tc>
        <w:tc>
          <w:tcPr>
            <w:tcW w:w="1428" w:type="dxa"/>
            <w:tcBorders>
              <w:left w:val="none" w:sz="0" w:space="0" w:color="auto"/>
              <w:bottom w:val="single" w:sz="4" w:space="0" w:color="auto"/>
              <w:right w:val="none" w:sz="0" w:space="0" w:color="auto"/>
            </w:tcBorders>
            <w:shd w:val="clear" w:color="auto" w:fill="auto"/>
          </w:tcPr>
          <w:p w14:paraId="51C6443B" w14:textId="4E903FCB" w:rsidR="00422DD1" w:rsidRPr="000E1C62" w:rsidRDefault="007B5B16" w:rsidP="007B5B1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E1C62">
              <w:rPr>
                <w:rFonts w:ascii="Times New Roman" w:hAnsi="Times New Roman" w:cs="Times New Roman"/>
                <w:b/>
                <w:color w:val="000000"/>
              </w:rPr>
              <w:t>&lt;0.001</w:t>
            </w:r>
          </w:p>
        </w:tc>
      </w:tr>
    </w:tbl>
    <w:p w14:paraId="7122EFA6" w14:textId="51233C45" w:rsidR="00F90EFA" w:rsidRDefault="00897031" w:rsidP="00DC14C1">
      <w:pPr>
        <w:tabs>
          <w:tab w:val="left" w:pos="0"/>
        </w:tabs>
        <w:spacing w:before="120" w:after="0" w:line="480" w:lineRule="auto"/>
        <w:jc w:val="both"/>
        <w:rPr>
          <w:rFonts w:asciiTheme="majorBidi" w:hAnsiTheme="majorBidi" w:cstheme="majorBidi"/>
          <w:color w:val="000000"/>
        </w:rPr>
      </w:pPr>
      <w:r w:rsidRPr="000E1C62">
        <w:rPr>
          <w:rFonts w:asciiTheme="majorBidi" w:hAnsiTheme="majorBidi" w:cstheme="majorBidi"/>
        </w:rPr>
        <w:t xml:space="preserve">Data are presented as means </w:t>
      </w:r>
      <w:r w:rsidRPr="000E1C62">
        <w:rPr>
          <w:rFonts w:asciiTheme="majorBidi" w:hAnsiTheme="majorBidi" w:cstheme="majorBidi"/>
          <w:color w:val="000000"/>
        </w:rPr>
        <w:t>± SD</w:t>
      </w:r>
      <w:r w:rsidR="002B0D98" w:rsidRPr="000E1C62">
        <w:rPr>
          <w:rFonts w:asciiTheme="majorBidi" w:hAnsiTheme="majorBidi" w:cstheme="majorBidi"/>
          <w:color w:val="000000"/>
        </w:rPr>
        <w:t xml:space="preserve">, </w:t>
      </w:r>
      <w:r w:rsidR="00F26CBE" w:rsidRPr="000E1C62">
        <w:rPr>
          <w:rFonts w:asciiTheme="majorBidi" w:hAnsiTheme="majorBidi" w:cstheme="majorBidi"/>
          <w:bCs/>
          <w:i/>
        </w:rPr>
        <w:t>n</w:t>
      </w:r>
      <w:r w:rsidR="00F26CBE" w:rsidRPr="000E1C62">
        <w:rPr>
          <w:rFonts w:asciiTheme="majorBidi" w:hAnsiTheme="majorBidi" w:cstheme="majorBidi"/>
          <w:bCs/>
        </w:rPr>
        <w:t xml:space="preserve"> = 12</w:t>
      </w:r>
      <w:r w:rsidR="008716C8" w:rsidRPr="000E1C62">
        <w:rPr>
          <w:rFonts w:asciiTheme="majorBidi" w:hAnsiTheme="majorBidi" w:cstheme="majorBidi"/>
          <w:bCs/>
        </w:rPr>
        <w:t xml:space="preserve"> healthy men</w:t>
      </w:r>
      <w:r w:rsidRPr="000E1C62">
        <w:rPr>
          <w:rFonts w:asciiTheme="majorBidi" w:hAnsiTheme="majorBidi" w:cstheme="majorBidi"/>
          <w:color w:val="000000"/>
        </w:rPr>
        <w:t>. HE-HFD,</w:t>
      </w:r>
      <w:r>
        <w:rPr>
          <w:rFonts w:asciiTheme="majorBidi" w:hAnsiTheme="majorBidi" w:cstheme="majorBidi"/>
          <w:color w:val="000000"/>
        </w:rPr>
        <w:t xml:space="preserve"> hyper-energetic, high-fat diet; </w:t>
      </w:r>
      <w:r w:rsidR="00063320">
        <w:rPr>
          <w:rFonts w:asciiTheme="majorBidi" w:hAnsiTheme="majorBidi" w:cstheme="majorBidi"/>
          <w:color w:val="000000"/>
        </w:rPr>
        <w:t xml:space="preserve">MUFA, monounsaturated fatty acids; PUFA, polyunsaturated fatty acids; </w:t>
      </w:r>
      <w:r>
        <w:rPr>
          <w:rFonts w:asciiTheme="majorBidi" w:hAnsiTheme="majorBidi" w:cstheme="majorBidi"/>
          <w:color w:val="000000"/>
        </w:rPr>
        <w:t>SFA, saturated fatty acids.</w:t>
      </w:r>
    </w:p>
    <w:p w14:paraId="540B88BC" w14:textId="3D99CE31" w:rsidR="00F90EFA" w:rsidRPr="000E1C62" w:rsidRDefault="00C66BB8" w:rsidP="00DC14C1">
      <w:pPr>
        <w:tabs>
          <w:tab w:val="left" w:pos="0"/>
        </w:tabs>
        <w:spacing w:before="120" w:after="0" w:line="480" w:lineRule="auto"/>
        <w:jc w:val="both"/>
        <w:rPr>
          <w:rFonts w:asciiTheme="majorBidi" w:hAnsiTheme="majorBidi" w:cstheme="majorBidi"/>
        </w:rPr>
      </w:pPr>
      <w:proofErr w:type="spellStart"/>
      <w:r w:rsidRPr="000E1C62">
        <w:rPr>
          <w:rFonts w:asciiTheme="majorBidi" w:hAnsiTheme="majorBidi" w:cstheme="majorBidi"/>
          <w:i/>
          <w:iCs/>
          <w:vertAlign w:val="superscript"/>
        </w:rPr>
        <w:t>a</w:t>
      </w:r>
      <w:r w:rsidR="00F90EFA" w:rsidRPr="000E1C62">
        <w:rPr>
          <w:rFonts w:asciiTheme="majorBidi" w:hAnsiTheme="majorBidi" w:cstheme="majorBidi"/>
        </w:rPr>
        <w:t>Significantly</w:t>
      </w:r>
      <w:proofErr w:type="spellEnd"/>
      <w:r w:rsidR="00F90EFA" w:rsidRPr="000E1C62">
        <w:rPr>
          <w:rFonts w:asciiTheme="majorBidi" w:hAnsiTheme="majorBidi" w:cstheme="majorBidi"/>
        </w:rPr>
        <w:t xml:space="preserve"> different from baseline assessment</w:t>
      </w:r>
      <w:r w:rsidR="00725AB3" w:rsidRPr="000E1C62">
        <w:rPr>
          <w:rFonts w:asciiTheme="majorBidi" w:hAnsiTheme="majorBidi" w:cstheme="majorBidi"/>
        </w:rPr>
        <w:t xml:space="preserve">, </w:t>
      </w:r>
      <w:r w:rsidR="00F90EFA" w:rsidRPr="000E1C62">
        <w:rPr>
          <w:rFonts w:asciiTheme="majorBidi" w:hAnsiTheme="majorBidi" w:cstheme="majorBidi"/>
          <w:i/>
        </w:rPr>
        <w:t>P</w:t>
      </w:r>
      <w:r w:rsidR="00F90EFA" w:rsidRPr="000E1C62">
        <w:rPr>
          <w:rFonts w:asciiTheme="majorBidi" w:hAnsiTheme="majorBidi" w:cstheme="majorBidi"/>
        </w:rPr>
        <w:t xml:space="preserve"> &lt; 0.05.</w:t>
      </w:r>
    </w:p>
    <w:p w14:paraId="24CC7813" w14:textId="0B79A026" w:rsidR="00CA3E00" w:rsidRPr="000E1C62" w:rsidRDefault="00CE5CF9" w:rsidP="00DC14C1">
      <w:pPr>
        <w:tabs>
          <w:tab w:val="left" w:pos="0"/>
        </w:tabs>
        <w:spacing w:before="120" w:after="0" w:line="480" w:lineRule="auto"/>
        <w:jc w:val="both"/>
        <w:rPr>
          <w:rFonts w:asciiTheme="majorBidi" w:hAnsiTheme="majorBidi" w:cstheme="majorBidi"/>
        </w:rPr>
        <w:sectPr w:rsidR="00CA3E00" w:rsidRPr="000E1C62" w:rsidSect="007B6986">
          <w:pgSz w:w="11906" w:h="16838"/>
          <w:pgMar w:top="1440" w:right="1440" w:bottom="1440" w:left="1440" w:header="708" w:footer="708" w:gutter="0"/>
          <w:cols w:space="708"/>
          <w:docGrid w:linePitch="360"/>
        </w:sectPr>
      </w:pPr>
      <w:proofErr w:type="spellStart"/>
      <w:r w:rsidRPr="000E1C62">
        <w:rPr>
          <w:rFonts w:ascii="Times New Roman" w:hAnsi="Times New Roman" w:cs="Times New Roman"/>
          <w:b/>
          <w:i/>
          <w:iCs/>
          <w:color w:val="545454"/>
          <w:shd w:val="clear" w:color="auto" w:fill="FFFFFF"/>
          <w:vertAlign w:val="superscript"/>
        </w:rPr>
        <w:t>b</w:t>
      </w:r>
      <w:r w:rsidR="00F90EFA" w:rsidRPr="000E1C62">
        <w:rPr>
          <w:rFonts w:asciiTheme="majorBidi" w:hAnsiTheme="majorBidi" w:cstheme="majorBidi"/>
        </w:rPr>
        <w:t>Significantly</w:t>
      </w:r>
      <w:proofErr w:type="spellEnd"/>
      <w:r w:rsidR="00F90EFA" w:rsidRPr="000E1C62">
        <w:rPr>
          <w:rFonts w:asciiTheme="majorBidi" w:hAnsiTheme="majorBidi" w:cstheme="majorBidi"/>
        </w:rPr>
        <w:t xml:space="preserve"> different from control diet</w:t>
      </w:r>
      <w:r w:rsidR="00E552E4" w:rsidRPr="000E1C62">
        <w:rPr>
          <w:rFonts w:asciiTheme="majorBidi" w:hAnsiTheme="majorBidi" w:cstheme="majorBidi"/>
        </w:rPr>
        <w:t xml:space="preserve">, </w:t>
      </w:r>
      <w:r w:rsidR="00F90EFA" w:rsidRPr="000E1C62">
        <w:rPr>
          <w:rFonts w:asciiTheme="majorBidi" w:hAnsiTheme="majorBidi" w:cstheme="majorBidi"/>
          <w:i/>
        </w:rPr>
        <w:t>P</w:t>
      </w:r>
      <w:r w:rsidR="00F90EFA" w:rsidRPr="000E1C62">
        <w:rPr>
          <w:rFonts w:asciiTheme="majorBidi" w:hAnsiTheme="majorBidi" w:cstheme="majorBidi"/>
        </w:rPr>
        <w:t xml:space="preserve"> &lt; 0.0</w:t>
      </w:r>
      <w:r w:rsidR="00590EF6" w:rsidRPr="000E1C62">
        <w:rPr>
          <w:rFonts w:asciiTheme="majorBidi" w:hAnsiTheme="majorBidi" w:cstheme="majorBidi"/>
        </w:rPr>
        <w:t>5</w:t>
      </w:r>
    </w:p>
    <w:tbl>
      <w:tblPr>
        <w:tblStyle w:val="TableGrid"/>
        <w:tblpPr w:leftFromText="180" w:rightFromText="180" w:vertAnchor="page" w:horzAnchor="margin" w:tblpY="2701"/>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696"/>
        <w:gridCol w:w="348"/>
        <w:gridCol w:w="696"/>
        <w:gridCol w:w="696"/>
        <w:gridCol w:w="348"/>
        <w:gridCol w:w="696"/>
        <w:gridCol w:w="696"/>
        <w:gridCol w:w="348"/>
        <w:gridCol w:w="696"/>
        <w:gridCol w:w="696"/>
        <w:gridCol w:w="348"/>
        <w:gridCol w:w="607"/>
        <w:gridCol w:w="1435"/>
        <w:gridCol w:w="2160"/>
      </w:tblGrid>
      <w:tr w:rsidR="00197D9C" w:rsidRPr="000E1C62" w14:paraId="665FF17C" w14:textId="77777777" w:rsidTr="00DD0F41">
        <w:tc>
          <w:tcPr>
            <w:tcW w:w="2129" w:type="dxa"/>
            <w:tcBorders>
              <w:top w:val="single" w:sz="4" w:space="0" w:color="auto"/>
            </w:tcBorders>
          </w:tcPr>
          <w:p w14:paraId="178A7F0B" w14:textId="77777777" w:rsidR="00197D9C" w:rsidRDefault="00197D9C" w:rsidP="004E4E09">
            <w:pPr>
              <w:spacing w:before="120" w:line="360" w:lineRule="auto"/>
              <w:rPr>
                <w:rFonts w:asciiTheme="majorBidi" w:hAnsiTheme="majorBidi" w:cstheme="majorBidi"/>
              </w:rPr>
            </w:pPr>
          </w:p>
        </w:tc>
        <w:tc>
          <w:tcPr>
            <w:tcW w:w="3480" w:type="dxa"/>
            <w:gridSpan w:val="6"/>
            <w:tcBorders>
              <w:top w:val="single" w:sz="4" w:space="0" w:color="auto"/>
              <w:bottom w:val="single" w:sz="4" w:space="0" w:color="auto"/>
            </w:tcBorders>
          </w:tcPr>
          <w:p w14:paraId="3738762E"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rPr>
              <w:t>Control diet</w:t>
            </w:r>
          </w:p>
        </w:tc>
        <w:tc>
          <w:tcPr>
            <w:tcW w:w="3391" w:type="dxa"/>
            <w:gridSpan w:val="6"/>
            <w:tcBorders>
              <w:top w:val="single" w:sz="4" w:space="0" w:color="auto"/>
              <w:bottom w:val="single" w:sz="4" w:space="0" w:color="auto"/>
            </w:tcBorders>
          </w:tcPr>
          <w:p w14:paraId="0C1A8A7F"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rPr>
              <w:t>HE-HFD</w:t>
            </w:r>
          </w:p>
        </w:tc>
        <w:tc>
          <w:tcPr>
            <w:tcW w:w="1435" w:type="dxa"/>
            <w:vMerge w:val="restart"/>
            <w:tcBorders>
              <w:top w:val="single" w:sz="4" w:space="0" w:color="auto"/>
              <w:bottom w:val="single" w:sz="4" w:space="0" w:color="auto"/>
            </w:tcBorders>
          </w:tcPr>
          <w:p w14:paraId="713FDE0F" w14:textId="77777777" w:rsidR="00197D9C" w:rsidRPr="000E1C62" w:rsidRDefault="00197D9C" w:rsidP="004E4E09">
            <w:pPr>
              <w:spacing w:before="120" w:line="360" w:lineRule="auto"/>
              <w:jc w:val="center"/>
              <w:rPr>
                <w:rFonts w:asciiTheme="majorBidi" w:hAnsiTheme="majorBidi" w:cstheme="majorBidi"/>
                <w:bCs/>
              </w:rPr>
            </w:pPr>
            <w:r w:rsidRPr="000E1C62">
              <w:rPr>
                <w:rFonts w:asciiTheme="majorBidi" w:hAnsiTheme="majorBidi" w:cstheme="majorBidi"/>
                <w:b/>
                <w:i/>
                <w:iCs/>
              </w:rPr>
              <w:t>P</w:t>
            </w:r>
            <w:r w:rsidRPr="000E1C62">
              <w:rPr>
                <w:rFonts w:asciiTheme="majorBidi" w:hAnsiTheme="majorBidi" w:cstheme="majorBidi"/>
                <w:b/>
              </w:rPr>
              <w:t xml:space="preserve">-value </w:t>
            </w:r>
            <w:r w:rsidRPr="00E869B7">
              <w:rPr>
                <w:rFonts w:asciiTheme="majorBidi" w:hAnsiTheme="majorBidi" w:cstheme="majorBidi"/>
                <w:bCs/>
              </w:rPr>
              <w:t>(Diet effect)</w:t>
            </w:r>
          </w:p>
        </w:tc>
        <w:tc>
          <w:tcPr>
            <w:tcW w:w="2160" w:type="dxa"/>
            <w:vMerge w:val="restart"/>
            <w:tcBorders>
              <w:top w:val="single" w:sz="4" w:space="0" w:color="auto"/>
              <w:bottom w:val="single" w:sz="4" w:space="0" w:color="auto"/>
            </w:tcBorders>
          </w:tcPr>
          <w:p w14:paraId="3A36E0EF"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i/>
                <w:iCs/>
              </w:rPr>
              <w:t>P</w:t>
            </w:r>
            <w:r w:rsidRPr="000E1C62">
              <w:rPr>
                <w:rFonts w:asciiTheme="majorBidi" w:hAnsiTheme="majorBidi" w:cstheme="majorBidi"/>
                <w:b/>
              </w:rPr>
              <w:t xml:space="preserve">-value </w:t>
            </w:r>
            <w:r w:rsidRPr="00E869B7">
              <w:rPr>
                <w:rFonts w:asciiTheme="majorBidi" w:hAnsiTheme="majorBidi" w:cstheme="majorBidi"/>
                <w:bCs/>
              </w:rPr>
              <w:t>(Interaction effect)</w:t>
            </w:r>
          </w:p>
        </w:tc>
      </w:tr>
      <w:tr w:rsidR="00197D9C" w:rsidRPr="000E1C62" w14:paraId="2A9D4D45" w14:textId="77777777" w:rsidTr="00DD0F41">
        <w:tc>
          <w:tcPr>
            <w:tcW w:w="2129" w:type="dxa"/>
            <w:tcBorders>
              <w:bottom w:val="single" w:sz="4" w:space="0" w:color="auto"/>
            </w:tcBorders>
          </w:tcPr>
          <w:p w14:paraId="09C018E3" w14:textId="77777777" w:rsidR="00197D9C" w:rsidRPr="000E1C62" w:rsidRDefault="00197D9C" w:rsidP="004E4E09">
            <w:pPr>
              <w:spacing w:before="120" w:line="360" w:lineRule="auto"/>
              <w:rPr>
                <w:rFonts w:asciiTheme="majorBidi" w:hAnsiTheme="majorBidi" w:cstheme="majorBidi"/>
              </w:rPr>
            </w:pPr>
          </w:p>
        </w:tc>
        <w:tc>
          <w:tcPr>
            <w:tcW w:w="1740" w:type="dxa"/>
            <w:gridSpan w:val="3"/>
            <w:tcBorders>
              <w:top w:val="single" w:sz="4" w:space="0" w:color="auto"/>
              <w:bottom w:val="single" w:sz="4" w:space="0" w:color="auto"/>
            </w:tcBorders>
          </w:tcPr>
          <w:p w14:paraId="29877317"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rPr>
              <w:t>Pre-diet</w:t>
            </w:r>
          </w:p>
        </w:tc>
        <w:tc>
          <w:tcPr>
            <w:tcW w:w="1740" w:type="dxa"/>
            <w:gridSpan w:val="3"/>
            <w:tcBorders>
              <w:top w:val="single" w:sz="4" w:space="0" w:color="auto"/>
              <w:bottom w:val="single" w:sz="4" w:space="0" w:color="auto"/>
            </w:tcBorders>
          </w:tcPr>
          <w:p w14:paraId="4C56FCCA"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rPr>
              <w:t>7 d</w:t>
            </w:r>
          </w:p>
        </w:tc>
        <w:tc>
          <w:tcPr>
            <w:tcW w:w="1740" w:type="dxa"/>
            <w:gridSpan w:val="3"/>
            <w:tcBorders>
              <w:top w:val="single" w:sz="4" w:space="0" w:color="auto"/>
              <w:bottom w:val="single" w:sz="4" w:space="0" w:color="auto"/>
            </w:tcBorders>
          </w:tcPr>
          <w:p w14:paraId="402CBD81"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rPr>
              <w:t>Pre-diet</w:t>
            </w:r>
          </w:p>
        </w:tc>
        <w:tc>
          <w:tcPr>
            <w:tcW w:w="1651" w:type="dxa"/>
            <w:gridSpan w:val="3"/>
            <w:tcBorders>
              <w:top w:val="single" w:sz="4" w:space="0" w:color="auto"/>
              <w:bottom w:val="single" w:sz="4" w:space="0" w:color="auto"/>
            </w:tcBorders>
          </w:tcPr>
          <w:p w14:paraId="0F6EDBD4" w14:textId="77777777" w:rsidR="00197D9C" w:rsidRPr="000E1C62" w:rsidRDefault="00197D9C" w:rsidP="004E4E09">
            <w:pPr>
              <w:spacing w:before="120" w:line="360" w:lineRule="auto"/>
              <w:jc w:val="center"/>
              <w:rPr>
                <w:rFonts w:asciiTheme="majorBidi" w:hAnsiTheme="majorBidi" w:cstheme="majorBidi"/>
                <w:b/>
              </w:rPr>
            </w:pPr>
            <w:r w:rsidRPr="000E1C62">
              <w:rPr>
                <w:rFonts w:asciiTheme="majorBidi" w:hAnsiTheme="majorBidi" w:cstheme="majorBidi"/>
                <w:b/>
              </w:rPr>
              <w:t>7 d</w:t>
            </w:r>
          </w:p>
        </w:tc>
        <w:tc>
          <w:tcPr>
            <w:tcW w:w="1435" w:type="dxa"/>
            <w:vMerge/>
            <w:tcBorders>
              <w:bottom w:val="single" w:sz="4" w:space="0" w:color="auto"/>
            </w:tcBorders>
          </w:tcPr>
          <w:p w14:paraId="2AF3FEF3" w14:textId="77777777" w:rsidR="00197D9C" w:rsidRPr="000E1C62" w:rsidRDefault="00197D9C" w:rsidP="004E4E09">
            <w:pPr>
              <w:spacing w:before="120" w:line="360" w:lineRule="auto"/>
              <w:jc w:val="center"/>
              <w:rPr>
                <w:rFonts w:asciiTheme="majorBidi" w:hAnsiTheme="majorBidi" w:cstheme="majorBidi"/>
                <w:b/>
              </w:rPr>
            </w:pPr>
          </w:p>
        </w:tc>
        <w:tc>
          <w:tcPr>
            <w:tcW w:w="2160" w:type="dxa"/>
            <w:vMerge/>
            <w:tcBorders>
              <w:bottom w:val="single" w:sz="4" w:space="0" w:color="auto"/>
            </w:tcBorders>
          </w:tcPr>
          <w:p w14:paraId="6D888D30" w14:textId="77777777" w:rsidR="00197D9C" w:rsidRPr="000E1C62" w:rsidRDefault="00197D9C" w:rsidP="004E4E09">
            <w:pPr>
              <w:spacing w:before="120" w:line="360" w:lineRule="auto"/>
              <w:jc w:val="center"/>
              <w:rPr>
                <w:rFonts w:asciiTheme="majorBidi" w:hAnsiTheme="majorBidi" w:cstheme="majorBidi"/>
                <w:b/>
              </w:rPr>
            </w:pPr>
          </w:p>
        </w:tc>
      </w:tr>
      <w:tr w:rsidR="00825A39" w:rsidRPr="000E1C62" w14:paraId="70C30152" w14:textId="77777777" w:rsidTr="00DD0F41">
        <w:tc>
          <w:tcPr>
            <w:tcW w:w="2129" w:type="dxa"/>
            <w:tcBorders>
              <w:top w:val="single" w:sz="4" w:space="0" w:color="auto"/>
            </w:tcBorders>
          </w:tcPr>
          <w:p w14:paraId="6FAA1A05" w14:textId="77777777" w:rsidR="00825A39" w:rsidRPr="000E1C62" w:rsidRDefault="00825A39" w:rsidP="004E4E09">
            <w:pPr>
              <w:spacing w:before="120" w:line="480" w:lineRule="auto"/>
              <w:rPr>
                <w:rFonts w:asciiTheme="majorBidi" w:hAnsiTheme="majorBidi" w:cstheme="majorBidi"/>
              </w:rPr>
            </w:pPr>
            <w:r w:rsidRPr="000E1C62">
              <w:rPr>
                <w:rFonts w:asciiTheme="majorBidi" w:hAnsiTheme="majorBidi" w:cstheme="majorBidi"/>
              </w:rPr>
              <w:t>Body mass (kg)</w:t>
            </w:r>
          </w:p>
        </w:tc>
        <w:tc>
          <w:tcPr>
            <w:tcW w:w="696" w:type="dxa"/>
            <w:tcBorders>
              <w:top w:val="single" w:sz="4" w:space="0" w:color="auto"/>
            </w:tcBorders>
          </w:tcPr>
          <w:p w14:paraId="6BB5165E" w14:textId="77777777" w:rsidR="00825A39" w:rsidRPr="000E1C62" w:rsidRDefault="00825A39" w:rsidP="004E4E09">
            <w:pPr>
              <w:spacing w:before="120" w:line="480" w:lineRule="auto"/>
              <w:jc w:val="right"/>
              <w:rPr>
                <w:rFonts w:asciiTheme="majorBidi" w:hAnsiTheme="majorBidi" w:cstheme="majorBidi"/>
              </w:rPr>
            </w:pPr>
            <w:r w:rsidRPr="000E1C62">
              <w:rPr>
                <w:rFonts w:asciiTheme="majorBidi" w:hAnsiTheme="majorBidi" w:cstheme="majorBidi"/>
              </w:rPr>
              <w:t>77.1</w:t>
            </w:r>
          </w:p>
        </w:tc>
        <w:tc>
          <w:tcPr>
            <w:tcW w:w="348" w:type="dxa"/>
            <w:tcBorders>
              <w:top w:val="single" w:sz="4" w:space="0" w:color="auto"/>
            </w:tcBorders>
          </w:tcPr>
          <w:p w14:paraId="1D280B5D" w14:textId="77777777" w:rsidR="00825A39" w:rsidRPr="000E1C62" w:rsidRDefault="00825A39" w:rsidP="004E4E09">
            <w:pPr>
              <w:spacing w:before="120"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Borders>
              <w:top w:val="single" w:sz="4" w:space="0" w:color="auto"/>
            </w:tcBorders>
          </w:tcPr>
          <w:p w14:paraId="2448A1F7" w14:textId="77777777" w:rsidR="00825A39" w:rsidRPr="000E1C62" w:rsidRDefault="00825A39" w:rsidP="004E4E09">
            <w:pPr>
              <w:spacing w:before="120" w:line="480" w:lineRule="auto"/>
              <w:rPr>
                <w:rFonts w:asciiTheme="majorBidi" w:hAnsiTheme="majorBidi" w:cstheme="majorBidi"/>
              </w:rPr>
            </w:pPr>
            <w:r w:rsidRPr="000E1C62">
              <w:rPr>
                <w:rFonts w:asciiTheme="majorBidi" w:hAnsiTheme="majorBidi" w:cstheme="majorBidi"/>
              </w:rPr>
              <w:t>4.3</w:t>
            </w:r>
          </w:p>
        </w:tc>
        <w:tc>
          <w:tcPr>
            <w:tcW w:w="696" w:type="dxa"/>
            <w:tcBorders>
              <w:top w:val="single" w:sz="4" w:space="0" w:color="auto"/>
            </w:tcBorders>
          </w:tcPr>
          <w:p w14:paraId="117A3688" w14:textId="77777777" w:rsidR="00825A39" w:rsidRPr="000E1C62" w:rsidRDefault="00825A39" w:rsidP="004E4E09">
            <w:pPr>
              <w:spacing w:before="120" w:line="480" w:lineRule="auto"/>
              <w:jc w:val="right"/>
              <w:rPr>
                <w:rFonts w:asciiTheme="majorBidi" w:hAnsiTheme="majorBidi" w:cstheme="majorBidi"/>
              </w:rPr>
            </w:pPr>
            <w:r w:rsidRPr="000E1C62">
              <w:rPr>
                <w:rFonts w:asciiTheme="majorBidi" w:hAnsiTheme="majorBidi" w:cstheme="majorBidi"/>
              </w:rPr>
              <w:t>77.1</w:t>
            </w:r>
          </w:p>
        </w:tc>
        <w:tc>
          <w:tcPr>
            <w:tcW w:w="348" w:type="dxa"/>
            <w:tcBorders>
              <w:top w:val="single" w:sz="4" w:space="0" w:color="auto"/>
            </w:tcBorders>
          </w:tcPr>
          <w:p w14:paraId="188AC2EB" w14:textId="77777777" w:rsidR="00825A39" w:rsidRPr="000E1C62" w:rsidRDefault="00825A39" w:rsidP="004E4E09">
            <w:pPr>
              <w:spacing w:before="120"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Borders>
              <w:top w:val="single" w:sz="4" w:space="0" w:color="auto"/>
            </w:tcBorders>
          </w:tcPr>
          <w:p w14:paraId="1E647E1A" w14:textId="77777777" w:rsidR="00825A39" w:rsidRPr="000E1C62" w:rsidRDefault="00825A39" w:rsidP="004E4E09">
            <w:pPr>
              <w:spacing w:before="120" w:line="480" w:lineRule="auto"/>
              <w:rPr>
                <w:rFonts w:asciiTheme="majorBidi" w:hAnsiTheme="majorBidi" w:cstheme="majorBidi"/>
              </w:rPr>
            </w:pPr>
            <w:r w:rsidRPr="000E1C62">
              <w:rPr>
                <w:rFonts w:asciiTheme="majorBidi" w:hAnsiTheme="majorBidi" w:cstheme="majorBidi"/>
              </w:rPr>
              <w:t>4.3</w:t>
            </w:r>
          </w:p>
        </w:tc>
        <w:tc>
          <w:tcPr>
            <w:tcW w:w="696" w:type="dxa"/>
            <w:tcBorders>
              <w:top w:val="single" w:sz="4" w:space="0" w:color="auto"/>
            </w:tcBorders>
          </w:tcPr>
          <w:p w14:paraId="10465EED" w14:textId="77777777" w:rsidR="00825A39" w:rsidRPr="000E1C62" w:rsidRDefault="00825A39" w:rsidP="004E4E09">
            <w:pPr>
              <w:spacing w:before="120" w:line="480" w:lineRule="auto"/>
              <w:jc w:val="right"/>
              <w:rPr>
                <w:rFonts w:asciiTheme="majorBidi" w:hAnsiTheme="majorBidi" w:cstheme="majorBidi"/>
              </w:rPr>
            </w:pPr>
            <w:r w:rsidRPr="000E1C62">
              <w:rPr>
                <w:rFonts w:asciiTheme="majorBidi" w:hAnsiTheme="majorBidi" w:cstheme="majorBidi"/>
              </w:rPr>
              <w:t>76.8</w:t>
            </w:r>
          </w:p>
        </w:tc>
        <w:tc>
          <w:tcPr>
            <w:tcW w:w="348" w:type="dxa"/>
            <w:tcBorders>
              <w:top w:val="single" w:sz="4" w:space="0" w:color="auto"/>
            </w:tcBorders>
          </w:tcPr>
          <w:p w14:paraId="76B45567" w14:textId="77777777" w:rsidR="00825A39" w:rsidRPr="000E1C62" w:rsidRDefault="00825A39" w:rsidP="004E4E09">
            <w:pPr>
              <w:spacing w:before="120"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Borders>
              <w:top w:val="single" w:sz="4" w:space="0" w:color="auto"/>
            </w:tcBorders>
          </w:tcPr>
          <w:p w14:paraId="7F3D502B" w14:textId="77777777" w:rsidR="00825A39" w:rsidRPr="000E1C62" w:rsidRDefault="00825A39" w:rsidP="004E4E09">
            <w:pPr>
              <w:spacing w:before="120" w:line="480" w:lineRule="auto"/>
              <w:rPr>
                <w:rFonts w:asciiTheme="majorBidi" w:hAnsiTheme="majorBidi" w:cstheme="majorBidi"/>
              </w:rPr>
            </w:pPr>
            <w:r w:rsidRPr="000E1C62">
              <w:rPr>
                <w:rFonts w:asciiTheme="majorBidi" w:hAnsiTheme="majorBidi" w:cstheme="majorBidi"/>
              </w:rPr>
              <w:t>3.7</w:t>
            </w:r>
          </w:p>
        </w:tc>
        <w:tc>
          <w:tcPr>
            <w:tcW w:w="696" w:type="dxa"/>
            <w:tcBorders>
              <w:top w:val="single" w:sz="4" w:space="0" w:color="auto"/>
            </w:tcBorders>
          </w:tcPr>
          <w:p w14:paraId="6E397648" w14:textId="77777777" w:rsidR="00825A39" w:rsidRPr="000E1C62" w:rsidRDefault="00825A39" w:rsidP="004E4E09">
            <w:pPr>
              <w:spacing w:before="120" w:line="480" w:lineRule="auto"/>
              <w:jc w:val="right"/>
              <w:rPr>
                <w:rFonts w:asciiTheme="majorBidi" w:hAnsiTheme="majorBidi" w:cstheme="majorBidi"/>
              </w:rPr>
            </w:pPr>
            <w:r w:rsidRPr="000E1C62">
              <w:rPr>
                <w:rFonts w:asciiTheme="majorBidi" w:hAnsiTheme="majorBidi" w:cstheme="majorBidi"/>
              </w:rPr>
              <w:t>78.0</w:t>
            </w:r>
          </w:p>
        </w:tc>
        <w:tc>
          <w:tcPr>
            <w:tcW w:w="348" w:type="dxa"/>
            <w:tcBorders>
              <w:top w:val="single" w:sz="4" w:space="0" w:color="auto"/>
            </w:tcBorders>
          </w:tcPr>
          <w:p w14:paraId="2D7BA151" w14:textId="77777777" w:rsidR="00825A39" w:rsidRPr="000E1C62" w:rsidRDefault="00825A39" w:rsidP="004E4E09">
            <w:pPr>
              <w:spacing w:before="120"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07" w:type="dxa"/>
            <w:tcBorders>
              <w:top w:val="single" w:sz="4" w:space="0" w:color="auto"/>
            </w:tcBorders>
          </w:tcPr>
          <w:p w14:paraId="7AE86F52" w14:textId="77777777" w:rsidR="00825A39" w:rsidRPr="000E1C62" w:rsidRDefault="00825A39" w:rsidP="004E4E09">
            <w:pPr>
              <w:spacing w:before="120" w:line="480" w:lineRule="auto"/>
              <w:rPr>
                <w:rFonts w:asciiTheme="majorBidi" w:hAnsiTheme="majorBidi" w:cstheme="majorBidi"/>
                <w:vertAlign w:val="superscript"/>
              </w:rPr>
            </w:pPr>
            <w:r w:rsidRPr="000E1C62">
              <w:rPr>
                <w:rFonts w:asciiTheme="majorBidi" w:hAnsiTheme="majorBidi" w:cstheme="majorBidi"/>
              </w:rPr>
              <w:t>4.1</w:t>
            </w:r>
            <w:r w:rsidRPr="000E1C62">
              <w:rPr>
                <w:rFonts w:asciiTheme="majorBidi" w:hAnsiTheme="majorBidi" w:cstheme="majorBidi"/>
                <w:b/>
                <w:vertAlign w:val="superscript"/>
              </w:rPr>
              <w:t>#</w:t>
            </w:r>
          </w:p>
        </w:tc>
        <w:tc>
          <w:tcPr>
            <w:tcW w:w="1435" w:type="dxa"/>
            <w:tcBorders>
              <w:top w:val="single" w:sz="4" w:space="0" w:color="auto"/>
            </w:tcBorders>
          </w:tcPr>
          <w:p w14:paraId="4203A742" w14:textId="06263C96" w:rsidR="00825A39" w:rsidRPr="000E1C62" w:rsidRDefault="00D94704" w:rsidP="004E4E09">
            <w:pPr>
              <w:spacing w:before="120" w:line="480" w:lineRule="auto"/>
              <w:jc w:val="center"/>
              <w:rPr>
                <w:rFonts w:asciiTheme="majorBidi" w:hAnsiTheme="majorBidi" w:cstheme="majorBidi"/>
              </w:rPr>
            </w:pPr>
            <w:r w:rsidRPr="000E1C62">
              <w:rPr>
                <w:rFonts w:asciiTheme="majorBidi" w:hAnsiTheme="majorBidi" w:cstheme="majorBidi"/>
              </w:rPr>
              <w:t>0.</w:t>
            </w:r>
            <w:r w:rsidR="00B61B6A" w:rsidRPr="000E1C62">
              <w:rPr>
                <w:rFonts w:asciiTheme="majorBidi" w:hAnsiTheme="majorBidi" w:cstheme="majorBidi"/>
              </w:rPr>
              <w:t>2</w:t>
            </w:r>
            <w:r w:rsidR="00042ECC" w:rsidRPr="000E1C62">
              <w:rPr>
                <w:rFonts w:asciiTheme="majorBidi" w:hAnsiTheme="majorBidi" w:cstheme="majorBidi"/>
              </w:rPr>
              <w:t>0</w:t>
            </w:r>
          </w:p>
        </w:tc>
        <w:tc>
          <w:tcPr>
            <w:tcW w:w="2160" w:type="dxa"/>
            <w:tcBorders>
              <w:top w:val="single" w:sz="4" w:space="0" w:color="auto"/>
            </w:tcBorders>
          </w:tcPr>
          <w:p w14:paraId="21345C3B" w14:textId="40113947" w:rsidR="00825A39" w:rsidRPr="000E1C62" w:rsidRDefault="00042ECC" w:rsidP="004E4E09">
            <w:pPr>
              <w:spacing w:before="120" w:line="480" w:lineRule="auto"/>
              <w:jc w:val="center"/>
              <w:rPr>
                <w:rFonts w:asciiTheme="majorBidi" w:hAnsiTheme="majorBidi" w:cstheme="majorBidi"/>
                <w:b/>
                <w:bCs/>
              </w:rPr>
            </w:pPr>
            <w:r w:rsidRPr="000E1C62">
              <w:rPr>
                <w:rFonts w:asciiTheme="majorBidi" w:hAnsiTheme="majorBidi" w:cstheme="majorBidi"/>
                <w:b/>
                <w:bCs/>
              </w:rPr>
              <w:t>0.009</w:t>
            </w:r>
          </w:p>
        </w:tc>
      </w:tr>
      <w:tr w:rsidR="00825A39" w:rsidRPr="000E1C62" w14:paraId="5FD1FC38" w14:textId="77777777" w:rsidTr="00DD0F41">
        <w:tc>
          <w:tcPr>
            <w:tcW w:w="2129" w:type="dxa"/>
          </w:tcPr>
          <w:p w14:paraId="0416A858"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BMI (kg∙m</w:t>
            </w:r>
            <w:r w:rsidRPr="000E1C62">
              <w:rPr>
                <w:rFonts w:asciiTheme="majorBidi" w:hAnsiTheme="majorBidi" w:cstheme="majorBidi"/>
                <w:vertAlign w:val="superscript"/>
              </w:rPr>
              <w:t>-2</w:t>
            </w:r>
            <w:r w:rsidRPr="000E1C62">
              <w:rPr>
                <w:rFonts w:asciiTheme="majorBidi" w:hAnsiTheme="majorBidi" w:cstheme="majorBidi"/>
              </w:rPr>
              <w:t>)</w:t>
            </w:r>
          </w:p>
        </w:tc>
        <w:tc>
          <w:tcPr>
            <w:tcW w:w="696" w:type="dxa"/>
          </w:tcPr>
          <w:p w14:paraId="7444EDB1"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24.2</w:t>
            </w:r>
          </w:p>
        </w:tc>
        <w:tc>
          <w:tcPr>
            <w:tcW w:w="348" w:type="dxa"/>
          </w:tcPr>
          <w:p w14:paraId="135F8236" w14:textId="77777777" w:rsidR="00825A39" w:rsidRPr="000E1C62" w:rsidRDefault="00825A39" w:rsidP="004E4E09">
            <w:pPr>
              <w:spacing w:line="480" w:lineRule="auto"/>
              <w:jc w:val="center"/>
              <w:rPr>
                <w:rFonts w:asciiTheme="majorBidi" w:hAnsiTheme="majorBidi" w:cstheme="majorBidi"/>
                <w:color w:val="000000" w:themeColor="text1"/>
              </w:rPr>
            </w:pPr>
            <w:r w:rsidRPr="000E1C62">
              <w:rPr>
                <w:rFonts w:asciiTheme="majorBidi" w:hAnsiTheme="majorBidi" w:cstheme="majorBidi"/>
                <w:color w:val="000000" w:themeColor="text1"/>
              </w:rPr>
              <w:t>±</w:t>
            </w:r>
          </w:p>
        </w:tc>
        <w:tc>
          <w:tcPr>
            <w:tcW w:w="696" w:type="dxa"/>
          </w:tcPr>
          <w:p w14:paraId="5212FC1A"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1.6</w:t>
            </w:r>
          </w:p>
        </w:tc>
        <w:tc>
          <w:tcPr>
            <w:tcW w:w="696" w:type="dxa"/>
          </w:tcPr>
          <w:p w14:paraId="3D5E4AE9"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24.2</w:t>
            </w:r>
          </w:p>
        </w:tc>
        <w:tc>
          <w:tcPr>
            <w:tcW w:w="348" w:type="dxa"/>
          </w:tcPr>
          <w:p w14:paraId="656CA1D6" w14:textId="77777777" w:rsidR="00825A39" w:rsidRPr="000E1C62" w:rsidRDefault="00825A39" w:rsidP="004E4E09">
            <w:pPr>
              <w:spacing w:line="480" w:lineRule="auto"/>
              <w:jc w:val="center"/>
              <w:rPr>
                <w:rFonts w:asciiTheme="majorBidi" w:hAnsiTheme="majorBidi" w:cstheme="majorBidi"/>
                <w:color w:val="000000" w:themeColor="text1"/>
              </w:rPr>
            </w:pPr>
            <w:r w:rsidRPr="000E1C62">
              <w:rPr>
                <w:rFonts w:asciiTheme="majorBidi" w:hAnsiTheme="majorBidi" w:cstheme="majorBidi"/>
                <w:color w:val="000000" w:themeColor="text1"/>
              </w:rPr>
              <w:t>±</w:t>
            </w:r>
          </w:p>
        </w:tc>
        <w:tc>
          <w:tcPr>
            <w:tcW w:w="696" w:type="dxa"/>
          </w:tcPr>
          <w:p w14:paraId="13897CBD"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1.6</w:t>
            </w:r>
          </w:p>
        </w:tc>
        <w:tc>
          <w:tcPr>
            <w:tcW w:w="696" w:type="dxa"/>
          </w:tcPr>
          <w:p w14:paraId="1C832B04"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24.1</w:t>
            </w:r>
          </w:p>
        </w:tc>
        <w:tc>
          <w:tcPr>
            <w:tcW w:w="348" w:type="dxa"/>
          </w:tcPr>
          <w:p w14:paraId="6F15EF73" w14:textId="77777777" w:rsidR="00825A39" w:rsidRPr="000E1C62" w:rsidRDefault="00825A39" w:rsidP="004E4E09">
            <w:pPr>
              <w:spacing w:line="480" w:lineRule="auto"/>
              <w:jc w:val="center"/>
              <w:rPr>
                <w:rFonts w:asciiTheme="majorBidi" w:hAnsiTheme="majorBidi" w:cstheme="majorBidi"/>
                <w:color w:val="000000" w:themeColor="text1"/>
              </w:rPr>
            </w:pPr>
            <w:r w:rsidRPr="000E1C62">
              <w:rPr>
                <w:rFonts w:asciiTheme="majorBidi" w:hAnsiTheme="majorBidi" w:cstheme="majorBidi"/>
                <w:color w:val="000000" w:themeColor="text1"/>
              </w:rPr>
              <w:t>±</w:t>
            </w:r>
          </w:p>
        </w:tc>
        <w:tc>
          <w:tcPr>
            <w:tcW w:w="696" w:type="dxa"/>
          </w:tcPr>
          <w:p w14:paraId="378FF50E"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1.5</w:t>
            </w:r>
          </w:p>
        </w:tc>
        <w:tc>
          <w:tcPr>
            <w:tcW w:w="696" w:type="dxa"/>
          </w:tcPr>
          <w:p w14:paraId="28B8F1AE"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24.5</w:t>
            </w:r>
          </w:p>
        </w:tc>
        <w:tc>
          <w:tcPr>
            <w:tcW w:w="348" w:type="dxa"/>
          </w:tcPr>
          <w:p w14:paraId="5A1C60A6" w14:textId="77777777" w:rsidR="00825A39" w:rsidRPr="000E1C62" w:rsidRDefault="00825A39" w:rsidP="004E4E09">
            <w:pPr>
              <w:spacing w:line="480" w:lineRule="auto"/>
              <w:jc w:val="center"/>
              <w:rPr>
                <w:rFonts w:asciiTheme="majorBidi" w:hAnsiTheme="majorBidi" w:cstheme="majorBidi"/>
                <w:color w:val="000000" w:themeColor="text1"/>
              </w:rPr>
            </w:pPr>
            <w:r w:rsidRPr="000E1C62">
              <w:rPr>
                <w:rFonts w:asciiTheme="majorBidi" w:hAnsiTheme="majorBidi" w:cstheme="majorBidi"/>
                <w:color w:val="000000" w:themeColor="text1"/>
              </w:rPr>
              <w:t>±</w:t>
            </w:r>
          </w:p>
        </w:tc>
        <w:tc>
          <w:tcPr>
            <w:tcW w:w="607" w:type="dxa"/>
          </w:tcPr>
          <w:p w14:paraId="0DB4A23D"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1.5</w:t>
            </w:r>
            <w:r w:rsidRPr="000E1C62">
              <w:rPr>
                <w:rFonts w:asciiTheme="majorBidi" w:hAnsiTheme="majorBidi" w:cstheme="majorBidi"/>
                <w:b/>
                <w:vertAlign w:val="superscript"/>
              </w:rPr>
              <w:t>#</w:t>
            </w:r>
          </w:p>
        </w:tc>
        <w:tc>
          <w:tcPr>
            <w:tcW w:w="1435" w:type="dxa"/>
          </w:tcPr>
          <w:p w14:paraId="65C0C125" w14:textId="4BBCC7B3" w:rsidR="00825A39" w:rsidRPr="000E1C62" w:rsidRDefault="002209DD" w:rsidP="004E4E09">
            <w:pPr>
              <w:spacing w:line="480" w:lineRule="auto"/>
              <w:jc w:val="center"/>
              <w:rPr>
                <w:rFonts w:asciiTheme="majorBidi" w:hAnsiTheme="majorBidi" w:cstheme="majorBidi"/>
              </w:rPr>
            </w:pPr>
            <w:r w:rsidRPr="000E1C62">
              <w:rPr>
                <w:rFonts w:asciiTheme="majorBidi" w:hAnsiTheme="majorBidi" w:cstheme="majorBidi"/>
              </w:rPr>
              <w:t>0.42</w:t>
            </w:r>
          </w:p>
        </w:tc>
        <w:tc>
          <w:tcPr>
            <w:tcW w:w="2160" w:type="dxa"/>
          </w:tcPr>
          <w:p w14:paraId="2EBE911E" w14:textId="4B1482F0" w:rsidR="00825A39" w:rsidRPr="000E1C62" w:rsidRDefault="003579B0" w:rsidP="004E4E09">
            <w:pPr>
              <w:spacing w:line="480" w:lineRule="auto"/>
              <w:jc w:val="center"/>
              <w:rPr>
                <w:rFonts w:asciiTheme="majorBidi" w:hAnsiTheme="majorBidi" w:cstheme="majorBidi"/>
                <w:b/>
                <w:bCs/>
              </w:rPr>
            </w:pPr>
            <w:r w:rsidRPr="000E1C62">
              <w:rPr>
                <w:rFonts w:asciiTheme="majorBidi" w:hAnsiTheme="majorBidi" w:cstheme="majorBidi"/>
                <w:b/>
                <w:bCs/>
              </w:rPr>
              <w:t>0.001</w:t>
            </w:r>
          </w:p>
        </w:tc>
      </w:tr>
      <w:tr w:rsidR="00825A39" w:rsidRPr="000E1C62" w14:paraId="264FCD0C" w14:textId="77777777" w:rsidTr="00DD0F41">
        <w:tc>
          <w:tcPr>
            <w:tcW w:w="2129" w:type="dxa"/>
          </w:tcPr>
          <w:p w14:paraId="15C5E5C2"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SBP (mmHg)</w:t>
            </w:r>
          </w:p>
        </w:tc>
        <w:tc>
          <w:tcPr>
            <w:tcW w:w="696" w:type="dxa"/>
          </w:tcPr>
          <w:p w14:paraId="640C0F27"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127</w:t>
            </w:r>
          </w:p>
        </w:tc>
        <w:tc>
          <w:tcPr>
            <w:tcW w:w="348" w:type="dxa"/>
          </w:tcPr>
          <w:p w14:paraId="3DAE368A"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5F6F3122"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8</w:t>
            </w:r>
          </w:p>
        </w:tc>
        <w:tc>
          <w:tcPr>
            <w:tcW w:w="696" w:type="dxa"/>
          </w:tcPr>
          <w:p w14:paraId="47BCDFDC"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128</w:t>
            </w:r>
          </w:p>
        </w:tc>
        <w:tc>
          <w:tcPr>
            <w:tcW w:w="348" w:type="dxa"/>
          </w:tcPr>
          <w:p w14:paraId="33E4D416"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6CA92FAC"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8</w:t>
            </w:r>
          </w:p>
        </w:tc>
        <w:tc>
          <w:tcPr>
            <w:tcW w:w="696" w:type="dxa"/>
          </w:tcPr>
          <w:p w14:paraId="3196D7F7"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128</w:t>
            </w:r>
          </w:p>
        </w:tc>
        <w:tc>
          <w:tcPr>
            <w:tcW w:w="348" w:type="dxa"/>
          </w:tcPr>
          <w:p w14:paraId="02E7E996"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15F8E494"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8</w:t>
            </w:r>
          </w:p>
        </w:tc>
        <w:tc>
          <w:tcPr>
            <w:tcW w:w="696" w:type="dxa"/>
          </w:tcPr>
          <w:p w14:paraId="0865C761"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128</w:t>
            </w:r>
          </w:p>
        </w:tc>
        <w:tc>
          <w:tcPr>
            <w:tcW w:w="348" w:type="dxa"/>
          </w:tcPr>
          <w:p w14:paraId="439E94E7"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07" w:type="dxa"/>
          </w:tcPr>
          <w:p w14:paraId="35C33264"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5</w:t>
            </w:r>
          </w:p>
        </w:tc>
        <w:tc>
          <w:tcPr>
            <w:tcW w:w="1435" w:type="dxa"/>
          </w:tcPr>
          <w:p w14:paraId="1C710351" w14:textId="05F8FC69" w:rsidR="00825A39" w:rsidRPr="000E1C62" w:rsidRDefault="00FD25B2" w:rsidP="004E4E09">
            <w:pPr>
              <w:spacing w:line="480" w:lineRule="auto"/>
              <w:jc w:val="center"/>
              <w:rPr>
                <w:rFonts w:asciiTheme="majorBidi" w:hAnsiTheme="majorBidi" w:cstheme="majorBidi"/>
              </w:rPr>
            </w:pPr>
            <w:r w:rsidRPr="000E1C62">
              <w:rPr>
                <w:rFonts w:asciiTheme="majorBidi" w:hAnsiTheme="majorBidi" w:cstheme="majorBidi"/>
              </w:rPr>
              <w:t>0.33</w:t>
            </w:r>
          </w:p>
        </w:tc>
        <w:tc>
          <w:tcPr>
            <w:tcW w:w="2160" w:type="dxa"/>
          </w:tcPr>
          <w:p w14:paraId="3698FDDD" w14:textId="36C9B5CB" w:rsidR="00825A39" w:rsidRPr="000E1C62" w:rsidRDefault="00144B4A" w:rsidP="004E4E09">
            <w:pPr>
              <w:spacing w:line="480" w:lineRule="auto"/>
              <w:jc w:val="center"/>
              <w:rPr>
                <w:rFonts w:asciiTheme="majorBidi" w:hAnsiTheme="majorBidi" w:cstheme="majorBidi"/>
              </w:rPr>
            </w:pPr>
            <w:r w:rsidRPr="000E1C62">
              <w:rPr>
                <w:rFonts w:asciiTheme="majorBidi" w:hAnsiTheme="majorBidi" w:cstheme="majorBidi"/>
              </w:rPr>
              <w:t>0.33</w:t>
            </w:r>
          </w:p>
        </w:tc>
      </w:tr>
      <w:tr w:rsidR="00825A39" w:rsidRPr="000E1C62" w14:paraId="5BAE383F" w14:textId="77777777" w:rsidTr="00DD0F41">
        <w:tc>
          <w:tcPr>
            <w:tcW w:w="2129" w:type="dxa"/>
          </w:tcPr>
          <w:p w14:paraId="5E79FCF4"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DBP (mmHg)</w:t>
            </w:r>
          </w:p>
        </w:tc>
        <w:tc>
          <w:tcPr>
            <w:tcW w:w="696" w:type="dxa"/>
          </w:tcPr>
          <w:p w14:paraId="08EA144E"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71</w:t>
            </w:r>
          </w:p>
        </w:tc>
        <w:tc>
          <w:tcPr>
            <w:tcW w:w="348" w:type="dxa"/>
          </w:tcPr>
          <w:p w14:paraId="1719AAE3"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4EBD82EE"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8</w:t>
            </w:r>
          </w:p>
        </w:tc>
        <w:tc>
          <w:tcPr>
            <w:tcW w:w="696" w:type="dxa"/>
          </w:tcPr>
          <w:p w14:paraId="5754D4B4"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71</w:t>
            </w:r>
          </w:p>
        </w:tc>
        <w:tc>
          <w:tcPr>
            <w:tcW w:w="348" w:type="dxa"/>
          </w:tcPr>
          <w:p w14:paraId="6C70DAF9"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408D7DA4"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7</w:t>
            </w:r>
          </w:p>
        </w:tc>
        <w:tc>
          <w:tcPr>
            <w:tcW w:w="696" w:type="dxa"/>
          </w:tcPr>
          <w:p w14:paraId="0F19C7BC"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72</w:t>
            </w:r>
          </w:p>
        </w:tc>
        <w:tc>
          <w:tcPr>
            <w:tcW w:w="348" w:type="dxa"/>
          </w:tcPr>
          <w:p w14:paraId="6B1031E3"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6756D350"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5</w:t>
            </w:r>
          </w:p>
        </w:tc>
        <w:tc>
          <w:tcPr>
            <w:tcW w:w="696" w:type="dxa"/>
          </w:tcPr>
          <w:p w14:paraId="08F59C07"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74</w:t>
            </w:r>
          </w:p>
        </w:tc>
        <w:tc>
          <w:tcPr>
            <w:tcW w:w="348" w:type="dxa"/>
          </w:tcPr>
          <w:p w14:paraId="516F649A"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07" w:type="dxa"/>
          </w:tcPr>
          <w:p w14:paraId="39733A4B"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4</w:t>
            </w:r>
          </w:p>
        </w:tc>
        <w:tc>
          <w:tcPr>
            <w:tcW w:w="1435" w:type="dxa"/>
          </w:tcPr>
          <w:p w14:paraId="14901AA0" w14:textId="7F439C95" w:rsidR="00825A39" w:rsidRPr="000E1C62" w:rsidRDefault="00F7216D" w:rsidP="004E4E09">
            <w:pPr>
              <w:spacing w:line="480" w:lineRule="auto"/>
              <w:jc w:val="center"/>
              <w:rPr>
                <w:rFonts w:asciiTheme="majorBidi" w:hAnsiTheme="majorBidi" w:cstheme="majorBidi"/>
              </w:rPr>
            </w:pPr>
            <w:r w:rsidRPr="000E1C62">
              <w:rPr>
                <w:rFonts w:asciiTheme="majorBidi" w:hAnsiTheme="majorBidi" w:cstheme="majorBidi"/>
              </w:rPr>
              <w:t>0.</w:t>
            </w:r>
            <w:r w:rsidR="00345F12" w:rsidRPr="000E1C62">
              <w:rPr>
                <w:rFonts w:asciiTheme="majorBidi" w:hAnsiTheme="majorBidi" w:cstheme="majorBidi"/>
              </w:rPr>
              <w:t>31</w:t>
            </w:r>
          </w:p>
        </w:tc>
        <w:tc>
          <w:tcPr>
            <w:tcW w:w="2160" w:type="dxa"/>
          </w:tcPr>
          <w:p w14:paraId="775A3B9F" w14:textId="594F9DD3" w:rsidR="00825A39" w:rsidRPr="000E1C62" w:rsidRDefault="00345F12" w:rsidP="004E4E09">
            <w:pPr>
              <w:spacing w:line="480" w:lineRule="auto"/>
              <w:jc w:val="center"/>
              <w:rPr>
                <w:rFonts w:asciiTheme="majorBidi" w:hAnsiTheme="majorBidi" w:cstheme="majorBidi"/>
              </w:rPr>
            </w:pPr>
            <w:r w:rsidRPr="000E1C62">
              <w:rPr>
                <w:rFonts w:asciiTheme="majorBidi" w:hAnsiTheme="majorBidi" w:cstheme="majorBidi"/>
              </w:rPr>
              <w:t>0.66</w:t>
            </w:r>
          </w:p>
        </w:tc>
      </w:tr>
      <w:tr w:rsidR="00825A39" w:rsidRPr="000E1C62" w14:paraId="341DF82D" w14:textId="77777777" w:rsidTr="00DD0F41">
        <w:tc>
          <w:tcPr>
            <w:tcW w:w="2129" w:type="dxa"/>
          </w:tcPr>
          <w:p w14:paraId="45B0C1E5" w14:textId="77777777" w:rsidR="00825A39" w:rsidRPr="000E1C62" w:rsidRDefault="00825A39" w:rsidP="004E4E09">
            <w:pPr>
              <w:spacing w:line="480" w:lineRule="auto"/>
              <w:rPr>
                <w:rFonts w:asciiTheme="majorBidi" w:hAnsiTheme="majorBidi" w:cstheme="majorBidi"/>
                <w:i/>
                <w:vertAlign w:val="superscript"/>
              </w:rPr>
            </w:pPr>
            <w:r w:rsidRPr="000E1C62">
              <w:rPr>
                <w:rFonts w:asciiTheme="majorBidi" w:hAnsiTheme="majorBidi" w:cstheme="majorBidi"/>
              </w:rPr>
              <w:t>RMR (MJ∙</w:t>
            </w:r>
            <w:r w:rsidRPr="000E1C62">
              <w:rPr>
                <w:rFonts w:ascii="Times New Roman" w:hAnsi="Times New Roman" w:cs="Times New Roman"/>
              </w:rPr>
              <w:t>d</w:t>
            </w:r>
            <w:r w:rsidRPr="000E1C62">
              <w:rPr>
                <w:rFonts w:ascii="Times New Roman" w:hAnsi="Times New Roman" w:cs="Times New Roman"/>
                <w:vertAlign w:val="superscript"/>
              </w:rPr>
              <w:t>-</w:t>
            </w:r>
            <w:proofErr w:type="gramStart"/>
            <w:r w:rsidRPr="000E1C62">
              <w:rPr>
                <w:rFonts w:ascii="Times New Roman" w:hAnsi="Times New Roman" w:cs="Times New Roman"/>
                <w:vertAlign w:val="superscript"/>
              </w:rPr>
              <w:t>1</w:t>
            </w:r>
            <w:r w:rsidRPr="000E1C62">
              <w:rPr>
                <w:rFonts w:ascii="Times New Roman" w:hAnsi="Times New Roman" w:cs="Times New Roman"/>
              </w:rPr>
              <w:t>)</w:t>
            </w:r>
            <w:r w:rsidRPr="000E1C62">
              <w:rPr>
                <w:rFonts w:asciiTheme="majorBidi" w:hAnsiTheme="majorBidi" w:cstheme="majorBidi"/>
                <w:i/>
                <w:color w:val="000000"/>
                <w:vertAlign w:val="superscript"/>
              </w:rPr>
              <w:t>a</w:t>
            </w:r>
            <w:proofErr w:type="gramEnd"/>
          </w:p>
        </w:tc>
        <w:tc>
          <w:tcPr>
            <w:tcW w:w="1740" w:type="dxa"/>
            <w:gridSpan w:val="3"/>
          </w:tcPr>
          <w:p w14:paraId="290B5572"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rPr>
              <w:t>4.71 (2.09)</w:t>
            </w:r>
          </w:p>
        </w:tc>
        <w:tc>
          <w:tcPr>
            <w:tcW w:w="1740" w:type="dxa"/>
            <w:gridSpan w:val="3"/>
          </w:tcPr>
          <w:p w14:paraId="32D9B56E"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rPr>
              <w:t>5.05 (1.66)</w:t>
            </w:r>
          </w:p>
        </w:tc>
        <w:tc>
          <w:tcPr>
            <w:tcW w:w="1740" w:type="dxa"/>
            <w:gridSpan w:val="3"/>
          </w:tcPr>
          <w:p w14:paraId="65120D95"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rPr>
              <w:t>4.81 (1.61)</w:t>
            </w:r>
          </w:p>
        </w:tc>
        <w:tc>
          <w:tcPr>
            <w:tcW w:w="1651" w:type="dxa"/>
            <w:gridSpan w:val="3"/>
          </w:tcPr>
          <w:p w14:paraId="009FF80E"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rPr>
              <w:t>4.64 (1.25)</w:t>
            </w:r>
          </w:p>
        </w:tc>
        <w:tc>
          <w:tcPr>
            <w:tcW w:w="1435" w:type="dxa"/>
          </w:tcPr>
          <w:p w14:paraId="13FBEC48" w14:textId="03915042" w:rsidR="00825A39" w:rsidRPr="000E1C62" w:rsidRDefault="002A751D" w:rsidP="004E4E09">
            <w:pPr>
              <w:spacing w:line="480" w:lineRule="auto"/>
              <w:jc w:val="center"/>
              <w:rPr>
                <w:rFonts w:asciiTheme="majorBidi" w:hAnsiTheme="majorBidi" w:cstheme="majorBidi"/>
              </w:rPr>
            </w:pPr>
            <w:r w:rsidRPr="000E1C62">
              <w:rPr>
                <w:rFonts w:asciiTheme="majorBidi" w:hAnsiTheme="majorBidi" w:cstheme="majorBidi"/>
              </w:rPr>
              <w:t>0.22</w:t>
            </w:r>
          </w:p>
        </w:tc>
        <w:tc>
          <w:tcPr>
            <w:tcW w:w="2160" w:type="dxa"/>
          </w:tcPr>
          <w:p w14:paraId="42A44CAA" w14:textId="004C9012" w:rsidR="00825A39" w:rsidRPr="000E1C62" w:rsidRDefault="00953A0E" w:rsidP="004E4E09">
            <w:pPr>
              <w:spacing w:line="480" w:lineRule="auto"/>
              <w:jc w:val="center"/>
              <w:rPr>
                <w:rFonts w:asciiTheme="majorBidi" w:hAnsiTheme="majorBidi" w:cstheme="majorBidi"/>
              </w:rPr>
            </w:pPr>
            <w:r w:rsidRPr="000E1C62">
              <w:rPr>
                <w:rFonts w:asciiTheme="majorBidi" w:hAnsiTheme="majorBidi" w:cstheme="majorBidi"/>
              </w:rPr>
              <w:t>0.98</w:t>
            </w:r>
          </w:p>
        </w:tc>
      </w:tr>
      <w:tr w:rsidR="00825A39" w:rsidRPr="000E1C62" w14:paraId="4B58F943" w14:textId="77777777" w:rsidTr="00DD0F41">
        <w:tc>
          <w:tcPr>
            <w:tcW w:w="2129" w:type="dxa"/>
          </w:tcPr>
          <w:p w14:paraId="7CC6B368"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Fat oxidation (%)</w:t>
            </w:r>
          </w:p>
        </w:tc>
        <w:tc>
          <w:tcPr>
            <w:tcW w:w="696" w:type="dxa"/>
          </w:tcPr>
          <w:p w14:paraId="6DDD8D8C"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12.5</w:t>
            </w:r>
          </w:p>
        </w:tc>
        <w:tc>
          <w:tcPr>
            <w:tcW w:w="348" w:type="dxa"/>
          </w:tcPr>
          <w:p w14:paraId="678C1BEF"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05188535"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10.3</w:t>
            </w:r>
          </w:p>
        </w:tc>
        <w:tc>
          <w:tcPr>
            <w:tcW w:w="696" w:type="dxa"/>
          </w:tcPr>
          <w:p w14:paraId="18BAEC84"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13.1</w:t>
            </w:r>
          </w:p>
        </w:tc>
        <w:tc>
          <w:tcPr>
            <w:tcW w:w="348" w:type="dxa"/>
          </w:tcPr>
          <w:p w14:paraId="56104883"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49BAAB25"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9.3</w:t>
            </w:r>
          </w:p>
        </w:tc>
        <w:tc>
          <w:tcPr>
            <w:tcW w:w="696" w:type="dxa"/>
          </w:tcPr>
          <w:p w14:paraId="19449751"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10.7</w:t>
            </w:r>
          </w:p>
        </w:tc>
        <w:tc>
          <w:tcPr>
            <w:tcW w:w="348" w:type="dxa"/>
          </w:tcPr>
          <w:p w14:paraId="776DAEFA"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Pr>
          <w:p w14:paraId="45DEA1A2"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8.4</w:t>
            </w:r>
          </w:p>
        </w:tc>
        <w:tc>
          <w:tcPr>
            <w:tcW w:w="696" w:type="dxa"/>
          </w:tcPr>
          <w:p w14:paraId="08EBA496"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16.7</w:t>
            </w:r>
          </w:p>
        </w:tc>
        <w:tc>
          <w:tcPr>
            <w:tcW w:w="348" w:type="dxa"/>
          </w:tcPr>
          <w:p w14:paraId="5315D513"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07" w:type="dxa"/>
          </w:tcPr>
          <w:p w14:paraId="079C17CB"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9.8</w:t>
            </w:r>
          </w:p>
        </w:tc>
        <w:tc>
          <w:tcPr>
            <w:tcW w:w="1435" w:type="dxa"/>
          </w:tcPr>
          <w:p w14:paraId="0A496AB7" w14:textId="2015A5D9" w:rsidR="00825A39" w:rsidRPr="000E1C62" w:rsidRDefault="0051619E" w:rsidP="004E4E09">
            <w:pPr>
              <w:spacing w:line="480" w:lineRule="auto"/>
              <w:jc w:val="center"/>
              <w:rPr>
                <w:rFonts w:asciiTheme="majorBidi" w:hAnsiTheme="majorBidi" w:cstheme="majorBidi"/>
              </w:rPr>
            </w:pPr>
            <w:r w:rsidRPr="000E1C62">
              <w:rPr>
                <w:rFonts w:asciiTheme="majorBidi" w:hAnsiTheme="majorBidi" w:cstheme="majorBidi"/>
              </w:rPr>
              <w:t>0.</w:t>
            </w:r>
            <w:r w:rsidR="00B42194" w:rsidRPr="000E1C62">
              <w:rPr>
                <w:rFonts w:asciiTheme="majorBidi" w:hAnsiTheme="majorBidi" w:cstheme="majorBidi"/>
              </w:rPr>
              <w:t>60</w:t>
            </w:r>
          </w:p>
        </w:tc>
        <w:tc>
          <w:tcPr>
            <w:tcW w:w="2160" w:type="dxa"/>
          </w:tcPr>
          <w:p w14:paraId="3D8FA926" w14:textId="16982522" w:rsidR="00825A39" w:rsidRPr="000E1C62" w:rsidRDefault="00B42194" w:rsidP="004E4E09">
            <w:pPr>
              <w:spacing w:line="480" w:lineRule="auto"/>
              <w:jc w:val="center"/>
              <w:rPr>
                <w:rFonts w:asciiTheme="majorBidi" w:hAnsiTheme="majorBidi" w:cstheme="majorBidi"/>
              </w:rPr>
            </w:pPr>
            <w:r w:rsidRPr="000E1C62">
              <w:rPr>
                <w:rFonts w:asciiTheme="majorBidi" w:hAnsiTheme="majorBidi" w:cstheme="majorBidi"/>
              </w:rPr>
              <w:t>0.19</w:t>
            </w:r>
          </w:p>
        </w:tc>
      </w:tr>
      <w:tr w:rsidR="00825A39" w:rsidRPr="000E1C62" w14:paraId="2EE05790" w14:textId="77777777" w:rsidTr="00DD0F41">
        <w:tc>
          <w:tcPr>
            <w:tcW w:w="2129" w:type="dxa"/>
            <w:tcBorders>
              <w:bottom w:val="single" w:sz="4" w:space="0" w:color="auto"/>
            </w:tcBorders>
          </w:tcPr>
          <w:p w14:paraId="2F5F4CBE"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CHO oxidation (%)</w:t>
            </w:r>
          </w:p>
        </w:tc>
        <w:tc>
          <w:tcPr>
            <w:tcW w:w="696" w:type="dxa"/>
            <w:tcBorders>
              <w:bottom w:val="single" w:sz="4" w:space="0" w:color="auto"/>
            </w:tcBorders>
          </w:tcPr>
          <w:p w14:paraId="760FE0D9"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87.5</w:t>
            </w:r>
          </w:p>
        </w:tc>
        <w:tc>
          <w:tcPr>
            <w:tcW w:w="348" w:type="dxa"/>
            <w:tcBorders>
              <w:bottom w:val="single" w:sz="4" w:space="0" w:color="auto"/>
            </w:tcBorders>
          </w:tcPr>
          <w:p w14:paraId="5A31DE24"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Borders>
              <w:bottom w:val="single" w:sz="4" w:space="0" w:color="auto"/>
            </w:tcBorders>
          </w:tcPr>
          <w:p w14:paraId="4623E7EA"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10.3</w:t>
            </w:r>
          </w:p>
        </w:tc>
        <w:tc>
          <w:tcPr>
            <w:tcW w:w="696" w:type="dxa"/>
            <w:tcBorders>
              <w:bottom w:val="single" w:sz="4" w:space="0" w:color="auto"/>
            </w:tcBorders>
          </w:tcPr>
          <w:p w14:paraId="6A84D7DE"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86.9</w:t>
            </w:r>
          </w:p>
        </w:tc>
        <w:tc>
          <w:tcPr>
            <w:tcW w:w="348" w:type="dxa"/>
            <w:tcBorders>
              <w:bottom w:val="single" w:sz="4" w:space="0" w:color="auto"/>
            </w:tcBorders>
          </w:tcPr>
          <w:p w14:paraId="055A5404"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Borders>
              <w:bottom w:val="single" w:sz="4" w:space="0" w:color="auto"/>
            </w:tcBorders>
          </w:tcPr>
          <w:p w14:paraId="7555D44C"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9.3</w:t>
            </w:r>
          </w:p>
        </w:tc>
        <w:tc>
          <w:tcPr>
            <w:tcW w:w="696" w:type="dxa"/>
            <w:tcBorders>
              <w:bottom w:val="single" w:sz="4" w:space="0" w:color="auto"/>
            </w:tcBorders>
          </w:tcPr>
          <w:p w14:paraId="78BE664F"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89.3</w:t>
            </w:r>
          </w:p>
        </w:tc>
        <w:tc>
          <w:tcPr>
            <w:tcW w:w="348" w:type="dxa"/>
            <w:tcBorders>
              <w:bottom w:val="single" w:sz="4" w:space="0" w:color="auto"/>
            </w:tcBorders>
          </w:tcPr>
          <w:p w14:paraId="3B67EAE5"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96" w:type="dxa"/>
            <w:tcBorders>
              <w:bottom w:val="single" w:sz="4" w:space="0" w:color="auto"/>
            </w:tcBorders>
          </w:tcPr>
          <w:p w14:paraId="1CAB3952"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8.4</w:t>
            </w:r>
          </w:p>
        </w:tc>
        <w:tc>
          <w:tcPr>
            <w:tcW w:w="696" w:type="dxa"/>
            <w:tcBorders>
              <w:bottom w:val="single" w:sz="4" w:space="0" w:color="auto"/>
            </w:tcBorders>
          </w:tcPr>
          <w:p w14:paraId="6FC2C85E" w14:textId="77777777" w:rsidR="00825A39" w:rsidRPr="000E1C62" w:rsidRDefault="00825A39" w:rsidP="004E4E09">
            <w:pPr>
              <w:spacing w:line="480" w:lineRule="auto"/>
              <w:jc w:val="right"/>
              <w:rPr>
                <w:rFonts w:asciiTheme="majorBidi" w:hAnsiTheme="majorBidi" w:cstheme="majorBidi"/>
              </w:rPr>
            </w:pPr>
            <w:r w:rsidRPr="000E1C62">
              <w:rPr>
                <w:rFonts w:asciiTheme="majorBidi" w:hAnsiTheme="majorBidi" w:cstheme="majorBidi"/>
              </w:rPr>
              <w:t>83.3</w:t>
            </w:r>
          </w:p>
        </w:tc>
        <w:tc>
          <w:tcPr>
            <w:tcW w:w="348" w:type="dxa"/>
            <w:tcBorders>
              <w:bottom w:val="single" w:sz="4" w:space="0" w:color="auto"/>
            </w:tcBorders>
          </w:tcPr>
          <w:p w14:paraId="1E8DA63A" w14:textId="77777777" w:rsidR="00825A39" w:rsidRPr="000E1C62" w:rsidRDefault="00825A39" w:rsidP="004E4E09">
            <w:pPr>
              <w:spacing w:line="480" w:lineRule="auto"/>
              <w:jc w:val="center"/>
              <w:rPr>
                <w:rFonts w:asciiTheme="majorBidi" w:hAnsiTheme="majorBidi" w:cstheme="majorBidi"/>
              </w:rPr>
            </w:pPr>
            <w:r w:rsidRPr="000E1C62">
              <w:rPr>
                <w:rFonts w:asciiTheme="majorBidi" w:hAnsiTheme="majorBidi" w:cstheme="majorBidi"/>
                <w:color w:val="000000" w:themeColor="text1"/>
              </w:rPr>
              <w:t>±</w:t>
            </w:r>
          </w:p>
        </w:tc>
        <w:tc>
          <w:tcPr>
            <w:tcW w:w="607" w:type="dxa"/>
            <w:tcBorders>
              <w:bottom w:val="single" w:sz="4" w:space="0" w:color="auto"/>
            </w:tcBorders>
          </w:tcPr>
          <w:p w14:paraId="3B2EBE16" w14:textId="77777777" w:rsidR="00825A39" w:rsidRPr="000E1C62" w:rsidRDefault="00825A39" w:rsidP="004E4E09">
            <w:pPr>
              <w:spacing w:line="480" w:lineRule="auto"/>
              <w:rPr>
                <w:rFonts w:asciiTheme="majorBidi" w:hAnsiTheme="majorBidi" w:cstheme="majorBidi"/>
              </w:rPr>
            </w:pPr>
            <w:r w:rsidRPr="000E1C62">
              <w:rPr>
                <w:rFonts w:asciiTheme="majorBidi" w:hAnsiTheme="majorBidi" w:cstheme="majorBidi"/>
              </w:rPr>
              <w:t>9.8</w:t>
            </w:r>
          </w:p>
        </w:tc>
        <w:tc>
          <w:tcPr>
            <w:tcW w:w="1435" w:type="dxa"/>
            <w:tcBorders>
              <w:bottom w:val="single" w:sz="4" w:space="0" w:color="auto"/>
            </w:tcBorders>
          </w:tcPr>
          <w:p w14:paraId="0B3F229E" w14:textId="468704AB" w:rsidR="00825A39" w:rsidRPr="000E1C62" w:rsidRDefault="00D52108" w:rsidP="004E4E09">
            <w:pPr>
              <w:spacing w:line="480" w:lineRule="auto"/>
              <w:jc w:val="center"/>
              <w:rPr>
                <w:rFonts w:asciiTheme="majorBidi" w:hAnsiTheme="majorBidi" w:cstheme="majorBidi"/>
              </w:rPr>
            </w:pPr>
            <w:r w:rsidRPr="000E1C62">
              <w:rPr>
                <w:rFonts w:asciiTheme="majorBidi" w:hAnsiTheme="majorBidi" w:cstheme="majorBidi"/>
              </w:rPr>
              <w:t>0.60</w:t>
            </w:r>
          </w:p>
        </w:tc>
        <w:tc>
          <w:tcPr>
            <w:tcW w:w="2160" w:type="dxa"/>
            <w:tcBorders>
              <w:bottom w:val="single" w:sz="4" w:space="0" w:color="auto"/>
            </w:tcBorders>
          </w:tcPr>
          <w:p w14:paraId="101FCBF6" w14:textId="40D2EF61" w:rsidR="00825A39" w:rsidRPr="000E1C62" w:rsidRDefault="00D52108" w:rsidP="004E4E09">
            <w:pPr>
              <w:spacing w:line="480" w:lineRule="auto"/>
              <w:jc w:val="center"/>
              <w:rPr>
                <w:rFonts w:asciiTheme="majorBidi" w:hAnsiTheme="majorBidi" w:cstheme="majorBidi"/>
              </w:rPr>
            </w:pPr>
            <w:r w:rsidRPr="000E1C62">
              <w:rPr>
                <w:rFonts w:asciiTheme="majorBidi" w:hAnsiTheme="majorBidi" w:cstheme="majorBidi"/>
              </w:rPr>
              <w:t>0.19</w:t>
            </w:r>
          </w:p>
        </w:tc>
      </w:tr>
    </w:tbl>
    <w:p w14:paraId="6160656C" w14:textId="77777777" w:rsidR="00CA3E00" w:rsidRPr="000E1C62" w:rsidRDefault="00CA3E00" w:rsidP="00CA3E00">
      <w:pPr>
        <w:spacing w:before="120" w:after="0" w:line="480" w:lineRule="auto"/>
        <w:rPr>
          <w:rFonts w:asciiTheme="majorBidi" w:hAnsiTheme="majorBidi" w:cstheme="majorBidi"/>
        </w:rPr>
      </w:pPr>
      <w:r w:rsidRPr="000E1C62">
        <w:rPr>
          <w:rFonts w:asciiTheme="majorBidi" w:hAnsiTheme="majorBidi" w:cstheme="majorBidi"/>
          <w:b/>
        </w:rPr>
        <w:t xml:space="preserve">Table 2. </w:t>
      </w:r>
      <w:r w:rsidRPr="000E1C62">
        <w:rPr>
          <w:rFonts w:asciiTheme="majorBidi" w:hAnsiTheme="majorBidi" w:cstheme="majorBidi"/>
        </w:rPr>
        <w:t>Anthropometric variables, metabolic rate and substrate oxidation before and after seven days of the control and hyper-energetic, high-fat diets.</w:t>
      </w:r>
    </w:p>
    <w:p w14:paraId="3D4F4A31" w14:textId="4BE47698" w:rsidR="00601AB4" w:rsidRPr="000E1C62" w:rsidRDefault="00601AB4" w:rsidP="00DC14C1">
      <w:pPr>
        <w:tabs>
          <w:tab w:val="left" w:pos="0"/>
        </w:tabs>
        <w:spacing w:before="120" w:after="0" w:line="480" w:lineRule="auto"/>
        <w:jc w:val="both"/>
        <w:rPr>
          <w:rFonts w:asciiTheme="majorBidi" w:hAnsiTheme="majorBidi" w:cstheme="majorBidi"/>
          <w:color w:val="000000"/>
        </w:rPr>
      </w:pPr>
    </w:p>
    <w:p w14:paraId="72BBFAB4" w14:textId="77777777" w:rsidR="0076460E" w:rsidRPr="000E1C62" w:rsidRDefault="0076460E" w:rsidP="00DC14C1">
      <w:pPr>
        <w:spacing w:before="120" w:after="0" w:line="480" w:lineRule="auto"/>
        <w:rPr>
          <w:rFonts w:asciiTheme="majorBidi" w:hAnsiTheme="majorBidi" w:cstheme="majorBidi"/>
        </w:rPr>
      </w:pPr>
    </w:p>
    <w:p w14:paraId="4A5DFCD3" w14:textId="77777777" w:rsidR="0076460E" w:rsidRPr="000E1C62" w:rsidRDefault="0076460E" w:rsidP="00DC14C1">
      <w:pPr>
        <w:spacing w:before="120" w:after="0" w:line="480" w:lineRule="auto"/>
        <w:rPr>
          <w:rFonts w:asciiTheme="majorBidi" w:hAnsiTheme="majorBidi" w:cstheme="majorBidi"/>
        </w:rPr>
      </w:pPr>
    </w:p>
    <w:p w14:paraId="60CE31D9" w14:textId="77777777" w:rsidR="0076460E" w:rsidRPr="000E1C62" w:rsidRDefault="0076460E" w:rsidP="00DC14C1">
      <w:pPr>
        <w:spacing w:before="120" w:after="0" w:line="480" w:lineRule="auto"/>
        <w:rPr>
          <w:rFonts w:asciiTheme="majorBidi" w:hAnsiTheme="majorBidi" w:cstheme="majorBidi"/>
        </w:rPr>
      </w:pPr>
    </w:p>
    <w:p w14:paraId="01EF13ED" w14:textId="77777777" w:rsidR="0076460E" w:rsidRPr="000E1C62" w:rsidRDefault="0076460E" w:rsidP="00DC14C1">
      <w:pPr>
        <w:spacing w:before="120" w:after="0" w:line="480" w:lineRule="auto"/>
        <w:rPr>
          <w:rFonts w:asciiTheme="majorBidi" w:hAnsiTheme="majorBidi" w:cstheme="majorBidi"/>
        </w:rPr>
      </w:pPr>
    </w:p>
    <w:p w14:paraId="584B4B08" w14:textId="77777777" w:rsidR="0076460E" w:rsidRPr="000E1C62" w:rsidRDefault="0076460E" w:rsidP="00DC14C1">
      <w:pPr>
        <w:spacing w:before="120" w:after="0" w:line="480" w:lineRule="auto"/>
        <w:rPr>
          <w:rFonts w:asciiTheme="majorBidi" w:hAnsiTheme="majorBidi" w:cstheme="majorBidi"/>
        </w:rPr>
      </w:pPr>
    </w:p>
    <w:p w14:paraId="632CB432" w14:textId="77777777" w:rsidR="0076460E" w:rsidRPr="000E1C62" w:rsidRDefault="0076460E" w:rsidP="00DC14C1">
      <w:pPr>
        <w:spacing w:before="120" w:after="0" w:line="480" w:lineRule="auto"/>
        <w:rPr>
          <w:rFonts w:asciiTheme="majorBidi" w:hAnsiTheme="majorBidi" w:cstheme="majorBidi"/>
        </w:rPr>
      </w:pPr>
    </w:p>
    <w:p w14:paraId="23F0E7D8" w14:textId="77777777" w:rsidR="0076460E" w:rsidRPr="000E1C62" w:rsidRDefault="0076460E" w:rsidP="00DC14C1">
      <w:pPr>
        <w:spacing w:before="120" w:after="0" w:line="480" w:lineRule="auto"/>
        <w:rPr>
          <w:rFonts w:asciiTheme="majorBidi" w:hAnsiTheme="majorBidi" w:cstheme="majorBidi"/>
        </w:rPr>
      </w:pPr>
    </w:p>
    <w:p w14:paraId="71F2DF83" w14:textId="4509CC56" w:rsidR="00516031" w:rsidRDefault="00E66D97" w:rsidP="00DC14C1">
      <w:pPr>
        <w:spacing w:before="120" w:after="0" w:line="480" w:lineRule="auto"/>
        <w:rPr>
          <w:rFonts w:asciiTheme="majorBidi" w:hAnsiTheme="majorBidi" w:cstheme="majorBidi"/>
        </w:rPr>
      </w:pPr>
      <w:r w:rsidRPr="000E1C62">
        <w:rPr>
          <w:rFonts w:asciiTheme="majorBidi" w:hAnsiTheme="majorBidi" w:cstheme="majorBidi"/>
        </w:rPr>
        <w:t>Data are means ± SD</w:t>
      </w:r>
      <w:r w:rsidR="002B0D98" w:rsidRPr="000E1C62">
        <w:rPr>
          <w:rFonts w:asciiTheme="majorBidi" w:hAnsiTheme="majorBidi" w:cstheme="majorBidi"/>
        </w:rPr>
        <w:t xml:space="preserve"> or medians (IQR), </w:t>
      </w:r>
      <w:r w:rsidR="00F26CBE" w:rsidRPr="000E1C62">
        <w:rPr>
          <w:rFonts w:asciiTheme="majorBidi" w:hAnsiTheme="majorBidi" w:cstheme="majorBidi"/>
          <w:bCs/>
          <w:i/>
        </w:rPr>
        <w:t>n</w:t>
      </w:r>
      <w:r w:rsidR="00F26CBE" w:rsidRPr="000E1C62">
        <w:rPr>
          <w:rFonts w:asciiTheme="majorBidi" w:hAnsiTheme="majorBidi" w:cstheme="majorBidi"/>
          <w:bCs/>
        </w:rPr>
        <w:t xml:space="preserve"> = 12</w:t>
      </w:r>
      <w:r w:rsidR="008716C8" w:rsidRPr="000E1C62">
        <w:rPr>
          <w:rFonts w:asciiTheme="majorBidi" w:hAnsiTheme="majorBidi" w:cstheme="majorBidi"/>
          <w:bCs/>
        </w:rPr>
        <w:t xml:space="preserve"> healthy men</w:t>
      </w:r>
      <w:r w:rsidR="00516031" w:rsidRPr="000E1C62">
        <w:rPr>
          <w:rFonts w:asciiTheme="majorBidi" w:hAnsiTheme="majorBidi" w:cstheme="majorBidi"/>
        </w:rPr>
        <w:t>.</w:t>
      </w:r>
      <w:r w:rsidRPr="000E1C62">
        <w:rPr>
          <w:rFonts w:asciiTheme="majorBidi" w:hAnsiTheme="majorBidi" w:cstheme="majorBidi"/>
        </w:rPr>
        <w:t xml:space="preserve"> </w:t>
      </w:r>
      <w:r w:rsidR="00621A0F" w:rsidRPr="000E1C62">
        <w:rPr>
          <w:rFonts w:asciiTheme="majorBidi" w:hAnsiTheme="majorBidi" w:cstheme="majorBidi"/>
        </w:rPr>
        <w:t xml:space="preserve">CHO, carbohydrate; </w:t>
      </w:r>
      <w:r w:rsidR="000734D7" w:rsidRPr="000E1C62">
        <w:rPr>
          <w:rFonts w:asciiTheme="majorBidi" w:hAnsiTheme="majorBidi" w:cstheme="majorBidi"/>
        </w:rPr>
        <w:t>DBP, diastolic</w:t>
      </w:r>
      <w:r w:rsidR="000734D7">
        <w:rPr>
          <w:rFonts w:asciiTheme="majorBidi" w:hAnsiTheme="majorBidi" w:cstheme="majorBidi"/>
        </w:rPr>
        <w:t xml:space="preserve"> blood pressure; </w:t>
      </w:r>
      <w:r>
        <w:rPr>
          <w:rFonts w:asciiTheme="majorBidi" w:hAnsiTheme="majorBidi" w:cstheme="majorBidi"/>
        </w:rPr>
        <w:t>HE-HFD</w:t>
      </w:r>
      <w:r w:rsidR="004F1A6C">
        <w:rPr>
          <w:rFonts w:asciiTheme="majorBidi" w:hAnsiTheme="majorBidi" w:cstheme="majorBidi"/>
        </w:rPr>
        <w:t>, hyper-energetic, high</w:t>
      </w:r>
      <w:r w:rsidR="00F41881">
        <w:rPr>
          <w:rFonts w:asciiTheme="majorBidi" w:hAnsiTheme="majorBidi" w:cstheme="majorBidi"/>
        </w:rPr>
        <w:t>-</w:t>
      </w:r>
      <w:r w:rsidR="004F1A6C">
        <w:rPr>
          <w:rFonts w:asciiTheme="majorBidi" w:hAnsiTheme="majorBidi" w:cstheme="majorBidi"/>
        </w:rPr>
        <w:t>fat diet</w:t>
      </w:r>
      <w:r w:rsidR="00A87D84">
        <w:rPr>
          <w:rFonts w:asciiTheme="majorBidi" w:hAnsiTheme="majorBidi" w:cstheme="majorBidi"/>
        </w:rPr>
        <w:t>;</w:t>
      </w:r>
      <w:r w:rsidR="00943B16">
        <w:rPr>
          <w:rFonts w:asciiTheme="majorBidi" w:hAnsiTheme="majorBidi" w:cstheme="majorBidi"/>
        </w:rPr>
        <w:t xml:space="preserve"> </w:t>
      </w:r>
      <w:r w:rsidR="00621A0F">
        <w:rPr>
          <w:rFonts w:asciiTheme="majorBidi" w:hAnsiTheme="majorBidi" w:cstheme="majorBidi"/>
        </w:rPr>
        <w:t xml:space="preserve">RMR, resting metabolic rate; </w:t>
      </w:r>
      <w:r w:rsidR="00A87D84">
        <w:rPr>
          <w:rFonts w:asciiTheme="majorBidi" w:hAnsiTheme="majorBidi" w:cstheme="majorBidi"/>
        </w:rPr>
        <w:t>SBP, systolic blood pressure.</w:t>
      </w:r>
    </w:p>
    <w:p w14:paraId="3111C089" w14:textId="770176C2" w:rsidR="002622B2" w:rsidRDefault="0010347F" w:rsidP="00DC14C1">
      <w:pPr>
        <w:spacing w:before="120" w:after="0" w:line="480" w:lineRule="auto"/>
        <w:rPr>
          <w:rFonts w:asciiTheme="majorBidi" w:hAnsiTheme="majorBidi" w:cstheme="majorBidi"/>
        </w:rPr>
      </w:pPr>
      <w:proofErr w:type="spellStart"/>
      <w:r>
        <w:rPr>
          <w:rFonts w:asciiTheme="majorBidi" w:hAnsiTheme="majorBidi" w:cstheme="majorBidi"/>
          <w:i/>
          <w:color w:val="000000"/>
          <w:vertAlign w:val="superscript"/>
        </w:rPr>
        <w:t>a</w:t>
      </w:r>
      <w:r w:rsidR="00516031">
        <w:rPr>
          <w:rFonts w:asciiTheme="majorBidi" w:hAnsiTheme="majorBidi" w:cstheme="majorBidi"/>
        </w:rPr>
        <w:t>Indicates</w:t>
      </w:r>
      <w:proofErr w:type="spellEnd"/>
      <w:r w:rsidR="00516031">
        <w:rPr>
          <w:rFonts w:asciiTheme="majorBidi" w:hAnsiTheme="majorBidi" w:cstheme="majorBidi"/>
        </w:rPr>
        <w:t xml:space="preserve"> </w:t>
      </w:r>
      <w:r w:rsidR="005278D4">
        <w:rPr>
          <w:rFonts w:asciiTheme="majorBidi" w:hAnsiTheme="majorBidi" w:cstheme="majorBidi"/>
        </w:rPr>
        <w:t xml:space="preserve">data log transformed prior </w:t>
      </w:r>
      <w:r w:rsidR="000256BB">
        <w:rPr>
          <w:rFonts w:asciiTheme="majorBidi" w:hAnsiTheme="majorBidi" w:cstheme="majorBidi"/>
        </w:rPr>
        <w:t xml:space="preserve">to analysis and </w:t>
      </w:r>
      <w:r w:rsidR="00B62DB1">
        <w:rPr>
          <w:rFonts w:asciiTheme="majorBidi" w:hAnsiTheme="majorBidi" w:cstheme="majorBidi"/>
        </w:rPr>
        <w:t>therefore presented as median</w:t>
      </w:r>
      <w:r w:rsidR="00D17350">
        <w:rPr>
          <w:rFonts w:asciiTheme="majorBidi" w:hAnsiTheme="majorBidi" w:cstheme="majorBidi"/>
        </w:rPr>
        <w:t>s</w:t>
      </w:r>
      <w:r w:rsidR="00B62DB1">
        <w:rPr>
          <w:rFonts w:asciiTheme="majorBidi" w:hAnsiTheme="majorBidi" w:cstheme="majorBidi"/>
        </w:rPr>
        <w:t xml:space="preserve"> (IQR).</w:t>
      </w:r>
    </w:p>
    <w:p w14:paraId="71B242DB" w14:textId="77777777" w:rsidR="00CA3E00" w:rsidRDefault="002622B2" w:rsidP="00DC14C1">
      <w:pPr>
        <w:spacing w:before="120" w:after="0" w:line="480" w:lineRule="auto"/>
        <w:rPr>
          <w:rFonts w:asciiTheme="majorBidi" w:hAnsiTheme="majorBidi" w:cstheme="majorBidi"/>
        </w:rPr>
        <w:sectPr w:rsidR="00CA3E00" w:rsidSect="00CA3E00">
          <w:pgSz w:w="16838" w:h="11906" w:orient="landscape"/>
          <w:pgMar w:top="1440" w:right="1440" w:bottom="1440" w:left="1440" w:header="708" w:footer="708" w:gutter="0"/>
          <w:cols w:space="708"/>
          <w:docGrid w:linePitch="360"/>
        </w:sectPr>
      </w:pPr>
      <w:r w:rsidRPr="002622B2">
        <w:rPr>
          <w:rFonts w:asciiTheme="majorBidi" w:hAnsiTheme="majorBidi" w:cstheme="majorBidi"/>
          <w:b/>
          <w:vertAlign w:val="superscript"/>
        </w:rPr>
        <w:t>#</w:t>
      </w:r>
      <w:r w:rsidR="00CD1A89">
        <w:rPr>
          <w:rFonts w:asciiTheme="majorBidi" w:hAnsiTheme="majorBidi" w:cstheme="majorBidi"/>
        </w:rPr>
        <w:t>Tended to differ from control diet at the same time</w:t>
      </w:r>
      <w:r w:rsidR="00FD0DD4">
        <w:rPr>
          <w:rFonts w:asciiTheme="majorBidi" w:hAnsiTheme="majorBidi" w:cstheme="majorBidi"/>
        </w:rPr>
        <w:t xml:space="preserve"> </w:t>
      </w:r>
      <w:r w:rsidR="00CD1A89">
        <w:rPr>
          <w:rFonts w:asciiTheme="majorBidi" w:hAnsiTheme="majorBidi" w:cstheme="majorBidi"/>
        </w:rPr>
        <w:t>point</w:t>
      </w:r>
      <w:r w:rsidR="006D5D10">
        <w:rPr>
          <w:rFonts w:asciiTheme="majorBidi" w:hAnsiTheme="majorBidi" w:cstheme="majorBidi"/>
        </w:rPr>
        <w:t xml:space="preserve">, </w:t>
      </w:r>
      <w:r w:rsidR="00FD0DD4">
        <w:rPr>
          <w:rFonts w:asciiTheme="majorBidi" w:hAnsiTheme="majorBidi" w:cstheme="majorBidi"/>
          <w:i/>
        </w:rPr>
        <w:t>P</w:t>
      </w:r>
      <w:r w:rsidR="00FD0DD4">
        <w:rPr>
          <w:rFonts w:asciiTheme="majorBidi" w:hAnsiTheme="majorBidi" w:cstheme="majorBidi"/>
        </w:rPr>
        <w:t xml:space="preserve"> &lt; 0.06.</w:t>
      </w:r>
    </w:p>
    <w:p w14:paraId="54CFB8D4" w14:textId="77777777" w:rsidR="00255118" w:rsidRDefault="00255118" w:rsidP="00DC14C1">
      <w:pPr>
        <w:spacing w:line="480" w:lineRule="auto"/>
        <w:rPr>
          <w:rFonts w:asciiTheme="majorBidi" w:hAnsiTheme="majorBidi" w:cstheme="majorBidi"/>
        </w:rPr>
      </w:pPr>
      <w:r w:rsidRPr="0059071E">
        <w:rPr>
          <w:rFonts w:asciiTheme="majorBidi" w:hAnsiTheme="majorBidi" w:cstheme="majorBidi"/>
          <w:b/>
        </w:rPr>
        <w:lastRenderedPageBreak/>
        <w:t>Table</w:t>
      </w:r>
      <w:r>
        <w:rPr>
          <w:rFonts w:asciiTheme="majorBidi" w:hAnsiTheme="majorBidi" w:cstheme="majorBidi"/>
          <w:b/>
        </w:rPr>
        <w:t xml:space="preserve"> 3. </w:t>
      </w:r>
      <w:r>
        <w:rPr>
          <w:rFonts w:asciiTheme="majorBidi" w:hAnsiTheme="majorBidi" w:cstheme="majorBidi"/>
        </w:rPr>
        <w:t>Fasting plasma metabolite and liver enzyme concentrations, and indices of insulin resistance during the seven-day control and hyper-energetic, high-fat diets.</w:t>
      </w:r>
    </w:p>
    <w:p w14:paraId="0DD63604" w14:textId="28EF3DC6" w:rsidR="00F078D2" w:rsidRPr="00255118" w:rsidRDefault="00F078D2" w:rsidP="00E66D97">
      <w:pPr>
        <w:spacing w:before="120" w:after="0" w:line="360" w:lineRule="auto"/>
        <w:rPr>
          <w:rFonts w:asciiTheme="majorBidi" w:hAnsiTheme="majorBidi" w:cstheme="majorBidi"/>
        </w:rPr>
      </w:pPr>
      <w:r w:rsidRPr="00255118">
        <w:rPr>
          <w:rFonts w:asciiTheme="majorBidi" w:hAnsiTheme="majorBidi" w:cstheme="majorBidi"/>
        </w:rPr>
        <w:br w:type="page"/>
      </w:r>
    </w:p>
    <w:p w14:paraId="583C974B" w14:textId="77777777" w:rsidR="00781DCB" w:rsidRPr="00781DCB" w:rsidRDefault="00781DCB" w:rsidP="00781DCB">
      <w:pPr>
        <w:spacing w:before="120" w:after="0" w:line="360" w:lineRule="auto"/>
        <w:rPr>
          <w:rFonts w:asciiTheme="majorBidi" w:hAnsiTheme="majorBidi" w:cstheme="majorBidi"/>
        </w:rPr>
        <w:sectPr w:rsidR="00781DCB" w:rsidRPr="00781DCB" w:rsidSect="00CA3E00">
          <w:pgSz w:w="11906" w:h="16838"/>
          <w:pgMar w:top="1440" w:right="1440" w:bottom="1440" w:left="1440" w:header="708" w:footer="708" w:gutter="0"/>
          <w:cols w:space="708"/>
          <w:docGrid w:linePitch="360"/>
        </w:sectPr>
      </w:pPr>
    </w:p>
    <w:tbl>
      <w:tblPr>
        <w:tblStyle w:val="TableGrid"/>
        <w:tblpPr w:leftFromText="180" w:rightFromText="180" w:vertAnchor="text" w:horzAnchor="page" w:tblpX="1549" w:tblpY="1"/>
        <w:tblW w:w="13675" w:type="dxa"/>
        <w:tblLook w:val="04A0" w:firstRow="1" w:lastRow="0" w:firstColumn="1" w:lastColumn="0" w:noHBand="0" w:noVBand="1"/>
      </w:tblPr>
      <w:tblGrid>
        <w:gridCol w:w="1276"/>
        <w:gridCol w:w="1531"/>
        <w:gridCol w:w="730"/>
        <w:gridCol w:w="378"/>
        <w:gridCol w:w="644"/>
        <w:gridCol w:w="644"/>
        <w:gridCol w:w="364"/>
        <w:gridCol w:w="769"/>
        <w:gridCol w:w="644"/>
        <w:gridCol w:w="364"/>
        <w:gridCol w:w="881"/>
        <w:gridCol w:w="636"/>
        <w:gridCol w:w="359"/>
        <w:gridCol w:w="876"/>
        <w:gridCol w:w="1431"/>
        <w:gridCol w:w="2148"/>
      </w:tblGrid>
      <w:tr w:rsidR="0055210C" w14:paraId="140F1F24" w14:textId="15D10FD8" w:rsidTr="0055210C">
        <w:trPr>
          <w:trHeight w:val="274"/>
        </w:trPr>
        <w:tc>
          <w:tcPr>
            <w:tcW w:w="1276" w:type="dxa"/>
            <w:tcBorders>
              <w:top w:val="single" w:sz="4" w:space="0" w:color="auto"/>
              <w:left w:val="nil"/>
              <w:bottom w:val="single" w:sz="4" w:space="0" w:color="auto"/>
              <w:right w:val="nil"/>
            </w:tcBorders>
          </w:tcPr>
          <w:p w14:paraId="4CF002DB" w14:textId="77777777" w:rsidR="000449A6" w:rsidRPr="007A0780" w:rsidRDefault="000449A6" w:rsidP="00EB77E9">
            <w:pPr>
              <w:spacing w:before="120" w:line="360" w:lineRule="auto"/>
              <w:jc w:val="center"/>
              <w:rPr>
                <w:rFonts w:asciiTheme="majorBidi" w:hAnsiTheme="majorBidi" w:cstheme="majorBidi"/>
                <w:b/>
              </w:rPr>
            </w:pPr>
          </w:p>
        </w:tc>
        <w:tc>
          <w:tcPr>
            <w:tcW w:w="1531" w:type="dxa"/>
            <w:tcBorders>
              <w:top w:val="single" w:sz="4" w:space="0" w:color="auto"/>
              <w:left w:val="nil"/>
              <w:bottom w:val="single" w:sz="4" w:space="0" w:color="auto"/>
              <w:right w:val="nil"/>
            </w:tcBorders>
          </w:tcPr>
          <w:p w14:paraId="2EAA6B3E" w14:textId="2B1FE138" w:rsidR="000449A6" w:rsidRPr="007A0780" w:rsidRDefault="000449A6" w:rsidP="00EB77E9">
            <w:pPr>
              <w:spacing w:before="120" w:line="360" w:lineRule="auto"/>
              <w:jc w:val="center"/>
              <w:rPr>
                <w:rFonts w:asciiTheme="majorBidi" w:hAnsiTheme="majorBidi" w:cstheme="majorBidi"/>
                <w:b/>
              </w:rPr>
            </w:pPr>
            <w:r>
              <w:rPr>
                <w:rFonts w:asciiTheme="majorBidi" w:hAnsiTheme="majorBidi" w:cstheme="majorBidi"/>
                <w:b/>
              </w:rPr>
              <w:t>Intervention</w:t>
            </w:r>
          </w:p>
        </w:tc>
        <w:tc>
          <w:tcPr>
            <w:tcW w:w="1752" w:type="dxa"/>
            <w:gridSpan w:val="3"/>
            <w:tcBorders>
              <w:top w:val="single" w:sz="4" w:space="0" w:color="auto"/>
              <w:left w:val="nil"/>
              <w:bottom w:val="single" w:sz="4" w:space="0" w:color="auto"/>
              <w:right w:val="nil"/>
            </w:tcBorders>
          </w:tcPr>
          <w:p w14:paraId="5AE101A3" w14:textId="23380A4F" w:rsidR="000449A6" w:rsidRPr="007A0780" w:rsidRDefault="000449A6" w:rsidP="001212E0">
            <w:pPr>
              <w:spacing w:before="120" w:line="360" w:lineRule="auto"/>
              <w:jc w:val="center"/>
              <w:rPr>
                <w:rFonts w:asciiTheme="majorBidi" w:hAnsiTheme="majorBidi" w:cstheme="majorBidi"/>
                <w:b/>
              </w:rPr>
            </w:pPr>
            <w:r>
              <w:rPr>
                <w:rFonts w:asciiTheme="majorBidi" w:hAnsiTheme="majorBidi" w:cstheme="majorBidi"/>
                <w:b/>
              </w:rPr>
              <w:t>Pre-diet</w:t>
            </w:r>
          </w:p>
        </w:tc>
        <w:tc>
          <w:tcPr>
            <w:tcW w:w="1777" w:type="dxa"/>
            <w:gridSpan w:val="3"/>
            <w:tcBorders>
              <w:top w:val="single" w:sz="4" w:space="0" w:color="auto"/>
              <w:left w:val="nil"/>
              <w:bottom w:val="single" w:sz="4" w:space="0" w:color="auto"/>
              <w:right w:val="nil"/>
            </w:tcBorders>
          </w:tcPr>
          <w:p w14:paraId="0508BB6F" w14:textId="77777777" w:rsidR="000449A6" w:rsidRPr="007A0780" w:rsidRDefault="000449A6" w:rsidP="00EB77E9">
            <w:pPr>
              <w:spacing w:before="120" w:line="360" w:lineRule="auto"/>
              <w:jc w:val="center"/>
              <w:rPr>
                <w:rFonts w:asciiTheme="majorBidi" w:hAnsiTheme="majorBidi" w:cstheme="majorBidi"/>
                <w:b/>
              </w:rPr>
            </w:pPr>
            <w:r w:rsidRPr="007A0780">
              <w:rPr>
                <w:rFonts w:asciiTheme="majorBidi" w:hAnsiTheme="majorBidi" w:cstheme="majorBidi"/>
                <w:b/>
              </w:rPr>
              <w:t>1 d</w:t>
            </w:r>
          </w:p>
        </w:tc>
        <w:tc>
          <w:tcPr>
            <w:tcW w:w="1889" w:type="dxa"/>
            <w:gridSpan w:val="3"/>
            <w:tcBorders>
              <w:top w:val="single" w:sz="4" w:space="0" w:color="auto"/>
              <w:left w:val="nil"/>
              <w:bottom w:val="single" w:sz="4" w:space="0" w:color="auto"/>
              <w:right w:val="nil"/>
            </w:tcBorders>
          </w:tcPr>
          <w:p w14:paraId="3B0B5669" w14:textId="77777777" w:rsidR="000449A6" w:rsidRPr="007A0780" w:rsidRDefault="000449A6" w:rsidP="00EB77E9">
            <w:pPr>
              <w:spacing w:before="120" w:line="360" w:lineRule="auto"/>
              <w:jc w:val="center"/>
              <w:rPr>
                <w:rFonts w:asciiTheme="majorBidi" w:hAnsiTheme="majorBidi" w:cstheme="majorBidi"/>
                <w:b/>
              </w:rPr>
            </w:pPr>
            <w:r w:rsidRPr="007A0780">
              <w:rPr>
                <w:rFonts w:asciiTheme="majorBidi" w:hAnsiTheme="majorBidi" w:cstheme="majorBidi"/>
                <w:b/>
              </w:rPr>
              <w:t>3 d</w:t>
            </w:r>
          </w:p>
        </w:tc>
        <w:tc>
          <w:tcPr>
            <w:tcW w:w="1871" w:type="dxa"/>
            <w:gridSpan w:val="3"/>
            <w:tcBorders>
              <w:top w:val="single" w:sz="4" w:space="0" w:color="auto"/>
              <w:left w:val="nil"/>
              <w:bottom w:val="single" w:sz="4" w:space="0" w:color="auto"/>
              <w:right w:val="nil"/>
            </w:tcBorders>
          </w:tcPr>
          <w:p w14:paraId="3CFEBFC1" w14:textId="77777777" w:rsidR="000449A6" w:rsidRPr="007A0780" w:rsidRDefault="000449A6" w:rsidP="00EB77E9">
            <w:pPr>
              <w:spacing w:before="120" w:line="360" w:lineRule="auto"/>
              <w:jc w:val="center"/>
              <w:rPr>
                <w:rFonts w:asciiTheme="majorBidi" w:hAnsiTheme="majorBidi" w:cstheme="majorBidi"/>
                <w:b/>
              </w:rPr>
            </w:pPr>
            <w:r w:rsidRPr="007A0780">
              <w:rPr>
                <w:rFonts w:asciiTheme="majorBidi" w:hAnsiTheme="majorBidi" w:cstheme="majorBidi"/>
                <w:b/>
              </w:rPr>
              <w:t>7 d</w:t>
            </w:r>
          </w:p>
        </w:tc>
        <w:tc>
          <w:tcPr>
            <w:tcW w:w="1431" w:type="dxa"/>
            <w:tcBorders>
              <w:top w:val="single" w:sz="4" w:space="0" w:color="auto"/>
              <w:left w:val="nil"/>
              <w:bottom w:val="single" w:sz="4" w:space="0" w:color="auto"/>
              <w:right w:val="nil"/>
            </w:tcBorders>
          </w:tcPr>
          <w:p w14:paraId="30B75BF0" w14:textId="774E80A2" w:rsidR="000449A6" w:rsidRPr="000449A6" w:rsidRDefault="000449A6" w:rsidP="000449A6">
            <w:pPr>
              <w:spacing w:before="120" w:line="360" w:lineRule="auto"/>
              <w:jc w:val="center"/>
              <w:rPr>
                <w:rFonts w:asciiTheme="majorBidi" w:hAnsiTheme="majorBidi" w:cstheme="majorBidi"/>
                <w:b/>
              </w:rPr>
            </w:pPr>
            <w:r>
              <w:rPr>
                <w:rFonts w:asciiTheme="majorBidi" w:hAnsiTheme="majorBidi" w:cstheme="majorBidi"/>
                <w:b/>
                <w:i/>
              </w:rPr>
              <w:t>P</w:t>
            </w:r>
            <w:r w:rsidR="0042770E" w:rsidRPr="004E1D55">
              <w:rPr>
                <w:rFonts w:asciiTheme="majorBidi" w:hAnsiTheme="majorBidi" w:cstheme="majorBidi"/>
                <w:b/>
              </w:rPr>
              <w:t>-</w:t>
            </w:r>
            <w:r>
              <w:rPr>
                <w:rFonts w:asciiTheme="majorBidi" w:hAnsiTheme="majorBidi" w:cstheme="majorBidi"/>
                <w:b/>
              </w:rPr>
              <w:t xml:space="preserve">value </w:t>
            </w:r>
            <w:r w:rsidR="008C3EEA">
              <w:rPr>
                <w:rFonts w:asciiTheme="majorBidi" w:hAnsiTheme="majorBidi" w:cstheme="majorBidi"/>
                <w:b/>
              </w:rPr>
              <w:t xml:space="preserve"> </w:t>
            </w:r>
            <w:proofErr w:type="gramStart"/>
            <w:r w:rsidR="008C3EEA">
              <w:rPr>
                <w:rFonts w:asciiTheme="majorBidi" w:hAnsiTheme="majorBidi" w:cstheme="majorBidi"/>
                <w:b/>
              </w:rPr>
              <w:t xml:space="preserve">   </w:t>
            </w:r>
            <w:r w:rsidRPr="00E869B7">
              <w:rPr>
                <w:rFonts w:asciiTheme="majorBidi" w:hAnsiTheme="majorBidi" w:cstheme="majorBidi"/>
                <w:bCs/>
              </w:rPr>
              <w:t>(</w:t>
            </w:r>
            <w:proofErr w:type="gramEnd"/>
            <w:r w:rsidRPr="00E869B7">
              <w:rPr>
                <w:rFonts w:asciiTheme="majorBidi" w:hAnsiTheme="majorBidi" w:cstheme="majorBidi"/>
                <w:bCs/>
              </w:rPr>
              <w:t>Diet effect)</w:t>
            </w:r>
          </w:p>
        </w:tc>
        <w:tc>
          <w:tcPr>
            <w:tcW w:w="2148" w:type="dxa"/>
            <w:tcBorders>
              <w:top w:val="single" w:sz="4" w:space="0" w:color="auto"/>
              <w:left w:val="nil"/>
              <w:bottom w:val="single" w:sz="4" w:space="0" w:color="auto"/>
              <w:right w:val="nil"/>
            </w:tcBorders>
          </w:tcPr>
          <w:p w14:paraId="10599F06" w14:textId="133D4FA0" w:rsidR="000449A6" w:rsidRPr="008C3EEA" w:rsidRDefault="008C3EEA" w:rsidP="00EB77E9">
            <w:pPr>
              <w:spacing w:before="120" w:line="360" w:lineRule="auto"/>
              <w:jc w:val="center"/>
              <w:rPr>
                <w:rFonts w:asciiTheme="majorBidi" w:hAnsiTheme="majorBidi" w:cstheme="majorBidi"/>
                <w:b/>
              </w:rPr>
            </w:pPr>
            <w:r>
              <w:rPr>
                <w:rFonts w:asciiTheme="majorBidi" w:hAnsiTheme="majorBidi" w:cstheme="majorBidi"/>
                <w:b/>
                <w:i/>
              </w:rPr>
              <w:t>P</w:t>
            </w:r>
            <w:r w:rsidR="0042770E" w:rsidRPr="004E1D55">
              <w:rPr>
                <w:rFonts w:asciiTheme="majorBidi" w:hAnsiTheme="majorBidi" w:cstheme="majorBidi"/>
                <w:b/>
              </w:rPr>
              <w:t>-</w:t>
            </w:r>
            <w:r>
              <w:rPr>
                <w:rFonts w:asciiTheme="majorBidi" w:hAnsiTheme="majorBidi" w:cstheme="majorBidi"/>
                <w:b/>
              </w:rPr>
              <w:t xml:space="preserve">value </w:t>
            </w:r>
            <w:r w:rsidRPr="00E869B7">
              <w:rPr>
                <w:rFonts w:asciiTheme="majorBidi" w:hAnsiTheme="majorBidi" w:cstheme="majorBidi"/>
                <w:bCs/>
              </w:rPr>
              <w:t>(Interaction effect)</w:t>
            </w:r>
          </w:p>
        </w:tc>
      </w:tr>
      <w:tr w:rsidR="0055210C" w14:paraId="7FD13091" w14:textId="7EFCEAE3" w:rsidTr="0055210C">
        <w:trPr>
          <w:trHeight w:val="154"/>
        </w:trPr>
        <w:tc>
          <w:tcPr>
            <w:tcW w:w="1276" w:type="dxa"/>
            <w:vMerge w:val="restart"/>
            <w:tcBorders>
              <w:top w:val="single" w:sz="4" w:space="0" w:color="auto"/>
              <w:left w:val="nil"/>
              <w:bottom w:val="nil"/>
              <w:right w:val="nil"/>
            </w:tcBorders>
          </w:tcPr>
          <w:p w14:paraId="232A5B42" w14:textId="2887C3AE" w:rsidR="000449A6" w:rsidRPr="00781DCB" w:rsidRDefault="000449A6" w:rsidP="00EB77E9">
            <w:pPr>
              <w:spacing w:before="120" w:line="360" w:lineRule="auto"/>
              <w:rPr>
                <w:rFonts w:asciiTheme="majorBidi" w:hAnsiTheme="majorBidi" w:cstheme="majorBidi"/>
              </w:rPr>
            </w:pPr>
            <w:r>
              <w:rPr>
                <w:rFonts w:asciiTheme="majorBidi" w:hAnsiTheme="majorBidi" w:cstheme="majorBidi"/>
              </w:rPr>
              <w:t>Glucose (mmol∙</w:t>
            </w:r>
            <w:r>
              <w:rPr>
                <w:rFonts w:ascii="Times New Roman" w:hAnsi="Times New Roman" w:cs="Times New Roman"/>
              </w:rPr>
              <w:t>L</w:t>
            </w:r>
            <w:r w:rsidRPr="009D141A">
              <w:rPr>
                <w:rFonts w:ascii="Times New Roman" w:hAnsi="Times New Roman" w:cs="Times New Roman"/>
                <w:vertAlign w:val="superscript"/>
              </w:rPr>
              <w:t>-1</w:t>
            </w:r>
            <w:r>
              <w:rPr>
                <w:rFonts w:ascii="Times New Roman" w:hAnsi="Times New Roman" w:cs="Times New Roman"/>
              </w:rPr>
              <w:t>)</w:t>
            </w:r>
          </w:p>
        </w:tc>
        <w:tc>
          <w:tcPr>
            <w:tcW w:w="1531" w:type="dxa"/>
            <w:tcBorders>
              <w:top w:val="single" w:sz="4" w:space="0" w:color="auto"/>
              <w:left w:val="nil"/>
              <w:bottom w:val="nil"/>
              <w:right w:val="nil"/>
            </w:tcBorders>
          </w:tcPr>
          <w:p w14:paraId="2AFBA8C7" w14:textId="5F36B976" w:rsidR="000449A6" w:rsidRPr="00781DCB" w:rsidRDefault="000449A6" w:rsidP="00EB77E9">
            <w:pPr>
              <w:spacing w:before="120" w:line="360" w:lineRule="auto"/>
              <w:jc w:val="right"/>
              <w:rPr>
                <w:rFonts w:asciiTheme="majorBidi" w:hAnsiTheme="majorBidi" w:cstheme="majorBidi"/>
              </w:rPr>
            </w:pPr>
            <w:r>
              <w:rPr>
                <w:rFonts w:asciiTheme="majorBidi" w:hAnsiTheme="majorBidi" w:cstheme="majorBidi"/>
              </w:rPr>
              <w:t>Control diet</w:t>
            </w:r>
          </w:p>
        </w:tc>
        <w:tc>
          <w:tcPr>
            <w:tcW w:w="730" w:type="dxa"/>
            <w:tcBorders>
              <w:top w:val="single" w:sz="4" w:space="0" w:color="auto"/>
              <w:left w:val="nil"/>
              <w:bottom w:val="nil"/>
              <w:right w:val="nil"/>
            </w:tcBorders>
          </w:tcPr>
          <w:p w14:paraId="13869DCE" w14:textId="720975A9" w:rsidR="000449A6" w:rsidRPr="00781DCB" w:rsidRDefault="000449A6" w:rsidP="00EB77E9">
            <w:pPr>
              <w:spacing w:before="120" w:line="360" w:lineRule="auto"/>
              <w:jc w:val="right"/>
              <w:rPr>
                <w:rFonts w:asciiTheme="majorBidi" w:hAnsiTheme="majorBidi" w:cstheme="majorBidi"/>
              </w:rPr>
            </w:pPr>
            <w:r>
              <w:rPr>
                <w:rFonts w:asciiTheme="majorBidi" w:hAnsiTheme="majorBidi" w:cstheme="majorBidi"/>
              </w:rPr>
              <w:t>4.9</w:t>
            </w:r>
          </w:p>
        </w:tc>
        <w:tc>
          <w:tcPr>
            <w:tcW w:w="378" w:type="dxa"/>
            <w:tcBorders>
              <w:top w:val="single" w:sz="4" w:space="0" w:color="auto"/>
              <w:left w:val="nil"/>
              <w:bottom w:val="nil"/>
              <w:right w:val="nil"/>
            </w:tcBorders>
          </w:tcPr>
          <w:p w14:paraId="2E60B490" w14:textId="77777777" w:rsidR="000449A6" w:rsidRPr="00781DCB" w:rsidRDefault="000449A6" w:rsidP="00EB77E9">
            <w:pPr>
              <w:spacing w:before="120"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single" w:sz="4" w:space="0" w:color="auto"/>
              <w:left w:val="nil"/>
              <w:bottom w:val="nil"/>
              <w:right w:val="nil"/>
            </w:tcBorders>
          </w:tcPr>
          <w:p w14:paraId="4EFBD227" w14:textId="36A239E4" w:rsidR="000449A6" w:rsidRPr="00781DCB" w:rsidRDefault="000449A6" w:rsidP="00EB77E9">
            <w:pPr>
              <w:spacing w:before="120" w:line="360" w:lineRule="auto"/>
              <w:rPr>
                <w:rFonts w:asciiTheme="majorBidi" w:hAnsiTheme="majorBidi" w:cstheme="majorBidi"/>
              </w:rPr>
            </w:pPr>
            <w:r>
              <w:rPr>
                <w:rFonts w:asciiTheme="majorBidi" w:hAnsiTheme="majorBidi" w:cstheme="majorBidi"/>
              </w:rPr>
              <w:t>0.4</w:t>
            </w:r>
          </w:p>
        </w:tc>
        <w:tc>
          <w:tcPr>
            <w:tcW w:w="644" w:type="dxa"/>
            <w:tcBorders>
              <w:top w:val="single" w:sz="4" w:space="0" w:color="auto"/>
              <w:left w:val="nil"/>
              <w:bottom w:val="nil"/>
              <w:right w:val="nil"/>
            </w:tcBorders>
          </w:tcPr>
          <w:p w14:paraId="2DB9F3D7" w14:textId="4D5FA4A8" w:rsidR="000449A6" w:rsidRPr="00781DCB" w:rsidRDefault="000449A6" w:rsidP="00EB77E9">
            <w:pPr>
              <w:spacing w:before="120" w:line="360" w:lineRule="auto"/>
              <w:jc w:val="right"/>
              <w:rPr>
                <w:rFonts w:asciiTheme="majorBidi" w:hAnsiTheme="majorBidi" w:cstheme="majorBidi"/>
              </w:rPr>
            </w:pPr>
            <w:r>
              <w:rPr>
                <w:rFonts w:asciiTheme="majorBidi" w:hAnsiTheme="majorBidi" w:cstheme="majorBidi"/>
              </w:rPr>
              <w:t>4.8</w:t>
            </w:r>
          </w:p>
        </w:tc>
        <w:tc>
          <w:tcPr>
            <w:tcW w:w="364" w:type="dxa"/>
            <w:tcBorders>
              <w:top w:val="single" w:sz="4" w:space="0" w:color="auto"/>
              <w:left w:val="nil"/>
              <w:bottom w:val="nil"/>
              <w:right w:val="nil"/>
            </w:tcBorders>
          </w:tcPr>
          <w:p w14:paraId="51CC587F" w14:textId="77777777" w:rsidR="000449A6" w:rsidRPr="00781DCB" w:rsidRDefault="000449A6" w:rsidP="00EB77E9">
            <w:pPr>
              <w:spacing w:before="120" w:line="360" w:lineRule="auto"/>
              <w:jc w:val="center"/>
              <w:rPr>
                <w:rFonts w:asciiTheme="majorBidi" w:hAnsiTheme="majorBidi" w:cstheme="majorBidi"/>
              </w:rPr>
            </w:pPr>
            <w:r w:rsidRPr="00781DCB">
              <w:rPr>
                <w:rFonts w:asciiTheme="majorBidi" w:hAnsiTheme="majorBidi" w:cstheme="majorBidi"/>
              </w:rPr>
              <w:t>±</w:t>
            </w:r>
          </w:p>
        </w:tc>
        <w:tc>
          <w:tcPr>
            <w:tcW w:w="769" w:type="dxa"/>
            <w:tcBorders>
              <w:top w:val="single" w:sz="4" w:space="0" w:color="auto"/>
              <w:left w:val="nil"/>
              <w:bottom w:val="nil"/>
              <w:right w:val="nil"/>
            </w:tcBorders>
          </w:tcPr>
          <w:p w14:paraId="276BCE5D" w14:textId="7F8D1495" w:rsidR="000449A6" w:rsidRPr="00781DCB" w:rsidRDefault="000449A6" w:rsidP="00EB77E9">
            <w:pPr>
              <w:spacing w:before="120" w:line="360" w:lineRule="auto"/>
              <w:rPr>
                <w:rFonts w:asciiTheme="majorBidi" w:hAnsiTheme="majorBidi" w:cstheme="majorBidi"/>
              </w:rPr>
            </w:pPr>
            <w:r>
              <w:rPr>
                <w:rFonts w:asciiTheme="majorBidi" w:hAnsiTheme="majorBidi" w:cstheme="majorBidi"/>
              </w:rPr>
              <w:t>0.4</w:t>
            </w:r>
          </w:p>
        </w:tc>
        <w:tc>
          <w:tcPr>
            <w:tcW w:w="644" w:type="dxa"/>
            <w:tcBorders>
              <w:top w:val="single" w:sz="4" w:space="0" w:color="auto"/>
              <w:left w:val="nil"/>
              <w:bottom w:val="nil"/>
              <w:right w:val="nil"/>
            </w:tcBorders>
          </w:tcPr>
          <w:p w14:paraId="6DD89189" w14:textId="16EDA592" w:rsidR="000449A6" w:rsidRPr="00781DCB" w:rsidRDefault="000449A6" w:rsidP="00EB77E9">
            <w:pPr>
              <w:spacing w:before="120" w:line="360" w:lineRule="auto"/>
              <w:jc w:val="right"/>
              <w:rPr>
                <w:rFonts w:asciiTheme="majorBidi" w:hAnsiTheme="majorBidi" w:cstheme="majorBidi"/>
              </w:rPr>
            </w:pPr>
            <w:r>
              <w:rPr>
                <w:rFonts w:asciiTheme="majorBidi" w:hAnsiTheme="majorBidi" w:cstheme="majorBidi"/>
              </w:rPr>
              <w:t>4.6</w:t>
            </w:r>
          </w:p>
        </w:tc>
        <w:tc>
          <w:tcPr>
            <w:tcW w:w="364" w:type="dxa"/>
            <w:tcBorders>
              <w:top w:val="single" w:sz="4" w:space="0" w:color="auto"/>
              <w:left w:val="nil"/>
              <w:bottom w:val="nil"/>
              <w:right w:val="nil"/>
            </w:tcBorders>
          </w:tcPr>
          <w:p w14:paraId="2854271D" w14:textId="77777777" w:rsidR="000449A6" w:rsidRPr="00781DCB" w:rsidRDefault="000449A6" w:rsidP="00EB77E9">
            <w:pPr>
              <w:spacing w:before="120" w:line="360" w:lineRule="auto"/>
              <w:jc w:val="center"/>
              <w:rPr>
                <w:rFonts w:asciiTheme="majorBidi" w:hAnsiTheme="majorBidi" w:cstheme="majorBidi"/>
              </w:rPr>
            </w:pPr>
            <w:r w:rsidRPr="00781DCB">
              <w:rPr>
                <w:rFonts w:asciiTheme="majorBidi" w:hAnsiTheme="majorBidi" w:cstheme="majorBidi"/>
              </w:rPr>
              <w:t>±</w:t>
            </w:r>
          </w:p>
        </w:tc>
        <w:tc>
          <w:tcPr>
            <w:tcW w:w="881" w:type="dxa"/>
            <w:tcBorders>
              <w:top w:val="single" w:sz="4" w:space="0" w:color="auto"/>
              <w:left w:val="nil"/>
              <w:bottom w:val="nil"/>
              <w:right w:val="nil"/>
            </w:tcBorders>
          </w:tcPr>
          <w:p w14:paraId="3F6D3E34" w14:textId="5994D5DA" w:rsidR="000449A6" w:rsidRPr="00781DCB" w:rsidRDefault="000449A6" w:rsidP="00EB77E9">
            <w:pPr>
              <w:spacing w:before="120" w:line="360" w:lineRule="auto"/>
              <w:rPr>
                <w:rFonts w:asciiTheme="majorBidi" w:hAnsiTheme="majorBidi" w:cstheme="majorBidi"/>
              </w:rPr>
            </w:pPr>
            <w:r>
              <w:rPr>
                <w:rFonts w:asciiTheme="majorBidi" w:hAnsiTheme="majorBidi" w:cstheme="majorBidi"/>
              </w:rPr>
              <w:t>0.4</w:t>
            </w:r>
          </w:p>
        </w:tc>
        <w:tc>
          <w:tcPr>
            <w:tcW w:w="636" w:type="dxa"/>
            <w:tcBorders>
              <w:top w:val="single" w:sz="4" w:space="0" w:color="auto"/>
              <w:left w:val="nil"/>
              <w:bottom w:val="nil"/>
              <w:right w:val="nil"/>
            </w:tcBorders>
          </w:tcPr>
          <w:p w14:paraId="5CF83358" w14:textId="2FB52350" w:rsidR="000449A6" w:rsidRPr="00781DCB" w:rsidRDefault="000449A6" w:rsidP="00EB77E9">
            <w:pPr>
              <w:spacing w:before="120" w:line="360" w:lineRule="auto"/>
              <w:jc w:val="right"/>
              <w:rPr>
                <w:rFonts w:asciiTheme="majorBidi" w:hAnsiTheme="majorBidi" w:cstheme="majorBidi"/>
              </w:rPr>
            </w:pPr>
            <w:r>
              <w:rPr>
                <w:rFonts w:asciiTheme="majorBidi" w:hAnsiTheme="majorBidi" w:cstheme="majorBidi"/>
              </w:rPr>
              <w:t>4.8</w:t>
            </w:r>
          </w:p>
        </w:tc>
        <w:tc>
          <w:tcPr>
            <w:tcW w:w="359" w:type="dxa"/>
            <w:tcBorders>
              <w:top w:val="single" w:sz="4" w:space="0" w:color="auto"/>
              <w:left w:val="nil"/>
              <w:bottom w:val="nil"/>
              <w:right w:val="nil"/>
            </w:tcBorders>
          </w:tcPr>
          <w:p w14:paraId="38D6AABC" w14:textId="77777777" w:rsidR="000449A6" w:rsidRPr="00781DCB" w:rsidRDefault="000449A6" w:rsidP="00EB77E9">
            <w:pPr>
              <w:spacing w:before="120" w:line="360" w:lineRule="auto"/>
              <w:jc w:val="center"/>
              <w:rPr>
                <w:rFonts w:asciiTheme="majorBidi" w:hAnsiTheme="majorBidi" w:cstheme="majorBidi"/>
              </w:rPr>
            </w:pPr>
            <w:r w:rsidRPr="00781DCB">
              <w:rPr>
                <w:rFonts w:asciiTheme="majorBidi" w:hAnsiTheme="majorBidi" w:cstheme="majorBidi"/>
              </w:rPr>
              <w:t>±</w:t>
            </w:r>
          </w:p>
        </w:tc>
        <w:tc>
          <w:tcPr>
            <w:tcW w:w="876" w:type="dxa"/>
            <w:tcBorders>
              <w:top w:val="single" w:sz="4" w:space="0" w:color="auto"/>
              <w:left w:val="nil"/>
              <w:bottom w:val="nil"/>
              <w:right w:val="nil"/>
            </w:tcBorders>
          </w:tcPr>
          <w:p w14:paraId="1E60BA20" w14:textId="4C29BEAB" w:rsidR="000449A6" w:rsidRPr="00781DCB" w:rsidRDefault="000449A6" w:rsidP="00EB77E9">
            <w:pPr>
              <w:spacing w:before="120" w:line="360" w:lineRule="auto"/>
              <w:rPr>
                <w:rFonts w:asciiTheme="majorBidi" w:hAnsiTheme="majorBidi" w:cstheme="majorBidi"/>
              </w:rPr>
            </w:pPr>
            <w:r>
              <w:rPr>
                <w:rFonts w:asciiTheme="majorBidi" w:hAnsiTheme="majorBidi" w:cstheme="majorBidi"/>
              </w:rPr>
              <w:t>0.4</w:t>
            </w:r>
          </w:p>
        </w:tc>
        <w:tc>
          <w:tcPr>
            <w:tcW w:w="1431" w:type="dxa"/>
            <w:tcBorders>
              <w:top w:val="single" w:sz="4" w:space="0" w:color="auto"/>
              <w:left w:val="nil"/>
              <w:bottom w:val="nil"/>
              <w:right w:val="nil"/>
            </w:tcBorders>
          </w:tcPr>
          <w:p w14:paraId="7F2823E1" w14:textId="46CD522C" w:rsidR="000449A6" w:rsidRPr="00715806" w:rsidRDefault="00343EDB" w:rsidP="00715806">
            <w:pPr>
              <w:spacing w:before="120" w:line="360" w:lineRule="auto"/>
              <w:jc w:val="center"/>
              <w:rPr>
                <w:rFonts w:asciiTheme="majorBidi" w:hAnsiTheme="majorBidi" w:cstheme="majorBidi"/>
                <w:b/>
              </w:rPr>
            </w:pPr>
            <w:r>
              <w:rPr>
                <w:rFonts w:asciiTheme="majorBidi" w:hAnsiTheme="majorBidi" w:cstheme="majorBidi"/>
                <w:b/>
              </w:rPr>
              <w:t>0.003</w:t>
            </w:r>
          </w:p>
        </w:tc>
        <w:tc>
          <w:tcPr>
            <w:tcW w:w="2148" w:type="dxa"/>
            <w:tcBorders>
              <w:top w:val="single" w:sz="4" w:space="0" w:color="auto"/>
              <w:left w:val="nil"/>
              <w:bottom w:val="nil"/>
              <w:right w:val="nil"/>
            </w:tcBorders>
          </w:tcPr>
          <w:p w14:paraId="47CBFAAE" w14:textId="6CE1429F" w:rsidR="000449A6" w:rsidRPr="00343EDB" w:rsidRDefault="00343EDB" w:rsidP="00715806">
            <w:pPr>
              <w:spacing w:before="120" w:line="360" w:lineRule="auto"/>
              <w:jc w:val="center"/>
              <w:rPr>
                <w:rFonts w:asciiTheme="majorBidi" w:hAnsiTheme="majorBidi" w:cstheme="majorBidi"/>
                <w:b/>
              </w:rPr>
            </w:pPr>
            <w:r>
              <w:rPr>
                <w:rFonts w:asciiTheme="majorBidi" w:hAnsiTheme="majorBidi" w:cstheme="majorBidi"/>
                <w:b/>
              </w:rPr>
              <w:t>&lt;0.001</w:t>
            </w:r>
          </w:p>
        </w:tc>
      </w:tr>
      <w:tr w:rsidR="0055210C" w14:paraId="644AFD1C" w14:textId="03E43E8B" w:rsidTr="0055210C">
        <w:trPr>
          <w:trHeight w:val="176"/>
        </w:trPr>
        <w:tc>
          <w:tcPr>
            <w:tcW w:w="1276" w:type="dxa"/>
            <w:vMerge/>
            <w:tcBorders>
              <w:top w:val="nil"/>
              <w:left w:val="nil"/>
              <w:bottom w:val="nil"/>
              <w:right w:val="nil"/>
            </w:tcBorders>
          </w:tcPr>
          <w:p w14:paraId="17412DCE"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3A86E684"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730" w:type="dxa"/>
            <w:tcBorders>
              <w:top w:val="nil"/>
              <w:left w:val="nil"/>
              <w:bottom w:val="nil"/>
              <w:right w:val="nil"/>
            </w:tcBorders>
          </w:tcPr>
          <w:p w14:paraId="64463602" w14:textId="028C014F"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4.8</w:t>
            </w:r>
          </w:p>
        </w:tc>
        <w:tc>
          <w:tcPr>
            <w:tcW w:w="378" w:type="dxa"/>
            <w:tcBorders>
              <w:top w:val="nil"/>
              <w:left w:val="nil"/>
              <w:bottom w:val="nil"/>
              <w:right w:val="nil"/>
            </w:tcBorders>
          </w:tcPr>
          <w:p w14:paraId="7492E5AE" w14:textId="78DBD06E"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42824730" w14:textId="61418FDA" w:rsidR="000449A6" w:rsidRPr="00781DCB" w:rsidRDefault="000449A6" w:rsidP="00EB77E9">
            <w:pPr>
              <w:spacing w:line="360" w:lineRule="auto"/>
              <w:rPr>
                <w:rFonts w:asciiTheme="majorBidi" w:hAnsiTheme="majorBidi" w:cstheme="majorBidi"/>
              </w:rPr>
            </w:pPr>
            <w:r>
              <w:rPr>
                <w:rFonts w:asciiTheme="majorBidi" w:hAnsiTheme="majorBidi" w:cstheme="majorBidi"/>
              </w:rPr>
              <w:t>0.4</w:t>
            </w:r>
          </w:p>
        </w:tc>
        <w:tc>
          <w:tcPr>
            <w:tcW w:w="644" w:type="dxa"/>
            <w:tcBorders>
              <w:top w:val="nil"/>
              <w:left w:val="nil"/>
              <w:bottom w:val="nil"/>
              <w:right w:val="nil"/>
            </w:tcBorders>
          </w:tcPr>
          <w:p w14:paraId="1AF1C366" w14:textId="76AAD79C"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5.0</w:t>
            </w:r>
          </w:p>
        </w:tc>
        <w:tc>
          <w:tcPr>
            <w:tcW w:w="364" w:type="dxa"/>
            <w:tcBorders>
              <w:top w:val="nil"/>
              <w:left w:val="nil"/>
              <w:bottom w:val="nil"/>
              <w:right w:val="nil"/>
            </w:tcBorders>
          </w:tcPr>
          <w:p w14:paraId="47E1D40E" w14:textId="50C8E4D1"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3D90F92C" w14:textId="1B0B48BD"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0.3*</w:t>
            </w:r>
            <w:r w:rsidR="001E2D28" w:rsidRPr="000E1C62">
              <w:rPr>
                <w:rFonts w:asciiTheme="majorBidi" w:hAnsiTheme="majorBidi" w:cstheme="majorBidi"/>
              </w:rPr>
              <w:t>*</w:t>
            </w:r>
          </w:p>
        </w:tc>
        <w:tc>
          <w:tcPr>
            <w:tcW w:w="644" w:type="dxa"/>
            <w:tcBorders>
              <w:top w:val="nil"/>
              <w:left w:val="nil"/>
              <w:bottom w:val="nil"/>
              <w:right w:val="nil"/>
            </w:tcBorders>
          </w:tcPr>
          <w:p w14:paraId="7DB3EFE3" w14:textId="5A2B5E98"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5.0</w:t>
            </w:r>
          </w:p>
        </w:tc>
        <w:tc>
          <w:tcPr>
            <w:tcW w:w="364" w:type="dxa"/>
            <w:tcBorders>
              <w:top w:val="nil"/>
              <w:left w:val="nil"/>
              <w:bottom w:val="nil"/>
              <w:right w:val="nil"/>
            </w:tcBorders>
          </w:tcPr>
          <w:p w14:paraId="7B06CEAC" w14:textId="0F6ABBB4"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4F339C63" w14:textId="1AF2285E"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0.5*</w:t>
            </w:r>
            <w:r w:rsidR="001E2D28" w:rsidRPr="000E1C62">
              <w:rPr>
                <w:rFonts w:asciiTheme="majorBidi" w:hAnsiTheme="majorBidi" w:cstheme="majorBidi"/>
              </w:rPr>
              <w:t>*</w:t>
            </w:r>
          </w:p>
        </w:tc>
        <w:tc>
          <w:tcPr>
            <w:tcW w:w="636" w:type="dxa"/>
            <w:tcBorders>
              <w:top w:val="nil"/>
              <w:left w:val="nil"/>
              <w:bottom w:val="nil"/>
              <w:right w:val="nil"/>
            </w:tcBorders>
          </w:tcPr>
          <w:p w14:paraId="0A035E35" w14:textId="61B567C3"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5.0</w:t>
            </w:r>
          </w:p>
        </w:tc>
        <w:tc>
          <w:tcPr>
            <w:tcW w:w="359" w:type="dxa"/>
            <w:tcBorders>
              <w:top w:val="nil"/>
              <w:left w:val="nil"/>
              <w:bottom w:val="nil"/>
              <w:right w:val="nil"/>
            </w:tcBorders>
          </w:tcPr>
          <w:p w14:paraId="3E41BB5F" w14:textId="40255E2A"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7ABDF41D" w14:textId="546D77B1"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0.3</w:t>
            </w:r>
            <w:r w:rsidR="00B45149" w:rsidRPr="000E1C62">
              <w:rPr>
                <w:rFonts w:asciiTheme="majorBidi" w:hAnsiTheme="majorBidi" w:cstheme="majorBidi"/>
              </w:rPr>
              <w:t>*</w:t>
            </w:r>
          </w:p>
        </w:tc>
        <w:tc>
          <w:tcPr>
            <w:tcW w:w="1431" w:type="dxa"/>
            <w:tcBorders>
              <w:top w:val="nil"/>
              <w:left w:val="nil"/>
              <w:bottom w:val="nil"/>
              <w:right w:val="nil"/>
            </w:tcBorders>
          </w:tcPr>
          <w:p w14:paraId="7EDDB704" w14:textId="77777777" w:rsidR="000449A6" w:rsidRPr="000E1C62"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66400235" w14:textId="77777777" w:rsidR="000449A6" w:rsidRDefault="000449A6" w:rsidP="00715806">
            <w:pPr>
              <w:spacing w:line="360" w:lineRule="auto"/>
              <w:jc w:val="center"/>
              <w:rPr>
                <w:rFonts w:asciiTheme="majorBidi" w:hAnsiTheme="majorBidi" w:cstheme="majorBidi"/>
              </w:rPr>
            </w:pPr>
          </w:p>
        </w:tc>
      </w:tr>
      <w:tr w:rsidR="0055210C" w14:paraId="37A5F159" w14:textId="0AC5D9A2" w:rsidTr="0055210C">
        <w:trPr>
          <w:trHeight w:val="70"/>
        </w:trPr>
        <w:tc>
          <w:tcPr>
            <w:tcW w:w="1276" w:type="dxa"/>
            <w:vMerge w:val="restart"/>
            <w:tcBorders>
              <w:top w:val="nil"/>
              <w:left w:val="nil"/>
              <w:bottom w:val="nil"/>
              <w:right w:val="nil"/>
            </w:tcBorders>
          </w:tcPr>
          <w:p w14:paraId="2BDD0FB0" w14:textId="77777777" w:rsidR="000449A6" w:rsidRPr="00781DCB" w:rsidRDefault="000449A6" w:rsidP="00EB77E9">
            <w:pPr>
              <w:spacing w:line="360" w:lineRule="auto"/>
              <w:rPr>
                <w:rFonts w:asciiTheme="majorBidi" w:hAnsiTheme="majorBidi" w:cstheme="majorBidi"/>
              </w:rPr>
            </w:pPr>
            <w:r>
              <w:rPr>
                <w:rFonts w:asciiTheme="majorBidi" w:hAnsiTheme="majorBidi" w:cstheme="majorBidi"/>
              </w:rPr>
              <w:t>Insulin (pmol∙</w:t>
            </w:r>
            <w:r>
              <w:rPr>
                <w:rFonts w:ascii="Times New Roman" w:hAnsi="Times New Roman" w:cs="Times New Roman"/>
              </w:rPr>
              <w:t>L</w:t>
            </w:r>
            <w:r w:rsidRPr="009D141A">
              <w:rPr>
                <w:rFonts w:ascii="Times New Roman" w:hAnsi="Times New Roman" w:cs="Times New Roman"/>
                <w:vertAlign w:val="superscript"/>
              </w:rPr>
              <w:t>-1</w:t>
            </w:r>
            <w:r>
              <w:rPr>
                <w:rFonts w:ascii="Times New Roman" w:hAnsi="Times New Roman" w:cs="Times New Roman"/>
              </w:rPr>
              <w:t>)</w:t>
            </w:r>
          </w:p>
        </w:tc>
        <w:tc>
          <w:tcPr>
            <w:tcW w:w="1531" w:type="dxa"/>
            <w:tcBorders>
              <w:top w:val="nil"/>
              <w:left w:val="nil"/>
              <w:bottom w:val="nil"/>
              <w:right w:val="nil"/>
            </w:tcBorders>
          </w:tcPr>
          <w:p w14:paraId="5AAF97B8" w14:textId="400EF4A6"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730" w:type="dxa"/>
            <w:tcBorders>
              <w:top w:val="nil"/>
              <w:left w:val="nil"/>
              <w:bottom w:val="nil"/>
              <w:right w:val="nil"/>
            </w:tcBorders>
          </w:tcPr>
          <w:p w14:paraId="1D5C644F" w14:textId="34B209F3"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25</w:t>
            </w:r>
          </w:p>
        </w:tc>
        <w:tc>
          <w:tcPr>
            <w:tcW w:w="378" w:type="dxa"/>
            <w:tcBorders>
              <w:top w:val="nil"/>
              <w:left w:val="nil"/>
              <w:bottom w:val="nil"/>
              <w:right w:val="nil"/>
            </w:tcBorders>
          </w:tcPr>
          <w:p w14:paraId="7C80E4D7" w14:textId="2D348466"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77D80A82" w14:textId="6C1B3707" w:rsidR="000449A6" w:rsidRPr="00781DCB" w:rsidRDefault="000449A6" w:rsidP="00EB77E9">
            <w:pPr>
              <w:spacing w:line="360" w:lineRule="auto"/>
              <w:rPr>
                <w:rFonts w:asciiTheme="majorBidi" w:hAnsiTheme="majorBidi" w:cstheme="majorBidi"/>
              </w:rPr>
            </w:pPr>
            <w:r>
              <w:rPr>
                <w:rFonts w:asciiTheme="majorBidi" w:hAnsiTheme="majorBidi" w:cstheme="majorBidi"/>
              </w:rPr>
              <w:t>12</w:t>
            </w:r>
          </w:p>
        </w:tc>
        <w:tc>
          <w:tcPr>
            <w:tcW w:w="644" w:type="dxa"/>
            <w:tcBorders>
              <w:top w:val="nil"/>
              <w:left w:val="nil"/>
              <w:bottom w:val="nil"/>
              <w:right w:val="nil"/>
            </w:tcBorders>
          </w:tcPr>
          <w:p w14:paraId="3618078D" w14:textId="6326AD40"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28</w:t>
            </w:r>
          </w:p>
        </w:tc>
        <w:tc>
          <w:tcPr>
            <w:tcW w:w="364" w:type="dxa"/>
            <w:tcBorders>
              <w:top w:val="nil"/>
              <w:left w:val="nil"/>
              <w:bottom w:val="nil"/>
              <w:right w:val="nil"/>
            </w:tcBorders>
          </w:tcPr>
          <w:p w14:paraId="52E67C78" w14:textId="1FD78272"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6F41F609" w14:textId="71364DDB"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13</w:t>
            </w:r>
          </w:p>
        </w:tc>
        <w:tc>
          <w:tcPr>
            <w:tcW w:w="644" w:type="dxa"/>
            <w:tcBorders>
              <w:top w:val="nil"/>
              <w:left w:val="nil"/>
              <w:bottom w:val="nil"/>
              <w:right w:val="nil"/>
            </w:tcBorders>
          </w:tcPr>
          <w:p w14:paraId="5088AD6E" w14:textId="0399C6E9"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22</w:t>
            </w:r>
          </w:p>
        </w:tc>
        <w:tc>
          <w:tcPr>
            <w:tcW w:w="364" w:type="dxa"/>
            <w:tcBorders>
              <w:top w:val="nil"/>
              <w:left w:val="nil"/>
              <w:bottom w:val="nil"/>
              <w:right w:val="nil"/>
            </w:tcBorders>
          </w:tcPr>
          <w:p w14:paraId="26724009" w14:textId="035C80E4"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080F6267" w14:textId="38D0B902"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9</w:t>
            </w:r>
          </w:p>
        </w:tc>
        <w:tc>
          <w:tcPr>
            <w:tcW w:w="636" w:type="dxa"/>
            <w:tcBorders>
              <w:top w:val="nil"/>
              <w:left w:val="nil"/>
              <w:bottom w:val="nil"/>
              <w:right w:val="nil"/>
            </w:tcBorders>
          </w:tcPr>
          <w:p w14:paraId="513EC7AF" w14:textId="49A1EDEE"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23</w:t>
            </w:r>
          </w:p>
        </w:tc>
        <w:tc>
          <w:tcPr>
            <w:tcW w:w="359" w:type="dxa"/>
            <w:tcBorders>
              <w:top w:val="nil"/>
              <w:left w:val="nil"/>
              <w:bottom w:val="nil"/>
              <w:right w:val="nil"/>
            </w:tcBorders>
          </w:tcPr>
          <w:p w14:paraId="707F5C3D" w14:textId="6C0E3CAE"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61027DEE" w14:textId="3AA2F61A"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7</w:t>
            </w:r>
          </w:p>
        </w:tc>
        <w:tc>
          <w:tcPr>
            <w:tcW w:w="1431" w:type="dxa"/>
            <w:tcBorders>
              <w:top w:val="nil"/>
              <w:left w:val="nil"/>
              <w:bottom w:val="nil"/>
              <w:right w:val="nil"/>
            </w:tcBorders>
          </w:tcPr>
          <w:p w14:paraId="05146B8F" w14:textId="2DB9F56A" w:rsidR="000449A6" w:rsidRPr="000E1C62" w:rsidRDefault="00343EDB" w:rsidP="00715806">
            <w:pPr>
              <w:spacing w:line="360" w:lineRule="auto"/>
              <w:jc w:val="center"/>
              <w:rPr>
                <w:rFonts w:asciiTheme="majorBidi" w:hAnsiTheme="majorBidi" w:cstheme="majorBidi"/>
              </w:rPr>
            </w:pPr>
            <w:r w:rsidRPr="000E1C62">
              <w:rPr>
                <w:rFonts w:asciiTheme="majorBidi" w:hAnsiTheme="majorBidi" w:cstheme="majorBidi"/>
              </w:rPr>
              <w:t>0.06</w:t>
            </w:r>
          </w:p>
        </w:tc>
        <w:tc>
          <w:tcPr>
            <w:tcW w:w="2148" w:type="dxa"/>
            <w:tcBorders>
              <w:top w:val="nil"/>
              <w:left w:val="nil"/>
              <w:bottom w:val="nil"/>
              <w:right w:val="nil"/>
            </w:tcBorders>
          </w:tcPr>
          <w:p w14:paraId="633AD10D" w14:textId="5208A1C6" w:rsidR="000449A6" w:rsidRDefault="00343EDB" w:rsidP="00715806">
            <w:pPr>
              <w:spacing w:line="360" w:lineRule="auto"/>
              <w:jc w:val="center"/>
              <w:rPr>
                <w:rFonts w:asciiTheme="majorBidi" w:hAnsiTheme="majorBidi" w:cstheme="majorBidi"/>
              </w:rPr>
            </w:pPr>
            <w:r>
              <w:rPr>
                <w:rFonts w:asciiTheme="majorBidi" w:hAnsiTheme="majorBidi" w:cstheme="majorBidi"/>
              </w:rPr>
              <w:t>0.21</w:t>
            </w:r>
          </w:p>
        </w:tc>
      </w:tr>
      <w:tr w:rsidR="0055210C" w14:paraId="357E47B7" w14:textId="56641CE7" w:rsidTr="0055210C">
        <w:trPr>
          <w:trHeight w:val="70"/>
        </w:trPr>
        <w:tc>
          <w:tcPr>
            <w:tcW w:w="1276" w:type="dxa"/>
            <w:vMerge/>
            <w:tcBorders>
              <w:top w:val="nil"/>
              <w:left w:val="nil"/>
              <w:bottom w:val="nil"/>
              <w:right w:val="nil"/>
            </w:tcBorders>
          </w:tcPr>
          <w:p w14:paraId="7428ADA8"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579B0D6D"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730" w:type="dxa"/>
            <w:tcBorders>
              <w:top w:val="nil"/>
              <w:left w:val="nil"/>
              <w:bottom w:val="nil"/>
              <w:right w:val="nil"/>
            </w:tcBorders>
          </w:tcPr>
          <w:p w14:paraId="725EF120" w14:textId="6EA04E00"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27</w:t>
            </w:r>
          </w:p>
        </w:tc>
        <w:tc>
          <w:tcPr>
            <w:tcW w:w="378" w:type="dxa"/>
            <w:tcBorders>
              <w:top w:val="nil"/>
              <w:left w:val="nil"/>
              <w:bottom w:val="nil"/>
              <w:right w:val="nil"/>
            </w:tcBorders>
          </w:tcPr>
          <w:p w14:paraId="3F55535C" w14:textId="18C81AAA"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476BB847" w14:textId="3ED5A950" w:rsidR="000449A6" w:rsidRPr="00781DCB" w:rsidRDefault="000449A6" w:rsidP="00EB77E9">
            <w:pPr>
              <w:spacing w:line="360" w:lineRule="auto"/>
              <w:rPr>
                <w:rFonts w:asciiTheme="majorBidi" w:hAnsiTheme="majorBidi" w:cstheme="majorBidi"/>
              </w:rPr>
            </w:pPr>
            <w:r>
              <w:rPr>
                <w:rFonts w:asciiTheme="majorBidi" w:hAnsiTheme="majorBidi" w:cstheme="majorBidi"/>
              </w:rPr>
              <w:t>11</w:t>
            </w:r>
          </w:p>
        </w:tc>
        <w:tc>
          <w:tcPr>
            <w:tcW w:w="644" w:type="dxa"/>
            <w:tcBorders>
              <w:top w:val="nil"/>
              <w:left w:val="nil"/>
              <w:bottom w:val="nil"/>
              <w:right w:val="nil"/>
            </w:tcBorders>
          </w:tcPr>
          <w:p w14:paraId="0A895D0E" w14:textId="53A0E9A2"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30</w:t>
            </w:r>
          </w:p>
        </w:tc>
        <w:tc>
          <w:tcPr>
            <w:tcW w:w="364" w:type="dxa"/>
            <w:tcBorders>
              <w:top w:val="nil"/>
              <w:left w:val="nil"/>
              <w:bottom w:val="nil"/>
              <w:right w:val="nil"/>
            </w:tcBorders>
          </w:tcPr>
          <w:p w14:paraId="52C38CB8" w14:textId="55E31577"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32FA563F" w14:textId="1044BD2A"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8</w:t>
            </w:r>
          </w:p>
        </w:tc>
        <w:tc>
          <w:tcPr>
            <w:tcW w:w="644" w:type="dxa"/>
            <w:tcBorders>
              <w:top w:val="nil"/>
              <w:left w:val="nil"/>
              <w:bottom w:val="nil"/>
              <w:right w:val="nil"/>
            </w:tcBorders>
          </w:tcPr>
          <w:p w14:paraId="48CB7BD6" w14:textId="64E8F41B"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30</w:t>
            </w:r>
          </w:p>
        </w:tc>
        <w:tc>
          <w:tcPr>
            <w:tcW w:w="364" w:type="dxa"/>
            <w:tcBorders>
              <w:top w:val="nil"/>
              <w:left w:val="nil"/>
              <w:bottom w:val="nil"/>
              <w:right w:val="nil"/>
            </w:tcBorders>
          </w:tcPr>
          <w:p w14:paraId="415AAF7D" w14:textId="72264FC9"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4F0B13B8" w14:textId="7E563F5B"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8</w:t>
            </w:r>
          </w:p>
        </w:tc>
        <w:tc>
          <w:tcPr>
            <w:tcW w:w="636" w:type="dxa"/>
            <w:tcBorders>
              <w:top w:val="nil"/>
              <w:left w:val="nil"/>
              <w:bottom w:val="nil"/>
              <w:right w:val="nil"/>
            </w:tcBorders>
          </w:tcPr>
          <w:p w14:paraId="7700545B" w14:textId="4C05F391"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31</w:t>
            </w:r>
          </w:p>
        </w:tc>
        <w:tc>
          <w:tcPr>
            <w:tcW w:w="359" w:type="dxa"/>
            <w:tcBorders>
              <w:top w:val="nil"/>
              <w:left w:val="nil"/>
              <w:bottom w:val="nil"/>
              <w:right w:val="nil"/>
            </w:tcBorders>
          </w:tcPr>
          <w:p w14:paraId="62B11115" w14:textId="6E8C9AE7"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3DE92D5E" w14:textId="5B74C6B6"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11</w:t>
            </w:r>
          </w:p>
        </w:tc>
        <w:tc>
          <w:tcPr>
            <w:tcW w:w="1431" w:type="dxa"/>
            <w:tcBorders>
              <w:top w:val="nil"/>
              <w:left w:val="nil"/>
              <w:bottom w:val="nil"/>
              <w:right w:val="nil"/>
            </w:tcBorders>
          </w:tcPr>
          <w:p w14:paraId="375979D3" w14:textId="77777777" w:rsidR="000449A6" w:rsidRPr="000E1C62"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59B5B7C3" w14:textId="77777777" w:rsidR="000449A6" w:rsidRDefault="000449A6" w:rsidP="00715806">
            <w:pPr>
              <w:spacing w:line="360" w:lineRule="auto"/>
              <w:jc w:val="center"/>
              <w:rPr>
                <w:rFonts w:asciiTheme="majorBidi" w:hAnsiTheme="majorBidi" w:cstheme="majorBidi"/>
              </w:rPr>
            </w:pPr>
          </w:p>
        </w:tc>
      </w:tr>
      <w:tr w:rsidR="0055210C" w14:paraId="73C76ECD" w14:textId="0026A488" w:rsidTr="0055210C">
        <w:trPr>
          <w:trHeight w:val="335"/>
        </w:trPr>
        <w:tc>
          <w:tcPr>
            <w:tcW w:w="1276" w:type="dxa"/>
            <w:vMerge w:val="restart"/>
            <w:tcBorders>
              <w:top w:val="nil"/>
              <w:left w:val="nil"/>
              <w:bottom w:val="nil"/>
              <w:right w:val="nil"/>
            </w:tcBorders>
          </w:tcPr>
          <w:p w14:paraId="489205C8" w14:textId="77777777" w:rsidR="000449A6" w:rsidRPr="00781DCB" w:rsidRDefault="000449A6" w:rsidP="00EB77E9">
            <w:pPr>
              <w:spacing w:line="360" w:lineRule="auto"/>
              <w:rPr>
                <w:rFonts w:asciiTheme="majorBidi" w:hAnsiTheme="majorBidi" w:cstheme="majorBidi"/>
              </w:rPr>
            </w:pPr>
            <w:r>
              <w:rPr>
                <w:rFonts w:asciiTheme="majorBidi" w:hAnsiTheme="majorBidi" w:cstheme="majorBidi"/>
              </w:rPr>
              <w:t>NEFA (mmol∙</w:t>
            </w:r>
            <w:r>
              <w:rPr>
                <w:rFonts w:ascii="Times New Roman" w:hAnsi="Times New Roman" w:cs="Times New Roman"/>
              </w:rPr>
              <w:t>L</w:t>
            </w:r>
            <w:r w:rsidRPr="009D141A">
              <w:rPr>
                <w:rFonts w:ascii="Times New Roman" w:hAnsi="Times New Roman" w:cs="Times New Roman"/>
                <w:vertAlign w:val="superscript"/>
              </w:rPr>
              <w:t>-1</w:t>
            </w:r>
            <w:r>
              <w:rPr>
                <w:rFonts w:ascii="Times New Roman" w:hAnsi="Times New Roman" w:cs="Times New Roman"/>
              </w:rPr>
              <w:t>)</w:t>
            </w:r>
          </w:p>
        </w:tc>
        <w:tc>
          <w:tcPr>
            <w:tcW w:w="1531" w:type="dxa"/>
            <w:tcBorders>
              <w:top w:val="nil"/>
              <w:left w:val="nil"/>
              <w:bottom w:val="nil"/>
              <w:right w:val="nil"/>
            </w:tcBorders>
          </w:tcPr>
          <w:p w14:paraId="24F49C61" w14:textId="7380E065"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730" w:type="dxa"/>
            <w:tcBorders>
              <w:top w:val="nil"/>
              <w:left w:val="nil"/>
              <w:bottom w:val="nil"/>
              <w:right w:val="nil"/>
            </w:tcBorders>
          </w:tcPr>
          <w:p w14:paraId="571FFD18" w14:textId="5B9CFDD8"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0.37</w:t>
            </w:r>
          </w:p>
        </w:tc>
        <w:tc>
          <w:tcPr>
            <w:tcW w:w="378" w:type="dxa"/>
            <w:tcBorders>
              <w:top w:val="nil"/>
              <w:left w:val="nil"/>
              <w:bottom w:val="nil"/>
              <w:right w:val="nil"/>
            </w:tcBorders>
          </w:tcPr>
          <w:p w14:paraId="013D62FB" w14:textId="3E3FEEF8"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2B0AE1D2" w14:textId="70F676AF" w:rsidR="000449A6" w:rsidRPr="00781DCB" w:rsidRDefault="000449A6" w:rsidP="00EB77E9">
            <w:pPr>
              <w:spacing w:line="360" w:lineRule="auto"/>
              <w:rPr>
                <w:rFonts w:asciiTheme="majorBidi" w:hAnsiTheme="majorBidi" w:cstheme="majorBidi"/>
              </w:rPr>
            </w:pPr>
            <w:r>
              <w:rPr>
                <w:rFonts w:asciiTheme="majorBidi" w:hAnsiTheme="majorBidi" w:cstheme="majorBidi"/>
              </w:rPr>
              <w:t>0.13</w:t>
            </w:r>
          </w:p>
        </w:tc>
        <w:tc>
          <w:tcPr>
            <w:tcW w:w="644" w:type="dxa"/>
            <w:tcBorders>
              <w:top w:val="nil"/>
              <w:left w:val="nil"/>
              <w:bottom w:val="nil"/>
              <w:right w:val="nil"/>
            </w:tcBorders>
          </w:tcPr>
          <w:p w14:paraId="5B85F654" w14:textId="49AA500E"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0.30</w:t>
            </w:r>
          </w:p>
        </w:tc>
        <w:tc>
          <w:tcPr>
            <w:tcW w:w="364" w:type="dxa"/>
            <w:tcBorders>
              <w:top w:val="nil"/>
              <w:left w:val="nil"/>
              <w:bottom w:val="nil"/>
              <w:right w:val="nil"/>
            </w:tcBorders>
          </w:tcPr>
          <w:p w14:paraId="3D47CCF8" w14:textId="75431F65"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068F1D2A" w14:textId="35D05256"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0.12</w:t>
            </w:r>
          </w:p>
        </w:tc>
        <w:tc>
          <w:tcPr>
            <w:tcW w:w="644" w:type="dxa"/>
            <w:tcBorders>
              <w:top w:val="nil"/>
              <w:left w:val="nil"/>
              <w:bottom w:val="nil"/>
              <w:right w:val="nil"/>
            </w:tcBorders>
          </w:tcPr>
          <w:p w14:paraId="3B5E8A48" w14:textId="26810443"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0.33</w:t>
            </w:r>
          </w:p>
        </w:tc>
        <w:tc>
          <w:tcPr>
            <w:tcW w:w="364" w:type="dxa"/>
            <w:tcBorders>
              <w:top w:val="nil"/>
              <w:left w:val="nil"/>
              <w:bottom w:val="nil"/>
              <w:right w:val="nil"/>
            </w:tcBorders>
          </w:tcPr>
          <w:p w14:paraId="34EBC493" w14:textId="3AE52CC9"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53E0FBC4" w14:textId="22CB9995"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0.16</w:t>
            </w:r>
          </w:p>
        </w:tc>
        <w:tc>
          <w:tcPr>
            <w:tcW w:w="636" w:type="dxa"/>
            <w:tcBorders>
              <w:top w:val="nil"/>
              <w:left w:val="nil"/>
              <w:bottom w:val="nil"/>
              <w:right w:val="nil"/>
            </w:tcBorders>
          </w:tcPr>
          <w:p w14:paraId="7927692A" w14:textId="01EDACF1"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0.32</w:t>
            </w:r>
          </w:p>
        </w:tc>
        <w:tc>
          <w:tcPr>
            <w:tcW w:w="359" w:type="dxa"/>
            <w:tcBorders>
              <w:top w:val="nil"/>
              <w:left w:val="nil"/>
              <w:bottom w:val="nil"/>
              <w:right w:val="nil"/>
            </w:tcBorders>
          </w:tcPr>
          <w:p w14:paraId="77FA5DBA" w14:textId="540D00AD"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5AEA90F2" w14:textId="1E66A71A"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0.13</w:t>
            </w:r>
          </w:p>
        </w:tc>
        <w:tc>
          <w:tcPr>
            <w:tcW w:w="1431" w:type="dxa"/>
            <w:tcBorders>
              <w:top w:val="nil"/>
              <w:left w:val="nil"/>
              <w:bottom w:val="nil"/>
              <w:right w:val="nil"/>
            </w:tcBorders>
          </w:tcPr>
          <w:p w14:paraId="503CA2B6" w14:textId="7108B6BB" w:rsidR="000449A6" w:rsidRPr="000E1C62" w:rsidRDefault="00343EDB" w:rsidP="00715806">
            <w:pPr>
              <w:spacing w:line="360" w:lineRule="auto"/>
              <w:jc w:val="center"/>
              <w:rPr>
                <w:rFonts w:asciiTheme="majorBidi" w:hAnsiTheme="majorBidi" w:cstheme="majorBidi"/>
              </w:rPr>
            </w:pPr>
            <w:r w:rsidRPr="000E1C62">
              <w:rPr>
                <w:rFonts w:asciiTheme="majorBidi" w:hAnsiTheme="majorBidi" w:cstheme="majorBidi"/>
              </w:rPr>
              <w:t>0.12</w:t>
            </w:r>
          </w:p>
        </w:tc>
        <w:tc>
          <w:tcPr>
            <w:tcW w:w="2148" w:type="dxa"/>
            <w:tcBorders>
              <w:top w:val="nil"/>
              <w:left w:val="nil"/>
              <w:bottom w:val="nil"/>
              <w:right w:val="nil"/>
            </w:tcBorders>
          </w:tcPr>
          <w:p w14:paraId="6582AD9A" w14:textId="76572123" w:rsidR="000449A6" w:rsidRDefault="003C7253" w:rsidP="00715806">
            <w:pPr>
              <w:spacing w:line="360" w:lineRule="auto"/>
              <w:jc w:val="center"/>
              <w:rPr>
                <w:rFonts w:asciiTheme="majorBidi" w:hAnsiTheme="majorBidi" w:cstheme="majorBidi"/>
              </w:rPr>
            </w:pPr>
            <w:r>
              <w:rPr>
                <w:rFonts w:asciiTheme="majorBidi" w:hAnsiTheme="majorBidi" w:cstheme="majorBidi"/>
              </w:rPr>
              <w:t>0.94</w:t>
            </w:r>
          </w:p>
        </w:tc>
      </w:tr>
      <w:tr w:rsidR="0055210C" w14:paraId="23787BB3" w14:textId="01E0BBF6" w:rsidTr="0055210C">
        <w:trPr>
          <w:trHeight w:val="129"/>
        </w:trPr>
        <w:tc>
          <w:tcPr>
            <w:tcW w:w="1276" w:type="dxa"/>
            <w:vMerge/>
            <w:tcBorders>
              <w:top w:val="nil"/>
              <w:left w:val="nil"/>
              <w:bottom w:val="nil"/>
              <w:right w:val="nil"/>
            </w:tcBorders>
          </w:tcPr>
          <w:p w14:paraId="44F294F9"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294A00E1"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730" w:type="dxa"/>
            <w:tcBorders>
              <w:top w:val="nil"/>
              <w:left w:val="nil"/>
              <w:bottom w:val="nil"/>
              <w:right w:val="nil"/>
            </w:tcBorders>
          </w:tcPr>
          <w:p w14:paraId="17108B36" w14:textId="2C8CA6BC"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0.31</w:t>
            </w:r>
          </w:p>
        </w:tc>
        <w:tc>
          <w:tcPr>
            <w:tcW w:w="378" w:type="dxa"/>
            <w:tcBorders>
              <w:top w:val="nil"/>
              <w:left w:val="nil"/>
              <w:bottom w:val="nil"/>
              <w:right w:val="nil"/>
            </w:tcBorders>
          </w:tcPr>
          <w:p w14:paraId="70B9576D" w14:textId="0D6F6CD3"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115BF560" w14:textId="432F7823" w:rsidR="000449A6" w:rsidRPr="00781DCB" w:rsidRDefault="000449A6" w:rsidP="00EB77E9">
            <w:pPr>
              <w:spacing w:line="360" w:lineRule="auto"/>
              <w:rPr>
                <w:rFonts w:asciiTheme="majorBidi" w:hAnsiTheme="majorBidi" w:cstheme="majorBidi"/>
              </w:rPr>
            </w:pPr>
            <w:r>
              <w:rPr>
                <w:rFonts w:asciiTheme="majorBidi" w:hAnsiTheme="majorBidi" w:cstheme="majorBidi"/>
              </w:rPr>
              <w:t>0.12</w:t>
            </w:r>
          </w:p>
        </w:tc>
        <w:tc>
          <w:tcPr>
            <w:tcW w:w="644" w:type="dxa"/>
            <w:tcBorders>
              <w:top w:val="nil"/>
              <w:left w:val="nil"/>
              <w:bottom w:val="nil"/>
              <w:right w:val="nil"/>
            </w:tcBorders>
          </w:tcPr>
          <w:p w14:paraId="0FE11242" w14:textId="32E9B683"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0.26</w:t>
            </w:r>
          </w:p>
        </w:tc>
        <w:tc>
          <w:tcPr>
            <w:tcW w:w="364" w:type="dxa"/>
            <w:tcBorders>
              <w:top w:val="nil"/>
              <w:left w:val="nil"/>
              <w:bottom w:val="nil"/>
              <w:right w:val="nil"/>
            </w:tcBorders>
          </w:tcPr>
          <w:p w14:paraId="48863229" w14:textId="60A24A32"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5F3F33F9" w14:textId="18207A1F"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0.14</w:t>
            </w:r>
          </w:p>
        </w:tc>
        <w:tc>
          <w:tcPr>
            <w:tcW w:w="644" w:type="dxa"/>
            <w:tcBorders>
              <w:top w:val="nil"/>
              <w:left w:val="nil"/>
              <w:bottom w:val="nil"/>
              <w:right w:val="nil"/>
            </w:tcBorders>
          </w:tcPr>
          <w:p w14:paraId="16B9B293" w14:textId="3892305E"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0.30</w:t>
            </w:r>
          </w:p>
        </w:tc>
        <w:tc>
          <w:tcPr>
            <w:tcW w:w="364" w:type="dxa"/>
            <w:tcBorders>
              <w:top w:val="nil"/>
              <w:left w:val="nil"/>
              <w:bottom w:val="nil"/>
              <w:right w:val="nil"/>
            </w:tcBorders>
          </w:tcPr>
          <w:p w14:paraId="6D046015" w14:textId="15C7A337"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5BE6E5B0" w14:textId="24027F84"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0.09</w:t>
            </w:r>
          </w:p>
        </w:tc>
        <w:tc>
          <w:tcPr>
            <w:tcW w:w="636" w:type="dxa"/>
            <w:tcBorders>
              <w:top w:val="nil"/>
              <w:left w:val="nil"/>
              <w:bottom w:val="nil"/>
              <w:right w:val="nil"/>
            </w:tcBorders>
          </w:tcPr>
          <w:p w14:paraId="440665AE" w14:textId="687F2365"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0.25</w:t>
            </w:r>
          </w:p>
        </w:tc>
        <w:tc>
          <w:tcPr>
            <w:tcW w:w="359" w:type="dxa"/>
            <w:tcBorders>
              <w:top w:val="nil"/>
              <w:left w:val="nil"/>
              <w:bottom w:val="nil"/>
              <w:right w:val="nil"/>
            </w:tcBorders>
          </w:tcPr>
          <w:p w14:paraId="4477AEC2" w14:textId="0A804AF9"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3E782D8E" w14:textId="3BBDADD0"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0.09</w:t>
            </w:r>
          </w:p>
        </w:tc>
        <w:tc>
          <w:tcPr>
            <w:tcW w:w="1431" w:type="dxa"/>
            <w:tcBorders>
              <w:top w:val="nil"/>
              <w:left w:val="nil"/>
              <w:bottom w:val="nil"/>
              <w:right w:val="nil"/>
            </w:tcBorders>
          </w:tcPr>
          <w:p w14:paraId="4C58AF7C" w14:textId="77777777" w:rsidR="000449A6" w:rsidRPr="000E1C62"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25978876" w14:textId="77777777" w:rsidR="000449A6" w:rsidRDefault="000449A6" w:rsidP="00715806">
            <w:pPr>
              <w:spacing w:line="360" w:lineRule="auto"/>
              <w:jc w:val="center"/>
              <w:rPr>
                <w:rFonts w:asciiTheme="majorBidi" w:hAnsiTheme="majorBidi" w:cstheme="majorBidi"/>
              </w:rPr>
            </w:pPr>
          </w:p>
        </w:tc>
      </w:tr>
      <w:tr w:rsidR="0055210C" w14:paraId="125B7FD4" w14:textId="6BC5FA6E" w:rsidTr="0055210C">
        <w:trPr>
          <w:trHeight w:val="319"/>
        </w:trPr>
        <w:tc>
          <w:tcPr>
            <w:tcW w:w="1276" w:type="dxa"/>
            <w:vMerge w:val="restart"/>
            <w:tcBorders>
              <w:top w:val="nil"/>
              <w:left w:val="nil"/>
              <w:bottom w:val="nil"/>
              <w:right w:val="nil"/>
            </w:tcBorders>
          </w:tcPr>
          <w:p w14:paraId="602E5712" w14:textId="77777777" w:rsidR="000449A6" w:rsidRPr="00781DCB" w:rsidRDefault="000449A6" w:rsidP="00EB77E9">
            <w:pPr>
              <w:spacing w:line="360" w:lineRule="auto"/>
              <w:rPr>
                <w:rFonts w:asciiTheme="majorBidi" w:hAnsiTheme="majorBidi" w:cstheme="majorBidi"/>
              </w:rPr>
            </w:pPr>
            <w:r>
              <w:rPr>
                <w:rFonts w:asciiTheme="majorBidi" w:hAnsiTheme="majorBidi" w:cstheme="majorBidi"/>
              </w:rPr>
              <w:t>TAG (mmol∙</w:t>
            </w:r>
            <w:r>
              <w:rPr>
                <w:rFonts w:ascii="Times New Roman" w:hAnsi="Times New Roman" w:cs="Times New Roman"/>
              </w:rPr>
              <w:t>L</w:t>
            </w:r>
            <w:r w:rsidRPr="009D141A">
              <w:rPr>
                <w:rFonts w:ascii="Times New Roman" w:hAnsi="Times New Roman" w:cs="Times New Roman"/>
                <w:vertAlign w:val="superscript"/>
              </w:rPr>
              <w:t>-1</w:t>
            </w:r>
            <w:r>
              <w:rPr>
                <w:rFonts w:ascii="Times New Roman" w:hAnsi="Times New Roman" w:cs="Times New Roman"/>
              </w:rPr>
              <w:t>)</w:t>
            </w:r>
          </w:p>
        </w:tc>
        <w:tc>
          <w:tcPr>
            <w:tcW w:w="1531" w:type="dxa"/>
            <w:tcBorders>
              <w:top w:val="nil"/>
              <w:left w:val="nil"/>
              <w:bottom w:val="nil"/>
              <w:right w:val="nil"/>
            </w:tcBorders>
          </w:tcPr>
          <w:p w14:paraId="6CCF2D98" w14:textId="15798EBC"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730" w:type="dxa"/>
            <w:tcBorders>
              <w:top w:val="nil"/>
              <w:left w:val="nil"/>
              <w:bottom w:val="nil"/>
              <w:right w:val="nil"/>
            </w:tcBorders>
          </w:tcPr>
          <w:p w14:paraId="63151B2D" w14:textId="15598F19"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0.75</w:t>
            </w:r>
          </w:p>
        </w:tc>
        <w:tc>
          <w:tcPr>
            <w:tcW w:w="378" w:type="dxa"/>
            <w:tcBorders>
              <w:top w:val="nil"/>
              <w:left w:val="nil"/>
              <w:bottom w:val="nil"/>
              <w:right w:val="nil"/>
            </w:tcBorders>
          </w:tcPr>
          <w:p w14:paraId="3BC06A09" w14:textId="2A26233B"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5FB0A931" w14:textId="1EB231F7" w:rsidR="000449A6" w:rsidRPr="00781DCB" w:rsidRDefault="000449A6" w:rsidP="00EB77E9">
            <w:pPr>
              <w:spacing w:line="360" w:lineRule="auto"/>
              <w:rPr>
                <w:rFonts w:asciiTheme="majorBidi" w:hAnsiTheme="majorBidi" w:cstheme="majorBidi"/>
              </w:rPr>
            </w:pPr>
            <w:r>
              <w:rPr>
                <w:rFonts w:asciiTheme="majorBidi" w:hAnsiTheme="majorBidi" w:cstheme="majorBidi"/>
              </w:rPr>
              <w:t>0.19</w:t>
            </w:r>
          </w:p>
        </w:tc>
        <w:tc>
          <w:tcPr>
            <w:tcW w:w="644" w:type="dxa"/>
            <w:tcBorders>
              <w:top w:val="nil"/>
              <w:left w:val="nil"/>
              <w:bottom w:val="nil"/>
              <w:right w:val="nil"/>
            </w:tcBorders>
          </w:tcPr>
          <w:p w14:paraId="1757B969" w14:textId="68BB011C"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0.76</w:t>
            </w:r>
          </w:p>
        </w:tc>
        <w:tc>
          <w:tcPr>
            <w:tcW w:w="364" w:type="dxa"/>
            <w:tcBorders>
              <w:top w:val="nil"/>
              <w:left w:val="nil"/>
              <w:bottom w:val="nil"/>
              <w:right w:val="nil"/>
            </w:tcBorders>
          </w:tcPr>
          <w:p w14:paraId="1B70A73F" w14:textId="236CE996"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4BCCD4E8" w14:textId="530CFB22"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0.19</w:t>
            </w:r>
          </w:p>
        </w:tc>
        <w:tc>
          <w:tcPr>
            <w:tcW w:w="644" w:type="dxa"/>
            <w:tcBorders>
              <w:top w:val="nil"/>
              <w:left w:val="nil"/>
              <w:bottom w:val="nil"/>
              <w:right w:val="nil"/>
            </w:tcBorders>
          </w:tcPr>
          <w:p w14:paraId="0C10AAE4" w14:textId="63799B89"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0.74</w:t>
            </w:r>
          </w:p>
        </w:tc>
        <w:tc>
          <w:tcPr>
            <w:tcW w:w="364" w:type="dxa"/>
            <w:tcBorders>
              <w:top w:val="nil"/>
              <w:left w:val="nil"/>
              <w:bottom w:val="nil"/>
              <w:right w:val="nil"/>
            </w:tcBorders>
          </w:tcPr>
          <w:p w14:paraId="7678A1CD" w14:textId="170191D6"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0CE41F6D" w14:textId="497CA69B"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0.20</w:t>
            </w:r>
          </w:p>
        </w:tc>
        <w:tc>
          <w:tcPr>
            <w:tcW w:w="636" w:type="dxa"/>
            <w:tcBorders>
              <w:top w:val="nil"/>
              <w:left w:val="nil"/>
              <w:bottom w:val="nil"/>
              <w:right w:val="nil"/>
            </w:tcBorders>
          </w:tcPr>
          <w:p w14:paraId="26964615" w14:textId="5990BCF4"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0.86</w:t>
            </w:r>
          </w:p>
        </w:tc>
        <w:tc>
          <w:tcPr>
            <w:tcW w:w="359" w:type="dxa"/>
            <w:tcBorders>
              <w:top w:val="nil"/>
              <w:left w:val="nil"/>
              <w:bottom w:val="nil"/>
              <w:right w:val="nil"/>
            </w:tcBorders>
          </w:tcPr>
          <w:p w14:paraId="6E0B50EB" w14:textId="749BA4DA"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432C378A" w14:textId="07FE384F"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0.29</w:t>
            </w:r>
          </w:p>
        </w:tc>
        <w:tc>
          <w:tcPr>
            <w:tcW w:w="1431" w:type="dxa"/>
            <w:tcBorders>
              <w:top w:val="nil"/>
              <w:left w:val="nil"/>
              <w:bottom w:val="nil"/>
              <w:right w:val="nil"/>
            </w:tcBorders>
          </w:tcPr>
          <w:p w14:paraId="73CC614F" w14:textId="28E7C1AE" w:rsidR="000449A6" w:rsidRPr="000E1C62" w:rsidRDefault="003C7253" w:rsidP="00715806">
            <w:pPr>
              <w:spacing w:line="360" w:lineRule="auto"/>
              <w:jc w:val="center"/>
              <w:rPr>
                <w:rFonts w:asciiTheme="majorBidi" w:hAnsiTheme="majorBidi" w:cstheme="majorBidi"/>
              </w:rPr>
            </w:pPr>
            <w:r w:rsidRPr="000E1C62">
              <w:rPr>
                <w:rFonts w:asciiTheme="majorBidi" w:hAnsiTheme="majorBidi" w:cstheme="majorBidi"/>
                <w:b/>
              </w:rPr>
              <w:t>0.031</w:t>
            </w:r>
          </w:p>
        </w:tc>
        <w:tc>
          <w:tcPr>
            <w:tcW w:w="2148" w:type="dxa"/>
            <w:tcBorders>
              <w:top w:val="nil"/>
              <w:left w:val="nil"/>
              <w:bottom w:val="nil"/>
              <w:right w:val="nil"/>
            </w:tcBorders>
          </w:tcPr>
          <w:p w14:paraId="252551E9" w14:textId="2341E935" w:rsidR="000449A6" w:rsidRPr="003C7253" w:rsidRDefault="003C7253" w:rsidP="00715806">
            <w:pPr>
              <w:spacing w:line="360" w:lineRule="auto"/>
              <w:jc w:val="center"/>
              <w:rPr>
                <w:rFonts w:asciiTheme="majorBidi" w:hAnsiTheme="majorBidi" w:cstheme="majorBidi"/>
                <w:b/>
              </w:rPr>
            </w:pPr>
            <w:r>
              <w:rPr>
                <w:rFonts w:asciiTheme="majorBidi" w:hAnsiTheme="majorBidi" w:cstheme="majorBidi"/>
                <w:b/>
              </w:rPr>
              <w:t>0.001</w:t>
            </w:r>
          </w:p>
        </w:tc>
      </w:tr>
      <w:tr w:rsidR="0055210C" w14:paraId="3E722B3B" w14:textId="2CC4A673" w:rsidTr="0055210C">
        <w:trPr>
          <w:trHeight w:val="183"/>
        </w:trPr>
        <w:tc>
          <w:tcPr>
            <w:tcW w:w="1276" w:type="dxa"/>
            <w:vMerge/>
            <w:tcBorders>
              <w:top w:val="nil"/>
              <w:left w:val="nil"/>
              <w:bottom w:val="nil"/>
              <w:right w:val="nil"/>
            </w:tcBorders>
          </w:tcPr>
          <w:p w14:paraId="5B43A18F"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4C99D7F8"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730" w:type="dxa"/>
            <w:tcBorders>
              <w:top w:val="nil"/>
              <w:left w:val="nil"/>
              <w:bottom w:val="nil"/>
              <w:right w:val="nil"/>
            </w:tcBorders>
          </w:tcPr>
          <w:p w14:paraId="44FF29F2" w14:textId="6D0E2C69"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0.82</w:t>
            </w:r>
          </w:p>
        </w:tc>
        <w:tc>
          <w:tcPr>
            <w:tcW w:w="378" w:type="dxa"/>
            <w:tcBorders>
              <w:top w:val="nil"/>
              <w:left w:val="nil"/>
              <w:bottom w:val="nil"/>
              <w:right w:val="nil"/>
            </w:tcBorders>
          </w:tcPr>
          <w:p w14:paraId="0BF9157D" w14:textId="5208ABDD"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6DBA1774" w14:textId="7DC1E485" w:rsidR="000449A6" w:rsidRPr="00781DCB" w:rsidRDefault="000449A6" w:rsidP="00EB77E9">
            <w:pPr>
              <w:spacing w:line="360" w:lineRule="auto"/>
              <w:rPr>
                <w:rFonts w:asciiTheme="majorBidi" w:hAnsiTheme="majorBidi" w:cstheme="majorBidi"/>
              </w:rPr>
            </w:pPr>
            <w:r>
              <w:rPr>
                <w:rFonts w:asciiTheme="majorBidi" w:hAnsiTheme="majorBidi" w:cstheme="majorBidi"/>
              </w:rPr>
              <w:t>0.16</w:t>
            </w:r>
          </w:p>
        </w:tc>
        <w:tc>
          <w:tcPr>
            <w:tcW w:w="644" w:type="dxa"/>
            <w:tcBorders>
              <w:top w:val="nil"/>
              <w:left w:val="nil"/>
              <w:bottom w:val="nil"/>
              <w:right w:val="nil"/>
            </w:tcBorders>
          </w:tcPr>
          <w:p w14:paraId="17229C14" w14:textId="3D7F5AD3"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0.63</w:t>
            </w:r>
          </w:p>
        </w:tc>
        <w:tc>
          <w:tcPr>
            <w:tcW w:w="364" w:type="dxa"/>
            <w:tcBorders>
              <w:top w:val="nil"/>
              <w:left w:val="nil"/>
              <w:bottom w:val="nil"/>
              <w:right w:val="nil"/>
            </w:tcBorders>
          </w:tcPr>
          <w:p w14:paraId="25CA6423" w14:textId="0C960F35"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769" w:type="dxa"/>
            <w:tcBorders>
              <w:top w:val="nil"/>
              <w:left w:val="nil"/>
              <w:bottom w:val="nil"/>
              <w:right w:val="nil"/>
            </w:tcBorders>
          </w:tcPr>
          <w:p w14:paraId="60706762" w14:textId="389551D7"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0.20</w:t>
            </w:r>
          </w:p>
        </w:tc>
        <w:tc>
          <w:tcPr>
            <w:tcW w:w="644" w:type="dxa"/>
            <w:tcBorders>
              <w:top w:val="nil"/>
              <w:left w:val="nil"/>
              <w:bottom w:val="nil"/>
              <w:right w:val="nil"/>
            </w:tcBorders>
          </w:tcPr>
          <w:p w14:paraId="533AFE2E" w14:textId="3573744A"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0.57</w:t>
            </w:r>
          </w:p>
        </w:tc>
        <w:tc>
          <w:tcPr>
            <w:tcW w:w="364" w:type="dxa"/>
            <w:tcBorders>
              <w:top w:val="nil"/>
              <w:left w:val="nil"/>
              <w:bottom w:val="nil"/>
              <w:right w:val="nil"/>
            </w:tcBorders>
          </w:tcPr>
          <w:p w14:paraId="193613EA" w14:textId="338072BF"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81" w:type="dxa"/>
            <w:tcBorders>
              <w:top w:val="nil"/>
              <w:left w:val="nil"/>
              <w:bottom w:val="nil"/>
              <w:right w:val="nil"/>
            </w:tcBorders>
          </w:tcPr>
          <w:p w14:paraId="4AA6AC62" w14:textId="39F7FCD3"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0.16*</w:t>
            </w:r>
            <w:r w:rsidR="00923FE2" w:rsidRPr="000E1C62">
              <w:rPr>
                <w:rFonts w:asciiTheme="majorBidi" w:hAnsiTheme="majorBidi" w:cstheme="majorBidi"/>
              </w:rPr>
              <w:t>*</w:t>
            </w:r>
          </w:p>
        </w:tc>
        <w:tc>
          <w:tcPr>
            <w:tcW w:w="636" w:type="dxa"/>
            <w:tcBorders>
              <w:top w:val="nil"/>
              <w:left w:val="nil"/>
              <w:bottom w:val="nil"/>
              <w:right w:val="nil"/>
            </w:tcBorders>
          </w:tcPr>
          <w:p w14:paraId="7730042A" w14:textId="27A19547" w:rsidR="000449A6" w:rsidRPr="000E1C62" w:rsidRDefault="000449A6" w:rsidP="00EB77E9">
            <w:pPr>
              <w:spacing w:line="360" w:lineRule="auto"/>
              <w:jc w:val="right"/>
              <w:rPr>
                <w:rFonts w:asciiTheme="majorBidi" w:hAnsiTheme="majorBidi" w:cstheme="majorBidi"/>
              </w:rPr>
            </w:pPr>
            <w:r w:rsidRPr="000E1C62">
              <w:rPr>
                <w:rFonts w:asciiTheme="majorBidi" w:hAnsiTheme="majorBidi" w:cstheme="majorBidi"/>
              </w:rPr>
              <w:t>0.57</w:t>
            </w:r>
          </w:p>
        </w:tc>
        <w:tc>
          <w:tcPr>
            <w:tcW w:w="359" w:type="dxa"/>
            <w:tcBorders>
              <w:top w:val="nil"/>
              <w:left w:val="nil"/>
              <w:bottom w:val="nil"/>
              <w:right w:val="nil"/>
            </w:tcBorders>
          </w:tcPr>
          <w:p w14:paraId="081CB3ED" w14:textId="05D15D65" w:rsidR="000449A6" w:rsidRPr="000E1C62" w:rsidRDefault="000449A6" w:rsidP="00EB77E9">
            <w:pPr>
              <w:spacing w:line="360" w:lineRule="auto"/>
              <w:jc w:val="center"/>
              <w:rPr>
                <w:rFonts w:asciiTheme="majorBidi" w:hAnsiTheme="majorBidi" w:cstheme="majorBidi"/>
              </w:rPr>
            </w:pPr>
            <w:r w:rsidRPr="000E1C62">
              <w:rPr>
                <w:rFonts w:asciiTheme="majorBidi" w:hAnsiTheme="majorBidi" w:cstheme="majorBidi"/>
                <w:color w:val="000000" w:themeColor="text1"/>
              </w:rPr>
              <w:t>±</w:t>
            </w:r>
          </w:p>
        </w:tc>
        <w:tc>
          <w:tcPr>
            <w:tcW w:w="876" w:type="dxa"/>
            <w:tcBorders>
              <w:top w:val="nil"/>
              <w:left w:val="nil"/>
              <w:bottom w:val="nil"/>
              <w:right w:val="nil"/>
            </w:tcBorders>
          </w:tcPr>
          <w:p w14:paraId="502F3788" w14:textId="3ECF9FF1" w:rsidR="000449A6" w:rsidRPr="000E1C62" w:rsidRDefault="000449A6" w:rsidP="00EB77E9">
            <w:pPr>
              <w:spacing w:line="360" w:lineRule="auto"/>
              <w:rPr>
                <w:rFonts w:asciiTheme="majorBidi" w:hAnsiTheme="majorBidi" w:cstheme="majorBidi"/>
              </w:rPr>
            </w:pPr>
            <w:r w:rsidRPr="000E1C62">
              <w:rPr>
                <w:rFonts w:asciiTheme="majorBidi" w:hAnsiTheme="majorBidi" w:cstheme="majorBidi"/>
              </w:rPr>
              <w:t>0.16*</w:t>
            </w:r>
            <w:r w:rsidR="00923FE2" w:rsidRPr="000E1C62">
              <w:rPr>
                <w:rFonts w:asciiTheme="majorBidi" w:hAnsiTheme="majorBidi" w:cstheme="majorBidi"/>
              </w:rPr>
              <w:t>*</w:t>
            </w:r>
          </w:p>
        </w:tc>
        <w:tc>
          <w:tcPr>
            <w:tcW w:w="1431" w:type="dxa"/>
            <w:tcBorders>
              <w:top w:val="nil"/>
              <w:left w:val="nil"/>
              <w:bottom w:val="nil"/>
              <w:right w:val="nil"/>
            </w:tcBorders>
          </w:tcPr>
          <w:p w14:paraId="79AA5D79" w14:textId="77777777" w:rsidR="000449A6" w:rsidRPr="000E1C62"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0F3265A5" w14:textId="77777777" w:rsidR="000449A6" w:rsidRDefault="000449A6" w:rsidP="00715806">
            <w:pPr>
              <w:spacing w:line="360" w:lineRule="auto"/>
              <w:jc w:val="center"/>
              <w:rPr>
                <w:rFonts w:asciiTheme="majorBidi" w:hAnsiTheme="majorBidi" w:cstheme="majorBidi"/>
              </w:rPr>
            </w:pPr>
          </w:p>
        </w:tc>
      </w:tr>
      <w:tr w:rsidR="0055210C" w14:paraId="7296DC6E" w14:textId="5C431329" w:rsidTr="0055210C">
        <w:trPr>
          <w:trHeight w:val="70"/>
        </w:trPr>
        <w:tc>
          <w:tcPr>
            <w:tcW w:w="1276" w:type="dxa"/>
            <w:vMerge w:val="restart"/>
            <w:tcBorders>
              <w:top w:val="nil"/>
              <w:left w:val="nil"/>
              <w:bottom w:val="nil"/>
              <w:right w:val="nil"/>
            </w:tcBorders>
          </w:tcPr>
          <w:p w14:paraId="3CF15392" w14:textId="5AEC0E05" w:rsidR="000449A6" w:rsidRPr="00781DCB" w:rsidRDefault="000449A6" w:rsidP="00EB77E9">
            <w:pPr>
              <w:spacing w:line="360" w:lineRule="auto"/>
              <w:rPr>
                <w:rFonts w:asciiTheme="majorBidi" w:hAnsiTheme="majorBidi" w:cstheme="majorBidi"/>
              </w:rPr>
            </w:pPr>
            <w:r>
              <w:rPr>
                <w:rFonts w:asciiTheme="majorBidi" w:hAnsiTheme="majorBidi" w:cstheme="majorBidi"/>
              </w:rPr>
              <w:t>HOMA-IR (AU)</w:t>
            </w:r>
          </w:p>
        </w:tc>
        <w:tc>
          <w:tcPr>
            <w:tcW w:w="1531" w:type="dxa"/>
            <w:tcBorders>
              <w:top w:val="nil"/>
              <w:left w:val="nil"/>
              <w:bottom w:val="nil"/>
              <w:right w:val="nil"/>
            </w:tcBorders>
          </w:tcPr>
          <w:p w14:paraId="111FD96A" w14:textId="16C89A14"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730" w:type="dxa"/>
            <w:tcBorders>
              <w:top w:val="nil"/>
              <w:left w:val="nil"/>
              <w:bottom w:val="nil"/>
              <w:right w:val="nil"/>
            </w:tcBorders>
          </w:tcPr>
          <w:p w14:paraId="0DE47507" w14:textId="2A98CCA8"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0.8</w:t>
            </w:r>
          </w:p>
        </w:tc>
        <w:tc>
          <w:tcPr>
            <w:tcW w:w="378" w:type="dxa"/>
            <w:tcBorders>
              <w:top w:val="nil"/>
              <w:left w:val="nil"/>
              <w:bottom w:val="nil"/>
              <w:right w:val="nil"/>
            </w:tcBorders>
          </w:tcPr>
          <w:p w14:paraId="106A45E4" w14:textId="2DA4A06C"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58080615" w14:textId="3CF6048B" w:rsidR="000449A6" w:rsidRPr="00781DCB" w:rsidRDefault="000449A6" w:rsidP="00EB77E9">
            <w:pPr>
              <w:spacing w:line="360" w:lineRule="auto"/>
              <w:rPr>
                <w:rFonts w:asciiTheme="majorBidi" w:hAnsiTheme="majorBidi" w:cstheme="majorBidi"/>
              </w:rPr>
            </w:pPr>
            <w:r>
              <w:rPr>
                <w:rFonts w:asciiTheme="majorBidi" w:hAnsiTheme="majorBidi" w:cstheme="majorBidi"/>
              </w:rPr>
              <w:t>0.4</w:t>
            </w:r>
          </w:p>
        </w:tc>
        <w:tc>
          <w:tcPr>
            <w:tcW w:w="644" w:type="dxa"/>
            <w:tcBorders>
              <w:top w:val="nil"/>
              <w:left w:val="nil"/>
              <w:bottom w:val="nil"/>
              <w:right w:val="nil"/>
            </w:tcBorders>
          </w:tcPr>
          <w:p w14:paraId="46DE2DB1" w14:textId="6AF6B0A6"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0.9</w:t>
            </w:r>
          </w:p>
        </w:tc>
        <w:tc>
          <w:tcPr>
            <w:tcW w:w="364" w:type="dxa"/>
            <w:tcBorders>
              <w:top w:val="nil"/>
              <w:left w:val="nil"/>
              <w:bottom w:val="nil"/>
              <w:right w:val="nil"/>
            </w:tcBorders>
          </w:tcPr>
          <w:p w14:paraId="548BC5E0" w14:textId="3C0959D1"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769" w:type="dxa"/>
            <w:tcBorders>
              <w:top w:val="nil"/>
              <w:left w:val="nil"/>
              <w:bottom w:val="nil"/>
              <w:right w:val="nil"/>
            </w:tcBorders>
          </w:tcPr>
          <w:p w14:paraId="113315C5" w14:textId="6F42E208" w:rsidR="000449A6" w:rsidRPr="00781DCB" w:rsidRDefault="000449A6" w:rsidP="00EB77E9">
            <w:pPr>
              <w:spacing w:line="360" w:lineRule="auto"/>
              <w:rPr>
                <w:rFonts w:asciiTheme="majorBidi" w:hAnsiTheme="majorBidi" w:cstheme="majorBidi"/>
              </w:rPr>
            </w:pPr>
            <w:r>
              <w:rPr>
                <w:rFonts w:asciiTheme="majorBidi" w:hAnsiTheme="majorBidi" w:cstheme="majorBidi"/>
              </w:rPr>
              <w:t>0.5</w:t>
            </w:r>
          </w:p>
        </w:tc>
        <w:tc>
          <w:tcPr>
            <w:tcW w:w="644" w:type="dxa"/>
            <w:tcBorders>
              <w:top w:val="nil"/>
              <w:left w:val="nil"/>
              <w:bottom w:val="nil"/>
              <w:right w:val="nil"/>
            </w:tcBorders>
          </w:tcPr>
          <w:p w14:paraId="6FD6CF8D" w14:textId="4974DC41"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0.7</w:t>
            </w:r>
          </w:p>
        </w:tc>
        <w:tc>
          <w:tcPr>
            <w:tcW w:w="364" w:type="dxa"/>
            <w:tcBorders>
              <w:top w:val="nil"/>
              <w:left w:val="nil"/>
              <w:bottom w:val="nil"/>
              <w:right w:val="nil"/>
            </w:tcBorders>
          </w:tcPr>
          <w:p w14:paraId="1EE53BC7" w14:textId="794813C3"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81" w:type="dxa"/>
            <w:tcBorders>
              <w:top w:val="nil"/>
              <w:left w:val="nil"/>
              <w:bottom w:val="nil"/>
              <w:right w:val="nil"/>
            </w:tcBorders>
          </w:tcPr>
          <w:p w14:paraId="5B32F5F7" w14:textId="2B2E6517" w:rsidR="000449A6" w:rsidRPr="00781DCB" w:rsidRDefault="000449A6" w:rsidP="00EB77E9">
            <w:pPr>
              <w:spacing w:line="360" w:lineRule="auto"/>
              <w:rPr>
                <w:rFonts w:asciiTheme="majorBidi" w:hAnsiTheme="majorBidi" w:cstheme="majorBidi"/>
              </w:rPr>
            </w:pPr>
            <w:r>
              <w:rPr>
                <w:rFonts w:asciiTheme="majorBidi" w:hAnsiTheme="majorBidi" w:cstheme="majorBidi"/>
              </w:rPr>
              <w:t>0.3</w:t>
            </w:r>
          </w:p>
        </w:tc>
        <w:tc>
          <w:tcPr>
            <w:tcW w:w="636" w:type="dxa"/>
            <w:tcBorders>
              <w:top w:val="nil"/>
              <w:left w:val="nil"/>
              <w:bottom w:val="nil"/>
              <w:right w:val="nil"/>
            </w:tcBorders>
          </w:tcPr>
          <w:p w14:paraId="4D12F92B" w14:textId="0E80EEB5"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0.7</w:t>
            </w:r>
          </w:p>
        </w:tc>
        <w:tc>
          <w:tcPr>
            <w:tcW w:w="359" w:type="dxa"/>
            <w:tcBorders>
              <w:top w:val="nil"/>
              <w:left w:val="nil"/>
              <w:bottom w:val="nil"/>
              <w:right w:val="nil"/>
            </w:tcBorders>
          </w:tcPr>
          <w:p w14:paraId="6BEDCACC" w14:textId="0659D7CD"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76" w:type="dxa"/>
            <w:tcBorders>
              <w:top w:val="nil"/>
              <w:left w:val="nil"/>
              <w:bottom w:val="nil"/>
              <w:right w:val="nil"/>
            </w:tcBorders>
          </w:tcPr>
          <w:p w14:paraId="1C89EEB2" w14:textId="56D03CD5" w:rsidR="000449A6" w:rsidRPr="00781DCB" w:rsidRDefault="000449A6" w:rsidP="00EB77E9">
            <w:pPr>
              <w:spacing w:line="360" w:lineRule="auto"/>
              <w:rPr>
                <w:rFonts w:asciiTheme="majorBidi" w:hAnsiTheme="majorBidi" w:cstheme="majorBidi"/>
              </w:rPr>
            </w:pPr>
            <w:r>
              <w:rPr>
                <w:rFonts w:asciiTheme="majorBidi" w:hAnsiTheme="majorBidi" w:cstheme="majorBidi"/>
              </w:rPr>
              <w:t>0.3</w:t>
            </w:r>
          </w:p>
        </w:tc>
        <w:tc>
          <w:tcPr>
            <w:tcW w:w="1431" w:type="dxa"/>
            <w:tcBorders>
              <w:top w:val="nil"/>
              <w:left w:val="nil"/>
              <w:bottom w:val="nil"/>
              <w:right w:val="nil"/>
            </w:tcBorders>
          </w:tcPr>
          <w:p w14:paraId="2CDE4D5E" w14:textId="33A0BDDC" w:rsidR="000449A6" w:rsidRPr="003C7253" w:rsidRDefault="003C7253" w:rsidP="00715806">
            <w:pPr>
              <w:spacing w:line="360" w:lineRule="auto"/>
              <w:jc w:val="center"/>
              <w:rPr>
                <w:rFonts w:asciiTheme="majorBidi" w:hAnsiTheme="majorBidi" w:cstheme="majorBidi"/>
              </w:rPr>
            </w:pPr>
            <w:r>
              <w:rPr>
                <w:rFonts w:asciiTheme="majorBidi" w:hAnsiTheme="majorBidi" w:cstheme="majorBidi"/>
                <w:b/>
              </w:rPr>
              <w:t>0.049</w:t>
            </w:r>
          </w:p>
        </w:tc>
        <w:tc>
          <w:tcPr>
            <w:tcW w:w="2148" w:type="dxa"/>
            <w:tcBorders>
              <w:top w:val="nil"/>
              <w:left w:val="nil"/>
              <w:bottom w:val="nil"/>
              <w:right w:val="nil"/>
            </w:tcBorders>
          </w:tcPr>
          <w:p w14:paraId="1442EBA9" w14:textId="115209F0" w:rsidR="000449A6" w:rsidRDefault="003C7253" w:rsidP="00715806">
            <w:pPr>
              <w:spacing w:line="360" w:lineRule="auto"/>
              <w:jc w:val="center"/>
              <w:rPr>
                <w:rFonts w:asciiTheme="majorBidi" w:hAnsiTheme="majorBidi" w:cstheme="majorBidi"/>
              </w:rPr>
            </w:pPr>
            <w:r>
              <w:rPr>
                <w:rFonts w:asciiTheme="majorBidi" w:hAnsiTheme="majorBidi" w:cstheme="majorBidi"/>
              </w:rPr>
              <w:t>0.0</w:t>
            </w:r>
            <w:r w:rsidR="004E164E">
              <w:rPr>
                <w:rFonts w:asciiTheme="majorBidi" w:hAnsiTheme="majorBidi" w:cstheme="majorBidi"/>
              </w:rPr>
              <w:t>9</w:t>
            </w:r>
          </w:p>
        </w:tc>
      </w:tr>
      <w:tr w:rsidR="0055210C" w14:paraId="626D6B24" w14:textId="6BE854B9" w:rsidTr="0055210C">
        <w:trPr>
          <w:trHeight w:val="70"/>
        </w:trPr>
        <w:tc>
          <w:tcPr>
            <w:tcW w:w="1276" w:type="dxa"/>
            <w:vMerge/>
            <w:tcBorders>
              <w:top w:val="nil"/>
              <w:left w:val="nil"/>
              <w:bottom w:val="nil"/>
              <w:right w:val="nil"/>
            </w:tcBorders>
          </w:tcPr>
          <w:p w14:paraId="209369E4"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5252021B"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730" w:type="dxa"/>
            <w:tcBorders>
              <w:top w:val="nil"/>
              <w:left w:val="nil"/>
              <w:bottom w:val="nil"/>
              <w:right w:val="nil"/>
            </w:tcBorders>
          </w:tcPr>
          <w:p w14:paraId="2F279B14" w14:textId="127246DE"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0.8</w:t>
            </w:r>
          </w:p>
        </w:tc>
        <w:tc>
          <w:tcPr>
            <w:tcW w:w="378" w:type="dxa"/>
            <w:tcBorders>
              <w:top w:val="nil"/>
              <w:left w:val="nil"/>
              <w:bottom w:val="nil"/>
              <w:right w:val="nil"/>
            </w:tcBorders>
          </w:tcPr>
          <w:p w14:paraId="1D751CDE" w14:textId="79FD525C"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30E138E1" w14:textId="3686D60A" w:rsidR="000449A6" w:rsidRPr="00781DCB" w:rsidRDefault="000449A6" w:rsidP="00EB77E9">
            <w:pPr>
              <w:spacing w:line="360" w:lineRule="auto"/>
              <w:rPr>
                <w:rFonts w:asciiTheme="majorBidi" w:hAnsiTheme="majorBidi" w:cstheme="majorBidi"/>
              </w:rPr>
            </w:pPr>
            <w:r>
              <w:rPr>
                <w:rFonts w:asciiTheme="majorBidi" w:hAnsiTheme="majorBidi" w:cstheme="majorBidi"/>
              </w:rPr>
              <w:t>0.4</w:t>
            </w:r>
          </w:p>
        </w:tc>
        <w:tc>
          <w:tcPr>
            <w:tcW w:w="644" w:type="dxa"/>
            <w:tcBorders>
              <w:top w:val="nil"/>
              <w:left w:val="nil"/>
              <w:bottom w:val="nil"/>
              <w:right w:val="nil"/>
            </w:tcBorders>
          </w:tcPr>
          <w:p w14:paraId="4B4FED79" w14:textId="1814F0CF"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1.0</w:t>
            </w:r>
          </w:p>
        </w:tc>
        <w:tc>
          <w:tcPr>
            <w:tcW w:w="364" w:type="dxa"/>
            <w:tcBorders>
              <w:top w:val="nil"/>
              <w:left w:val="nil"/>
              <w:bottom w:val="nil"/>
              <w:right w:val="nil"/>
            </w:tcBorders>
          </w:tcPr>
          <w:p w14:paraId="54561DB6" w14:textId="4A0A50C4"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769" w:type="dxa"/>
            <w:tcBorders>
              <w:top w:val="nil"/>
              <w:left w:val="nil"/>
              <w:bottom w:val="nil"/>
              <w:right w:val="nil"/>
            </w:tcBorders>
          </w:tcPr>
          <w:p w14:paraId="06BEB865" w14:textId="1DEC97D8" w:rsidR="000449A6" w:rsidRPr="00781DCB" w:rsidRDefault="000449A6" w:rsidP="00EB77E9">
            <w:pPr>
              <w:spacing w:line="360" w:lineRule="auto"/>
              <w:rPr>
                <w:rFonts w:asciiTheme="majorBidi" w:hAnsiTheme="majorBidi" w:cstheme="majorBidi"/>
              </w:rPr>
            </w:pPr>
            <w:r>
              <w:rPr>
                <w:rFonts w:asciiTheme="majorBidi" w:hAnsiTheme="majorBidi" w:cstheme="majorBidi"/>
              </w:rPr>
              <w:t>0.3</w:t>
            </w:r>
          </w:p>
        </w:tc>
        <w:tc>
          <w:tcPr>
            <w:tcW w:w="644" w:type="dxa"/>
            <w:tcBorders>
              <w:top w:val="nil"/>
              <w:left w:val="nil"/>
              <w:bottom w:val="nil"/>
              <w:right w:val="nil"/>
            </w:tcBorders>
          </w:tcPr>
          <w:p w14:paraId="5DB4B608" w14:textId="3A4B9AA2"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1.0</w:t>
            </w:r>
          </w:p>
        </w:tc>
        <w:tc>
          <w:tcPr>
            <w:tcW w:w="364" w:type="dxa"/>
            <w:tcBorders>
              <w:top w:val="nil"/>
              <w:left w:val="nil"/>
              <w:bottom w:val="nil"/>
              <w:right w:val="nil"/>
            </w:tcBorders>
          </w:tcPr>
          <w:p w14:paraId="78B84BB6" w14:textId="6D53E1DD"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81" w:type="dxa"/>
            <w:tcBorders>
              <w:top w:val="nil"/>
              <w:left w:val="nil"/>
              <w:bottom w:val="nil"/>
              <w:right w:val="nil"/>
            </w:tcBorders>
          </w:tcPr>
          <w:p w14:paraId="513D7A28" w14:textId="4960CC23" w:rsidR="000449A6" w:rsidRPr="00781DCB" w:rsidRDefault="000449A6" w:rsidP="00EB77E9">
            <w:pPr>
              <w:spacing w:line="360" w:lineRule="auto"/>
              <w:rPr>
                <w:rFonts w:asciiTheme="majorBidi" w:hAnsiTheme="majorBidi" w:cstheme="majorBidi"/>
              </w:rPr>
            </w:pPr>
            <w:r>
              <w:rPr>
                <w:rFonts w:asciiTheme="majorBidi" w:hAnsiTheme="majorBidi" w:cstheme="majorBidi"/>
              </w:rPr>
              <w:t>0.3*</w:t>
            </w:r>
          </w:p>
        </w:tc>
        <w:tc>
          <w:tcPr>
            <w:tcW w:w="636" w:type="dxa"/>
            <w:tcBorders>
              <w:top w:val="nil"/>
              <w:left w:val="nil"/>
              <w:bottom w:val="nil"/>
              <w:right w:val="nil"/>
            </w:tcBorders>
          </w:tcPr>
          <w:p w14:paraId="3E841FE1" w14:textId="1D19E852"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1.0</w:t>
            </w:r>
          </w:p>
        </w:tc>
        <w:tc>
          <w:tcPr>
            <w:tcW w:w="359" w:type="dxa"/>
            <w:tcBorders>
              <w:top w:val="nil"/>
              <w:left w:val="nil"/>
              <w:bottom w:val="nil"/>
              <w:right w:val="nil"/>
            </w:tcBorders>
          </w:tcPr>
          <w:p w14:paraId="6DC7E249" w14:textId="121FB84B"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76" w:type="dxa"/>
            <w:tcBorders>
              <w:top w:val="nil"/>
              <w:left w:val="nil"/>
              <w:bottom w:val="nil"/>
              <w:right w:val="nil"/>
            </w:tcBorders>
          </w:tcPr>
          <w:p w14:paraId="28410BC6" w14:textId="1322EFDF" w:rsidR="000449A6" w:rsidRPr="00781DCB" w:rsidRDefault="000449A6" w:rsidP="00EB77E9">
            <w:pPr>
              <w:spacing w:line="360" w:lineRule="auto"/>
              <w:rPr>
                <w:rFonts w:asciiTheme="majorBidi" w:hAnsiTheme="majorBidi" w:cstheme="majorBidi"/>
              </w:rPr>
            </w:pPr>
            <w:r>
              <w:rPr>
                <w:rFonts w:asciiTheme="majorBidi" w:hAnsiTheme="majorBidi" w:cstheme="majorBidi"/>
              </w:rPr>
              <w:t>0.4</w:t>
            </w:r>
            <w:r w:rsidR="007E59F7">
              <w:rPr>
                <w:rFonts w:asciiTheme="majorBidi" w:hAnsiTheme="majorBidi" w:cstheme="majorBidi"/>
              </w:rPr>
              <w:t>*</w:t>
            </w:r>
          </w:p>
        </w:tc>
        <w:tc>
          <w:tcPr>
            <w:tcW w:w="1431" w:type="dxa"/>
            <w:tcBorders>
              <w:top w:val="nil"/>
              <w:left w:val="nil"/>
              <w:bottom w:val="nil"/>
              <w:right w:val="nil"/>
            </w:tcBorders>
          </w:tcPr>
          <w:p w14:paraId="04109C7A" w14:textId="77777777" w:rsidR="000449A6"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4B072595" w14:textId="77777777" w:rsidR="000449A6" w:rsidRDefault="000449A6" w:rsidP="00715806">
            <w:pPr>
              <w:spacing w:line="360" w:lineRule="auto"/>
              <w:jc w:val="center"/>
              <w:rPr>
                <w:rFonts w:asciiTheme="majorBidi" w:hAnsiTheme="majorBidi" w:cstheme="majorBidi"/>
              </w:rPr>
            </w:pPr>
          </w:p>
        </w:tc>
      </w:tr>
      <w:tr w:rsidR="0055210C" w14:paraId="60F1B258" w14:textId="54514010" w:rsidTr="0055210C">
        <w:trPr>
          <w:trHeight w:val="70"/>
        </w:trPr>
        <w:tc>
          <w:tcPr>
            <w:tcW w:w="1276" w:type="dxa"/>
            <w:vMerge w:val="restart"/>
            <w:tcBorders>
              <w:top w:val="nil"/>
              <w:left w:val="nil"/>
              <w:bottom w:val="nil"/>
              <w:right w:val="nil"/>
            </w:tcBorders>
          </w:tcPr>
          <w:p w14:paraId="1AB43778" w14:textId="4E9BD8DE" w:rsidR="000449A6" w:rsidRPr="00A30D29" w:rsidRDefault="000449A6" w:rsidP="00EB77E9">
            <w:pPr>
              <w:spacing w:line="360" w:lineRule="auto"/>
              <w:rPr>
                <w:rFonts w:asciiTheme="majorBidi" w:hAnsiTheme="majorBidi" w:cstheme="majorBidi"/>
                <w:i/>
                <w:vertAlign w:val="superscript"/>
              </w:rPr>
            </w:pPr>
            <w:r>
              <w:rPr>
                <w:rFonts w:asciiTheme="majorBidi" w:hAnsiTheme="majorBidi" w:cstheme="majorBidi"/>
              </w:rPr>
              <w:t>Adipo-</w:t>
            </w:r>
            <w:proofErr w:type="spellStart"/>
            <w:r>
              <w:rPr>
                <w:rFonts w:asciiTheme="majorBidi" w:hAnsiTheme="majorBidi" w:cstheme="majorBidi"/>
              </w:rPr>
              <w:t>IR</w:t>
            </w:r>
            <w:r w:rsidR="003236CD">
              <w:rPr>
                <w:rFonts w:asciiTheme="majorBidi" w:hAnsiTheme="majorBidi" w:cstheme="majorBidi"/>
                <w:i/>
                <w:color w:val="000000"/>
                <w:vertAlign w:val="superscript"/>
              </w:rPr>
              <w:t>a</w:t>
            </w:r>
            <w:proofErr w:type="spellEnd"/>
            <w:r>
              <w:rPr>
                <w:rFonts w:asciiTheme="majorBidi" w:hAnsiTheme="majorBidi" w:cstheme="majorBidi"/>
                <w:i/>
                <w:vertAlign w:val="superscript"/>
              </w:rPr>
              <w:t xml:space="preserve"> </w:t>
            </w:r>
            <w:r w:rsidRPr="003A5D6D">
              <w:rPr>
                <w:rFonts w:asciiTheme="majorBidi" w:hAnsiTheme="majorBidi" w:cstheme="majorBidi"/>
              </w:rPr>
              <w:t>(AU)</w:t>
            </w:r>
          </w:p>
        </w:tc>
        <w:tc>
          <w:tcPr>
            <w:tcW w:w="1531" w:type="dxa"/>
            <w:tcBorders>
              <w:top w:val="nil"/>
              <w:left w:val="nil"/>
              <w:bottom w:val="nil"/>
              <w:right w:val="nil"/>
            </w:tcBorders>
          </w:tcPr>
          <w:p w14:paraId="0EC0C5F2" w14:textId="28CF0F70"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1752" w:type="dxa"/>
            <w:gridSpan w:val="3"/>
            <w:tcBorders>
              <w:top w:val="nil"/>
              <w:left w:val="nil"/>
              <w:bottom w:val="nil"/>
              <w:right w:val="nil"/>
            </w:tcBorders>
          </w:tcPr>
          <w:p w14:paraId="74892961" w14:textId="45120F25" w:rsidR="000449A6" w:rsidRPr="00781DCB" w:rsidRDefault="000449A6" w:rsidP="00A27306">
            <w:pPr>
              <w:spacing w:line="360" w:lineRule="auto"/>
              <w:jc w:val="center"/>
              <w:rPr>
                <w:rFonts w:asciiTheme="majorBidi" w:hAnsiTheme="majorBidi" w:cstheme="majorBidi"/>
              </w:rPr>
            </w:pPr>
            <w:r w:rsidRPr="000A033B">
              <w:rPr>
                <w:rFonts w:asciiTheme="majorBidi" w:hAnsiTheme="majorBidi" w:cstheme="majorBidi"/>
              </w:rPr>
              <w:t>8.8 (8.5)</w:t>
            </w:r>
          </w:p>
        </w:tc>
        <w:tc>
          <w:tcPr>
            <w:tcW w:w="1777" w:type="dxa"/>
            <w:gridSpan w:val="3"/>
            <w:tcBorders>
              <w:top w:val="nil"/>
              <w:left w:val="nil"/>
              <w:bottom w:val="nil"/>
              <w:right w:val="nil"/>
            </w:tcBorders>
          </w:tcPr>
          <w:p w14:paraId="34565D55" w14:textId="621742C8" w:rsidR="000449A6" w:rsidRPr="00781DCB" w:rsidRDefault="000449A6" w:rsidP="00497D6C">
            <w:pPr>
              <w:spacing w:line="360" w:lineRule="auto"/>
              <w:jc w:val="center"/>
              <w:rPr>
                <w:rFonts w:asciiTheme="majorBidi" w:hAnsiTheme="majorBidi" w:cstheme="majorBidi"/>
              </w:rPr>
            </w:pPr>
            <w:r>
              <w:rPr>
                <w:rFonts w:asciiTheme="majorBidi" w:hAnsiTheme="majorBidi" w:cstheme="majorBidi"/>
              </w:rPr>
              <w:t>6.7 (5.6)</w:t>
            </w:r>
          </w:p>
        </w:tc>
        <w:tc>
          <w:tcPr>
            <w:tcW w:w="1889" w:type="dxa"/>
            <w:gridSpan w:val="3"/>
            <w:tcBorders>
              <w:top w:val="nil"/>
              <w:left w:val="nil"/>
              <w:bottom w:val="nil"/>
              <w:right w:val="nil"/>
            </w:tcBorders>
          </w:tcPr>
          <w:p w14:paraId="477807B0" w14:textId="7521D851" w:rsidR="000449A6" w:rsidRPr="00781DCB" w:rsidRDefault="000449A6" w:rsidP="00264892">
            <w:pPr>
              <w:spacing w:line="360" w:lineRule="auto"/>
              <w:jc w:val="center"/>
              <w:rPr>
                <w:rFonts w:asciiTheme="majorBidi" w:hAnsiTheme="majorBidi" w:cstheme="majorBidi"/>
              </w:rPr>
            </w:pPr>
            <w:r>
              <w:rPr>
                <w:rFonts w:asciiTheme="majorBidi" w:hAnsiTheme="majorBidi" w:cstheme="majorBidi"/>
              </w:rPr>
              <w:t>5.2 (3.7)</w:t>
            </w:r>
          </w:p>
        </w:tc>
        <w:tc>
          <w:tcPr>
            <w:tcW w:w="1871" w:type="dxa"/>
            <w:gridSpan w:val="3"/>
            <w:tcBorders>
              <w:top w:val="nil"/>
              <w:left w:val="nil"/>
              <w:bottom w:val="nil"/>
              <w:right w:val="nil"/>
            </w:tcBorders>
          </w:tcPr>
          <w:p w14:paraId="2176ADAE" w14:textId="354BB2A0" w:rsidR="000449A6" w:rsidRPr="00781DCB" w:rsidRDefault="000449A6" w:rsidP="00E810BD">
            <w:pPr>
              <w:spacing w:line="360" w:lineRule="auto"/>
              <w:jc w:val="center"/>
              <w:rPr>
                <w:rFonts w:asciiTheme="majorBidi" w:hAnsiTheme="majorBidi" w:cstheme="majorBidi"/>
              </w:rPr>
            </w:pPr>
            <w:r>
              <w:rPr>
                <w:rFonts w:asciiTheme="majorBidi" w:hAnsiTheme="majorBidi" w:cstheme="majorBidi"/>
              </w:rPr>
              <w:t>6.5 (5.9)</w:t>
            </w:r>
          </w:p>
        </w:tc>
        <w:tc>
          <w:tcPr>
            <w:tcW w:w="1431" w:type="dxa"/>
            <w:tcBorders>
              <w:top w:val="nil"/>
              <w:left w:val="nil"/>
              <w:bottom w:val="nil"/>
              <w:right w:val="nil"/>
            </w:tcBorders>
          </w:tcPr>
          <w:p w14:paraId="7B1E6773" w14:textId="1353F79C" w:rsidR="000449A6" w:rsidRDefault="00F84A8F" w:rsidP="00715806">
            <w:pPr>
              <w:spacing w:line="360" w:lineRule="auto"/>
              <w:jc w:val="center"/>
              <w:rPr>
                <w:rFonts w:asciiTheme="majorBidi" w:hAnsiTheme="majorBidi" w:cstheme="majorBidi"/>
              </w:rPr>
            </w:pPr>
            <w:r>
              <w:rPr>
                <w:rFonts w:asciiTheme="majorBidi" w:hAnsiTheme="majorBidi" w:cstheme="majorBidi"/>
              </w:rPr>
              <w:t>0.82</w:t>
            </w:r>
          </w:p>
        </w:tc>
        <w:tc>
          <w:tcPr>
            <w:tcW w:w="2148" w:type="dxa"/>
            <w:tcBorders>
              <w:top w:val="nil"/>
              <w:left w:val="nil"/>
              <w:bottom w:val="nil"/>
              <w:right w:val="nil"/>
            </w:tcBorders>
          </w:tcPr>
          <w:p w14:paraId="4C13795B" w14:textId="2A65D1FD" w:rsidR="000449A6" w:rsidRDefault="00F84A8F" w:rsidP="00715806">
            <w:pPr>
              <w:spacing w:line="360" w:lineRule="auto"/>
              <w:jc w:val="center"/>
              <w:rPr>
                <w:rFonts w:asciiTheme="majorBidi" w:hAnsiTheme="majorBidi" w:cstheme="majorBidi"/>
              </w:rPr>
            </w:pPr>
            <w:r>
              <w:rPr>
                <w:rFonts w:asciiTheme="majorBidi" w:hAnsiTheme="majorBidi" w:cstheme="majorBidi"/>
              </w:rPr>
              <w:t>0.3</w:t>
            </w:r>
            <w:r w:rsidR="004E164E">
              <w:rPr>
                <w:rFonts w:asciiTheme="majorBidi" w:hAnsiTheme="majorBidi" w:cstheme="majorBidi"/>
              </w:rPr>
              <w:t>6</w:t>
            </w:r>
          </w:p>
        </w:tc>
      </w:tr>
      <w:tr w:rsidR="0055210C" w14:paraId="27A65288" w14:textId="03E3E0D5" w:rsidTr="0055210C">
        <w:trPr>
          <w:trHeight w:val="70"/>
        </w:trPr>
        <w:tc>
          <w:tcPr>
            <w:tcW w:w="1276" w:type="dxa"/>
            <w:vMerge/>
            <w:tcBorders>
              <w:top w:val="nil"/>
              <w:left w:val="nil"/>
              <w:bottom w:val="nil"/>
              <w:right w:val="nil"/>
            </w:tcBorders>
          </w:tcPr>
          <w:p w14:paraId="3353B469"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2D3CDCD7"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1752" w:type="dxa"/>
            <w:gridSpan w:val="3"/>
            <w:tcBorders>
              <w:top w:val="nil"/>
              <w:left w:val="nil"/>
              <w:bottom w:val="nil"/>
              <w:right w:val="nil"/>
            </w:tcBorders>
          </w:tcPr>
          <w:p w14:paraId="33691EA6" w14:textId="3B846064" w:rsidR="000449A6" w:rsidRPr="00781DCB" w:rsidRDefault="000449A6" w:rsidP="00F14572">
            <w:pPr>
              <w:spacing w:line="360" w:lineRule="auto"/>
              <w:jc w:val="center"/>
              <w:rPr>
                <w:rFonts w:asciiTheme="majorBidi" w:hAnsiTheme="majorBidi" w:cstheme="majorBidi"/>
              </w:rPr>
            </w:pPr>
            <w:r>
              <w:rPr>
                <w:rFonts w:asciiTheme="majorBidi" w:hAnsiTheme="majorBidi" w:cstheme="majorBidi"/>
              </w:rPr>
              <w:t>8.6 (4.7)</w:t>
            </w:r>
          </w:p>
        </w:tc>
        <w:tc>
          <w:tcPr>
            <w:tcW w:w="1777" w:type="dxa"/>
            <w:gridSpan w:val="3"/>
            <w:tcBorders>
              <w:top w:val="nil"/>
              <w:left w:val="nil"/>
              <w:bottom w:val="nil"/>
              <w:right w:val="nil"/>
            </w:tcBorders>
          </w:tcPr>
          <w:p w14:paraId="4B4835C5" w14:textId="14D0BC52" w:rsidR="000449A6" w:rsidRPr="00781DCB" w:rsidRDefault="000449A6" w:rsidP="009200F8">
            <w:pPr>
              <w:spacing w:line="360" w:lineRule="auto"/>
              <w:jc w:val="center"/>
              <w:rPr>
                <w:rFonts w:asciiTheme="majorBidi" w:hAnsiTheme="majorBidi" w:cstheme="majorBidi"/>
              </w:rPr>
            </w:pPr>
            <w:r>
              <w:rPr>
                <w:rFonts w:asciiTheme="majorBidi" w:hAnsiTheme="majorBidi" w:cstheme="majorBidi"/>
              </w:rPr>
              <w:t>6.2 (8.4)</w:t>
            </w:r>
          </w:p>
        </w:tc>
        <w:tc>
          <w:tcPr>
            <w:tcW w:w="1889" w:type="dxa"/>
            <w:gridSpan w:val="3"/>
            <w:tcBorders>
              <w:top w:val="nil"/>
              <w:left w:val="nil"/>
              <w:bottom w:val="nil"/>
              <w:right w:val="nil"/>
            </w:tcBorders>
          </w:tcPr>
          <w:p w14:paraId="53284FCA" w14:textId="76D5F27A" w:rsidR="000449A6" w:rsidRPr="00781DCB" w:rsidRDefault="000449A6" w:rsidP="00264564">
            <w:pPr>
              <w:spacing w:line="360" w:lineRule="auto"/>
              <w:jc w:val="center"/>
              <w:rPr>
                <w:rFonts w:asciiTheme="majorBidi" w:hAnsiTheme="majorBidi" w:cstheme="majorBidi"/>
              </w:rPr>
            </w:pPr>
            <w:r>
              <w:rPr>
                <w:rFonts w:asciiTheme="majorBidi" w:hAnsiTheme="majorBidi" w:cstheme="majorBidi"/>
              </w:rPr>
              <w:t>8.9 (5.2)</w:t>
            </w:r>
          </w:p>
        </w:tc>
        <w:tc>
          <w:tcPr>
            <w:tcW w:w="1871" w:type="dxa"/>
            <w:gridSpan w:val="3"/>
            <w:tcBorders>
              <w:top w:val="nil"/>
              <w:left w:val="nil"/>
              <w:bottom w:val="nil"/>
              <w:right w:val="nil"/>
            </w:tcBorders>
          </w:tcPr>
          <w:p w14:paraId="438A31D3" w14:textId="0F064FDF" w:rsidR="000449A6" w:rsidRPr="00781DCB" w:rsidRDefault="000449A6" w:rsidP="00264564">
            <w:pPr>
              <w:spacing w:line="360" w:lineRule="auto"/>
              <w:jc w:val="center"/>
              <w:rPr>
                <w:rFonts w:asciiTheme="majorBidi" w:hAnsiTheme="majorBidi" w:cstheme="majorBidi"/>
              </w:rPr>
            </w:pPr>
            <w:r>
              <w:rPr>
                <w:rFonts w:asciiTheme="majorBidi" w:hAnsiTheme="majorBidi" w:cstheme="majorBidi"/>
              </w:rPr>
              <w:t>6.8 (6.4)</w:t>
            </w:r>
          </w:p>
        </w:tc>
        <w:tc>
          <w:tcPr>
            <w:tcW w:w="1431" w:type="dxa"/>
            <w:tcBorders>
              <w:top w:val="nil"/>
              <w:left w:val="nil"/>
              <w:bottom w:val="nil"/>
              <w:right w:val="nil"/>
            </w:tcBorders>
          </w:tcPr>
          <w:p w14:paraId="7AFF852F" w14:textId="77777777" w:rsidR="000449A6"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58350C0A" w14:textId="77777777" w:rsidR="000449A6" w:rsidRDefault="000449A6" w:rsidP="00715806">
            <w:pPr>
              <w:spacing w:line="360" w:lineRule="auto"/>
              <w:jc w:val="center"/>
              <w:rPr>
                <w:rFonts w:asciiTheme="majorBidi" w:hAnsiTheme="majorBidi" w:cstheme="majorBidi"/>
              </w:rPr>
            </w:pPr>
          </w:p>
        </w:tc>
      </w:tr>
      <w:tr w:rsidR="0055210C" w14:paraId="602F4BB4" w14:textId="0D497191" w:rsidTr="0055210C">
        <w:trPr>
          <w:trHeight w:val="70"/>
        </w:trPr>
        <w:tc>
          <w:tcPr>
            <w:tcW w:w="1276" w:type="dxa"/>
            <w:vMerge w:val="restart"/>
            <w:tcBorders>
              <w:top w:val="nil"/>
              <w:left w:val="nil"/>
              <w:bottom w:val="nil"/>
              <w:right w:val="nil"/>
            </w:tcBorders>
          </w:tcPr>
          <w:p w14:paraId="41829983" w14:textId="77777777" w:rsidR="00923FE2" w:rsidRDefault="000449A6" w:rsidP="00EB77E9">
            <w:pPr>
              <w:spacing w:line="360" w:lineRule="auto"/>
              <w:rPr>
                <w:rFonts w:asciiTheme="majorBidi" w:hAnsiTheme="majorBidi" w:cstheme="majorBidi"/>
              </w:rPr>
            </w:pPr>
            <w:r>
              <w:rPr>
                <w:rFonts w:asciiTheme="majorBidi" w:hAnsiTheme="majorBidi" w:cstheme="majorBidi"/>
              </w:rPr>
              <w:t xml:space="preserve">ALT </w:t>
            </w:r>
          </w:p>
          <w:p w14:paraId="32B8EDF2" w14:textId="3AA0AFBC" w:rsidR="000449A6" w:rsidRPr="00781DCB" w:rsidRDefault="000449A6" w:rsidP="00EB77E9">
            <w:pPr>
              <w:spacing w:line="360" w:lineRule="auto"/>
              <w:rPr>
                <w:rFonts w:asciiTheme="majorBidi" w:hAnsiTheme="majorBidi" w:cstheme="majorBidi"/>
              </w:rPr>
            </w:pPr>
            <w:r>
              <w:rPr>
                <w:rFonts w:asciiTheme="majorBidi" w:hAnsiTheme="majorBidi" w:cstheme="majorBidi"/>
              </w:rPr>
              <w:t>(U∙</w:t>
            </w:r>
            <w:r>
              <w:rPr>
                <w:rFonts w:ascii="Times New Roman" w:hAnsi="Times New Roman" w:cs="Times New Roman"/>
              </w:rPr>
              <w:t>L</w:t>
            </w:r>
            <w:r w:rsidRPr="009D141A">
              <w:rPr>
                <w:rFonts w:ascii="Times New Roman" w:hAnsi="Times New Roman" w:cs="Times New Roman"/>
                <w:vertAlign w:val="superscript"/>
              </w:rPr>
              <w:t>-1</w:t>
            </w:r>
            <w:r>
              <w:rPr>
                <w:rFonts w:ascii="Times New Roman" w:hAnsi="Times New Roman" w:cs="Times New Roman"/>
              </w:rPr>
              <w:t>)</w:t>
            </w:r>
          </w:p>
        </w:tc>
        <w:tc>
          <w:tcPr>
            <w:tcW w:w="1531" w:type="dxa"/>
            <w:tcBorders>
              <w:top w:val="nil"/>
              <w:left w:val="nil"/>
              <w:bottom w:val="nil"/>
              <w:right w:val="nil"/>
            </w:tcBorders>
          </w:tcPr>
          <w:p w14:paraId="7B8D1BC7" w14:textId="70A2DB3C"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730" w:type="dxa"/>
            <w:tcBorders>
              <w:top w:val="nil"/>
              <w:left w:val="nil"/>
              <w:bottom w:val="nil"/>
              <w:right w:val="nil"/>
            </w:tcBorders>
          </w:tcPr>
          <w:p w14:paraId="6F6F8A57" w14:textId="2D39D7CB"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21.5</w:t>
            </w:r>
          </w:p>
        </w:tc>
        <w:tc>
          <w:tcPr>
            <w:tcW w:w="378" w:type="dxa"/>
            <w:tcBorders>
              <w:top w:val="nil"/>
              <w:left w:val="nil"/>
              <w:bottom w:val="nil"/>
              <w:right w:val="nil"/>
            </w:tcBorders>
          </w:tcPr>
          <w:p w14:paraId="251B1EEC" w14:textId="576A2264"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1C7E0C31" w14:textId="06F8E6BA" w:rsidR="000449A6" w:rsidRPr="00781DCB" w:rsidRDefault="000449A6" w:rsidP="00EB77E9">
            <w:pPr>
              <w:spacing w:line="360" w:lineRule="auto"/>
              <w:rPr>
                <w:rFonts w:asciiTheme="majorBidi" w:hAnsiTheme="majorBidi" w:cstheme="majorBidi"/>
              </w:rPr>
            </w:pPr>
            <w:r>
              <w:rPr>
                <w:rFonts w:asciiTheme="majorBidi" w:hAnsiTheme="majorBidi" w:cstheme="majorBidi"/>
              </w:rPr>
              <w:t>7.9</w:t>
            </w:r>
          </w:p>
        </w:tc>
        <w:tc>
          <w:tcPr>
            <w:tcW w:w="644" w:type="dxa"/>
            <w:tcBorders>
              <w:top w:val="nil"/>
              <w:left w:val="nil"/>
              <w:bottom w:val="nil"/>
              <w:right w:val="nil"/>
            </w:tcBorders>
          </w:tcPr>
          <w:p w14:paraId="2AA68014" w14:textId="2AC69A2D"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21.7</w:t>
            </w:r>
          </w:p>
        </w:tc>
        <w:tc>
          <w:tcPr>
            <w:tcW w:w="364" w:type="dxa"/>
            <w:tcBorders>
              <w:top w:val="nil"/>
              <w:left w:val="nil"/>
              <w:bottom w:val="nil"/>
              <w:right w:val="nil"/>
            </w:tcBorders>
          </w:tcPr>
          <w:p w14:paraId="508C55A8" w14:textId="1AC4F143"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769" w:type="dxa"/>
            <w:tcBorders>
              <w:top w:val="nil"/>
              <w:left w:val="nil"/>
              <w:bottom w:val="nil"/>
              <w:right w:val="nil"/>
            </w:tcBorders>
          </w:tcPr>
          <w:p w14:paraId="32BEF86E" w14:textId="04FA8B4F" w:rsidR="000449A6" w:rsidRPr="00781DCB" w:rsidRDefault="000449A6" w:rsidP="00EB77E9">
            <w:pPr>
              <w:spacing w:line="360" w:lineRule="auto"/>
              <w:rPr>
                <w:rFonts w:asciiTheme="majorBidi" w:hAnsiTheme="majorBidi" w:cstheme="majorBidi"/>
              </w:rPr>
            </w:pPr>
            <w:r>
              <w:rPr>
                <w:rFonts w:asciiTheme="majorBidi" w:hAnsiTheme="majorBidi" w:cstheme="majorBidi"/>
              </w:rPr>
              <w:t>7.3</w:t>
            </w:r>
          </w:p>
        </w:tc>
        <w:tc>
          <w:tcPr>
            <w:tcW w:w="644" w:type="dxa"/>
            <w:tcBorders>
              <w:top w:val="nil"/>
              <w:left w:val="nil"/>
              <w:bottom w:val="nil"/>
              <w:right w:val="nil"/>
            </w:tcBorders>
          </w:tcPr>
          <w:p w14:paraId="634D6B1A" w14:textId="343E2B13"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22.2</w:t>
            </w:r>
          </w:p>
        </w:tc>
        <w:tc>
          <w:tcPr>
            <w:tcW w:w="364" w:type="dxa"/>
            <w:tcBorders>
              <w:top w:val="nil"/>
              <w:left w:val="nil"/>
              <w:bottom w:val="nil"/>
              <w:right w:val="nil"/>
            </w:tcBorders>
          </w:tcPr>
          <w:p w14:paraId="2C12A7CD" w14:textId="159B7A37"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81" w:type="dxa"/>
            <w:tcBorders>
              <w:top w:val="nil"/>
              <w:left w:val="nil"/>
              <w:bottom w:val="nil"/>
              <w:right w:val="nil"/>
            </w:tcBorders>
          </w:tcPr>
          <w:p w14:paraId="62BC37C4" w14:textId="4E864C90" w:rsidR="000449A6" w:rsidRPr="00781DCB" w:rsidRDefault="000449A6" w:rsidP="00EB77E9">
            <w:pPr>
              <w:spacing w:line="360" w:lineRule="auto"/>
              <w:rPr>
                <w:rFonts w:asciiTheme="majorBidi" w:hAnsiTheme="majorBidi" w:cstheme="majorBidi"/>
              </w:rPr>
            </w:pPr>
            <w:r>
              <w:rPr>
                <w:rFonts w:asciiTheme="majorBidi" w:hAnsiTheme="majorBidi" w:cstheme="majorBidi"/>
              </w:rPr>
              <w:t>6.8</w:t>
            </w:r>
          </w:p>
        </w:tc>
        <w:tc>
          <w:tcPr>
            <w:tcW w:w="636" w:type="dxa"/>
            <w:tcBorders>
              <w:top w:val="nil"/>
              <w:left w:val="nil"/>
              <w:bottom w:val="nil"/>
              <w:right w:val="nil"/>
            </w:tcBorders>
          </w:tcPr>
          <w:p w14:paraId="69B4414D" w14:textId="0A22824A"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21.9</w:t>
            </w:r>
          </w:p>
        </w:tc>
        <w:tc>
          <w:tcPr>
            <w:tcW w:w="359" w:type="dxa"/>
            <w:tcBorders>
              <w:top w:val="nil"/>
              <w:left w:val="nil"/>
              <w:bottom w:val="nil"/>
              <w:right w:val="nil"/>
            </w:tcBorders>
          </w:tcPr>
          <w:p w14:paraId="433A24C7" w14:textId="78F54693"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76" w:type="dxa"/>
            <w:tcBorders>
              <w:top w:val="nil"/>
              <w:left w:val="nil"/>
              <w:bottom w:val="nil"/>
              <w:right w:val="nil"/>
            </w:tcBorders>
          </w:tcPr>
          <w:p w14:paraId="28A1BF29" w14:textId="47391C2A" w:rsidR="000449A6" w:rsidRPr="00781DCB" w:rsidRDefault="000449A6" w:rsidP="00EB77E9">
            <w:pPr>
              <w:spacing w:line="360" w:lineRule="auto"/>
              <w:rPr>
                <w:rFonts w:asciiTheme="majorBidi" w:hAnsiTheme="majorBidi" w:cstheme="majorBidi"/>
              </w:rPr>
            </w:pPr>
            <w:r>
              <w:rPr>
                <w:rFonts w:asciiTheme="majorBidi" w:hAnsiTheme="majorBidi" w:cstheme="majorBidi"/>
              </w:rPr>
              <w:t>9.3</w:t>
            </w:r>
          </w:p>
        </w:tc>
        <w:tc>
          <w:tcPr>
            <w:tcW w:w="1431" w:type="dxa"/>
            <w:tcBorders>
              <w:top w:val="nil"/>
              <w:left w:val="nil"/>
              <w:bottom w:val="nil"/>
              <w:right w:val="nil"/>
            </w:tcBorders>
          </w:tcPr>
          <w:p w14:paraId="59A7D79A" w14:textId="62E4A772" w:rsidR="000449A6" w:rsidRDefault="00F84A8F" w:rsidP="00715806">
            <w:pPr>
              <w:spacing w:line="360" w:lineRule="auto"/>
              <w:jc w:val="center"/>
              <w:rPr>
                <w:rFonts w:asciiTheme="majorBidi" w:hAnsiTheme="majorBidi" w:cstheme="majorBidi"/>
              </w:rPr>
            </w:pPr>
            <w:r>
              <w:rPr>
                <w:rFonts w:asciiTheme="majorBidi" w:hAnsiTheme="majorBidi" w:cstheme="majorBidi"/>
              </w:rPr>
              <w:t>0.1</w:t>
            </w:r>
            <w:r w:rsidR="004E164E">
              <w:rPr>
                <w:rFonts w:asciiTheme="majorBidi" w:hAnsiTheme="majorBidi" w:cstheme="majorBidi"/>
              </w:rPr>
              <w:t>1</w:t>
            </w:r>
          </w:p>
        </w:tc>
        <w:tc>
          <w:tcPr>
            <w:tcW w:w="2148" w:type="dxa"/>
            <w:tcBorders>
              <w:top w:val="nil"/>
              <w:left w:val="nil"/>
              <w:bottom w:val="nil"/>
              <w:right w:val="nil"/>
            </w:tcBorders>
          </w:tcPr>
          <w:p w14:paraId="55968D6F" w14:textId="7940FD00" w:rsidR="000449A6" w:rsidRDefault="00F84A8F" w:rsidP="00715806">
            <w:pPr>
              <w:spacing w:line="360" w:lineRule="auto"/>
              <w:jc w:val="center"/>
              <w:rPr>
                <w:rFonts w:asciiTheme="majorBidi" w:hAnsiTheme="majorBidi" w:cstheme="majorBidi"/>
              </w:rPr>
            </w:pPr>
            <w:r>
              <w:rPr>
                <w:rFonts w:asciiTheme="majorBidi" w:hAnsiTheme="majorBidi" w:cstheme="majorBidi"/>
              </w:rPr>
              <w:t>0.1</w:t>
            </w:r>
            <w:r w:rsidR="004E164E">
              <w:rPr>
                <w:rFonts w:asciiTheme="majorBidi" w:hAnsiTheme="majorBidi" w:cstheme="majorBidi"/>
              </w:rPr>
              <w:t>1</w:t>
            </w:r>
          </w:p>
        </w:tc>
      </w:tr>
      <w:tr w:rsidR="0055210C" w14:paraId="01B230D8" w14:textId="0C358CD7" w:rsidTr="0055210C">
        <w:trPr>
          <w:trHeight w:val="70"/>
        </w:trPr>
        <w:tc>
          <w:tcPr>
            <w:tcW w:w="1276" w:type="dxa"/>
            <w:vMerge/>
            <w:tcBorders>
              <w:top w:val="nil"/>
              <w:left w:val="nil"/>
              <w:bottom w:val="nil"/>
              <w:right w:val="nil"/>
            </w:tcBorders>
          </w:tcPr>
          <w:p w14:paraId="117820FE"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489679A1" w14:textId="77777777"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730" w:type="dxa"/>
            <w:tcBorders>
              <w:top w:val="nil"/>
              <w:left w:val="nil"/>
              <w:bottom w:val="nil"/>
              <w:right w:val="nil"/>
            </w:tcBorders>
          </w:tcPr>
          <w:p w14:paraId="4FC4E8A8" w14:textId="0BD067FB"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20.1</w:t>
            </w:r>
          </w:p>
        </w:tc>
        <w:tc>
          <w:tcPr>
            <w:tcW w:w="378" w:type="dxa"/>
            <w:tcBorders>
              <w:top w:val="nil"/>
              <w:left w:val="nil"/>
              <w:bottom w:val="nil"/>
              <w:right w:val="nil"/>
            </w:tcBorders>
          </w:tcPr>
          <w:p w14:paraId="501E66B2" w14:textId="2A02687C"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644" w:type="dxa"/>
            <w:tcBorders>
              <w:top w:val="nil"/>
              <w:left w:val="nil"/>
              <w:bottom w:val="nil"/>
              <w:right w:val="nil"/>
            </w:tcBorders>
          </w:tcPr>
          <w:p w14:paraId="3956A98F" w14:textId="33FC0675" w:rsidR="000449A6" w:rsidRPr="00781DCB" w:rsidRDefault="000449A6" w:rsidP="00EB77E9">
            <w:pPr>
              <w:spacing w:line="360" w:lineRule="auto"/>
              <w:rPr>
                <w:rFonts w:asciiTheme="majorBidi" w:hAnsiTheme="majorBidi" w:cstheme="majorBidi"/>
              </w:rPr>
            </w:pPr>
            <w:r>
              <w:rPr>
                <w:rFonts w:asciiTheme="majorBidi" w:hAnsiTheme="majorBidi" w:cstheme="majorBidi"/>
              </w:rPr>
              <w:t>6.4</w:t>
            </w:r>
          </w:p>
        </w:tc>
        <w:tc>
          <w:tcPr>
            <w:tcW w:w="644" w:type="dxa"/>
            <w:tcBorders>
              <w:top w:val="nil"/>
              <w:left w:val="nil"/>
              <w:bottom w:val="nil"/>
              <w:right w:val="nil"/>
            </w:tcBorders>
          </w:tcPr>
          <w:p w14:paraId="4CB3A632" w14:textId="27B08328"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24.5</w:t>
            </w:r>
          </w:p>
        </w:tc>
        <w:tc>
          <w:tcPr>
            <w:tcW w:w="364" w:type="dxa"/>
            <w:tcBorders>
              <w:top w:val="nil"/>
              <w:left w:val="nil"/>
              <w:bottom w:val="nil"/>
              <w:right w:val="nil"/>
            </w:tcBorders>
          </w:tcPr>
          <w:p w14:paraId="22FB9E70" w14:textId="6BC904F9"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769" w:type="dxa"/>
            <w:tcBorders>
              <w:top w:val="nil"/>
              <w:left w:val="nil"/>
              <w:bottom w:val="nil"/>
              <w:right w:val="nil"/>
            </w:tcBorders>
          </w:tcPr>
          <w:p w14:paraId="29F9F319" w14:textId="520953EF" w:rsidR="000449A6" w:rsidRPr="00781DCB" w:rsidRDefault="000449A6" w:rsidP="00EB77E9">
            <w:pPr>
              <w:spacing w:line="360" w:lineRule="auto"/>
              <w:rPr>
                <w:rFonts w:asciiTheme="majorBidi" w:hAnsiTheme="majorBidi" w:cstheme="majorBidi"/>
              </w:rPr>
            </w:pPr>
            <w:r>
              <w:rPr>
                <w:rFonts w:asciiTheme="majorBidi" w:hAnsiTheme="majorBidi" w:cstheme="majorBidi"/>
              </w:rPr>
              <w:t>9.6</w:t>
            </w:r>
          </w:p>
        </w:tc>
        <w:tc>
          <w:tcPr>
            <w:tcW w:w="644" w:type="dxa"/>
            <w:tcBorders>
              <w:top w:val="nil"/>
              <w:left w:val="nil"/>
              <w:bottom w:val="nil"/>
              <w:right w:val="nil"/>
            </w:tcBorders>
          </w:tcPr>
          <w:p w14:paraId="74EFD9B3" w14:textId="090C9878"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31.2</w:t>
            </w:r>
          </w:p>
        </w:tc>
        <w:tc>
          <w:tcPr>
            <w:tcW w:w="364" w:type="dxa"/>
            <w:tcBorders>
              <w:top w:val="nil"/>
              <w:left w:val="nil"/>
              <w:bottom w:val="nil"/>
              <w:right w:val="nil"/>
            </w:tcBorders>
          </w:tcPr>
          <w:p w14:paraId="307F9D24" w14:textId="6ECDFF9C"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81" w:type="dxa"/>
            <w:tcBorders>
              <w:top w:val="nil"/>
              <w:left w:val="nil"/>
              <w:bottom w:val="nil"/>
              <w:right w:val="nil"/>
            </w:tcBorders>
          </w:tcPr>
          <w:p w14:paraId="2ABC4452" w14:textId="665E5157" w:rsidR="000449A6" w:rsidRPr="00781DCB" w:rsidRDefault="000449A6" w:rsidP="00EB77E9">
            <w:pPr>
              <w:spacing w:line="360" w:lineRule="auto"/>
              <w:rPr>
                <w:rFonts w:asciiTheme="majorBidi" w:hAnsiTheme="majorBidi" w:cstheme="majorBidi"/>
              </w:rPr>
            </w:pPr>
            <w:r>
              <w:rPr>
                <w:rFonts w:asciiTheme="majorBidi" w:hAnsiTheme="majorBidi" w:cstheme="majorBidi"/>
              </w:rPr>
              <w:t>16.9</w:t>
            </w:r>
          </w:p>
        </w:tc>
        <w:tc>
          <w:tcPr>
            <w:tcW w:w="636" w:type="dxa"/>
            <w:tcBorders>
              <w:top w:val="nil"/>
              <w:left w:val="nil"/>
              <w:bottom w:val="nil"/>
              <w:right w:val="nil"/>
            </w:tcBorders>
          </w:tcPr>
          <w:p w14:paraId="1395DA41" w14:textId="2ED44E3D" w:rsidR="000449A6" w:rsidRPr="00781DCB" w:rsidRDefault="000449A6" w:rsidP="00EB77E9">
            <w:pPr>
              <w:spacing w:line="360" w:lineRule="auto"/>
              <w:jc w:val="right"/>
              <w:rPr>
                <w:rFonts w:asciiTheme="majorBidi" w:hAnsiTheme="majorBidi" w:cstheme="majorBidi"/>
              </w:rPr>
            </w:pPr>
            <w:r>
              <w:rPr>
                <w:rFonts w:asciiTheme="majorBidi" w:hAnsiTheme="majorBidi" w:cstheme="majorBidi"/>
              </w:rPr>
              <w:t>53.7</w:t>
            </w:r>
          </w:p>
        </w:tc>
        <w:tc>
          <w:tcPr>
            <w:tcW w:w="359" w:type="dxa"/>
            <w:tcBorders>
              <w:top w:val="nil"/>
              <w:left w:val="nil"/>
              <w:bottom w:val="nil"/>
              <w:right w:val="nil"/>
            </w:tcBorders>
          </w:tcPr>
          <w:p w14:paraId="76E2A8A1" w14:textId="03B8E762" w:rsidR="000449A6" w:rsidRPr="00781DCB" w:rsidRDefault="000449A6" w:rsidP="00EB77E9">
            <w:pPr>
              <w:spacing w:line="360" w:lineRule="auto"/>
              <w:jc w:val="center"/>
              <w:rPr>
                <w:rFonts w:asciiTheme="majorBidi" w:hAnsiTheme="majorBidi" w:cstheme="majorBidi"/>
              </w:rPr>
            </w:pPr>
            <w:r w:rsidRPr="00781DCB">
              <w:rPr>
                <w:rFonts w:asciiTheme="majorBidi" w:hAnsiTheme="majorBidi" w:cstheme="majorBidi"/>
                <w:color w:val="000000" w:themeColor="text1"/>
              </w:rPr>
              <w:t>±</w:t>
            </w:r>
          </w:p>
        </w:tc>
        <w:tc>
          <w:tcPr>
            <w:tcW w:w="876" w:type="dxa"/>
            <w:tcBorders>
              <w:top w:val="nil"/>
              <w:left w:val="nil"/>
              <w:bottom w:val="nil"/>
              <w:right w:val="nil"/>
            </w:tcBorders>
          </w:tcPr>
          <w:p w14:paraId="706C3174" w14:textId="1E6F1BE5" w:rsidR="000449A6" w:rsidRPr="00781DCB" w:rsidRDefault="000449A6" w:rsidP="00EB77E9">
            <w:pPr>
              <w:spacing w:line="360" w:lineRule="auto"/>
              <w:rPr>
                <w:rFonts w:asciiTheme="majorBidi" w:hAnsiTheme="majorBidi" w:cstheme="majorBidi"/>
              </w:rPr>
            </w:pPr>
            <w:r>
              <w:rPr>
                <w:rFonts w:asciiTheme="majorBidi" w:hAnsiTheme="majorBidi" w:cstheme="majorBidi"/>
              </w:rPr>
              <w:t>63.6</w:t>
            </w:r>
          </w:p>
        </w:tc>
        <w:tc>
          <w:tcPr>
            <w:tcW w:w="1431" w:type="dxa"/>
            <w:tcBorders>
              <w:top w:val="nil"/>
              <w:left w:val="nil"/>
              <w:bottom w:val="nil"/>
              <w:right w:val="nil"/>
            </w:tcBorders>
          </w:tcPr>
          <w:p w14:paraId="7D72CF31" w14:textId="77777777" w:rsidR="000449A6"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7D68D092" w14:textId="77777777" w:rsidR="000449A6" w:rsidRDefault="000449A6" w:rsidP="00715806">
            <w:pPr>
              <w:spacing w:line="360" w:lineRule="auto"/>
              <w:jc w:val="center"/>
              <w:rPr>
                <w:rFonts w:asciiTheme="majorBidi" w:hAnsiTheme="majorBidi" w:cstheme="majorBidi"/>
              </w:rPr>
            </w:pPr>
          </w:p>
        </w:tc>
      </w:tr>
      <w:tr w:rsidR="0055210C" w14:paraId="3C710F3B" w14:textId="2CBFE196" w:rsidTr="0055210C">
        <w:trPr>
          <w:trHeight w:val="70"/>
        </w:trPr>
        <w:tc>
          <w:tcPr>
            <w:tcW w:w="1276" w:type="dxa"/>
            <w:vMerge w:val="restart"/>
            <w:tcBorders>
              <w:top w:val="nil"/>
              <w:left w:val="nil"/>
              <w:bottom w:val="nil"/>
              <w:right w:val="nil"/>
            </w:tcBorders>
          </w:tcPr>
          <w:p w14:paraId="47EAB1CF" w14:textId="77777777" w:rsidR="00923FE2" w:rsidRDefault="000449A6" w:rsidP="00EB77E9">
            <w:pPr>
              <w:spacing w:line="360" w:lineRule="auto"/>
              <w:rPr>
                <w:rFonts w:asciiTheme="majorBidi" w:hAnsiTheme="majorBidi" w:cstheme="majorBidi"/>
              </w:rPr>
            </w:pPr>
            <w:r>
              <w:rPr>
                <w:rFonts w:asciiTheme="majorBidi" w:hAnsiTheme="majorBidi" w:cstheme="majorBidi"/>
              </w:rPr>
              <w:t xml:space="preserve">AST </w:t>
            </w:r>
          </w:p>
          <w:p w14:paraId="2C089221" w14:textId="40883DD6" w:rsidR="000449A6" w:rsidRPr="00781DCB" w:rsidRDefault="000449A6" w:rsidP="00EB77E9">
            <w:pPr>
              <w:spacing w:line="360" w:lineRule="auto"/>
              <w:rPr>
                <w:rFonts w:asciiTheme="majorBidi" w:hAnsiTheme="majorBidi" w:cstheme="majorBidi"/>
              </w:rPr>
            </w:pPr>
            <w:r>
              <w:rPr>
                <w:rFonts w:asciiTheme="majorBidi" w:hAnsiTheme="majorBidi" w:cstheme="majorBidi"/>
              </w:rPr>
              <w:t>(U∙</w:t>
            </w:r>
            <w:r>
              <w:rPr>
                <w:rFonts w:ascii="Times New Roman" w:hAnsi="Times New Roman" w:cs="Times New Roman"/>
              </w:rPr>
              <w:t>L</w:t>
            </w:r>
            <w:r w:rsidRPr="009D141A">
              <w:rPr>
                <w:rFonts w:ascii="Times New Roman" w:hAnsi="Times New Roman" w:cs="Times New Roman"/>
                <w:vertAlign w:val="superscript"/>
              </w:rPr>
              <w:t>-</w:t>
            </w:r>
            <w:proofErr w:type="gramStart"/>
            <w:r w:rsidRPr="009D141A">
              <w:rPr>
                <w:rFonts w:ascii="Times New Roman" w:hAnsi="Times New Roman" w:cs="Times New Roman"/>
                <w:vertAlign w:val="superscript"/>
              </w:rPr>
              <w:t>1</w:t>
            </w:r>
            <w:r>
              <w:rPr>
                <w:rFonts w:ascii="Times New Roman" w:hAnsi="Times New Roman" w:cs="Times New Roman"/>
              </w:rPr>
              <w:t>)</w:t>
            </w:r>
            <w:r w:rsidR="003236CD">
              <w:rPr>
                <w:rFonts w:asciiTheme="majorBidi" w:hAnsiTheme="majorBidi" w:cstheme="majorBidi"/>
                <w:i/>
                <w:color w:val="000000"/>
                <w:vertAlign w:val="superscript"/>
              </w:rPr>
              <w:t>a</w:t>
            </w:r>
            <w:proofErr w:type="gramEnd"/>
          </w:p>
        </w:tc>
        <w:tc>
          <w:tcPr>
            <w:tcW w:w="1531" w:type="dxa"/>
            <w:tcBorders>
              <w:top w:val="nil"/>
              <w:left w:val="nil"/>
              <w:bottom w:val="nil"/>
              <w:right w:val="nil"/>
            </w:tcBorders>
          </w:tcPr>
          <w:p w14:paraId="5FDAD6A7" w14:textId="4525D7F0" w:rsidR="000449A6"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1752" w:type="dxa"/>
            <w:gridSpan w:val="3"/>
            <w:tcBorders>
              <w:top w:val="nil"/>
              <w:left w:val="nil"/>
              <w:bottom w:val="nil"/>
              <w:right w:val="nil"/>
            </w:tcBorders>
          </w:tcPr>
          <w:p w14:paraId="3CF57768" w14:textId="4DB127C8" w:rsidR="000449A6" w:rsidRPr="00781DCB" w:rsidRDefault="000449A6" w:rsidP="001C23B4">
            <w:pPr>
              <w:spacing w:line="360" w:lineRule="auto"/>
              <w:jc w:val="center"/>
              <w:rPr>
                <w:rFonts w:asciiTheme="majorBidi" w:hAnsiTheme="majorBidi" w:cstheme="majorBidi"/>
              </w:rPr>
            </w:pPr>
            <w:r>
              <w:rPr>
                <w:rFonts w:asciiTheme="majorBidi" w:hAnsiTheme="majorBidi" w:cstheme="majorBidi"/>
              </w:rPr>
              <w:t>28.7 (11.8)</w:t>
            </w:r>
          </w:p>
        </w:tc>
        <w:tc>
          <w:tcPr>
            <w:tcW w:w="1777" w:type="dxa"/>
            <w:gridSpan w:val="3"/>
            <w:tcBorders>
              <w:top w:val="nil"/>
              <w:left w:val="nil"/>
              <w:bottom w:val="nil"/>
              <w:right w:val="nil"/>
            </w:tcBorders>
          </w:tcPr>
          <w:p w14:paraId="7998A7EC" w14:textId="4C33B964" w:rsidR="000449A6" w:rsidRPr="00781DCB" w:rsidRDefault="000449A6" w:rsidP="000466F4">
            <w:pPr>
              <w:spacing w:line="360" w:lineRule="auto"/>
              <w:jc w:val="center"/>
              <w:rPr>
                <w:rFonts w:asciiTheme="majorBidi" w:hAnsiTheme="majorBidi" w:cstheme="majorBidi"/>
              </w:rPr>
            </w:pPr>
            <w:r>
              <w:rPr>
                <w:rFonts w:asciiTheme="majorBidi" w:hAnsiTheme="majorBidi" w:cstheme="majorBidi"/>
              </w:rPr>
              <w:t>27.8 (7.2)</w:t>
            </w:r>
          </w:p>
        </w:tc>
        <w:tc>
          <w:tcPr>
            <w:tcW w:w="1889" w:type="dxa"/>
            <w:gridSpan w:val="3"/>
            <w:tcBorders>
              <w:top w:val="nil"/>
              <w:left w:val="nil"/>
              <w:bottom w:val="nil"/>
              <w:right w:val="nil"/>
            </w:tcBorders>
          </w:tcPr>
          <w:p w14:paraId="6FE9BA2B" w14:textId="32D6C2BE" w:rsidR="000449A6" w:rsidRPr="00781DCB" w:rsidRDefault="000449A6" w:rsidP="000466F4">
            <w:pPr>
              <w:spacing w:line="360" w:lineRule="auto"/>
              <w:jc w:val="center"/>
              <w:rPr>
                <w:rFonts w:asciiTheme="majorBidi" w:hAnsiTheme="majorBidi" w:cstheme="majorBidi"/>
              </w:rPr>
            </w:pPr>
            <w:r>
              <w:rPr>
                <w:rFonts w:asciiTheme="majorBidi" w:hAnsiTheme="majorBidi" w:cstheme="majorBidi"/>
              </w:rPr>
              <w:t>27.9 (12.4)</w:t>
            </w:r>
          </w:p>
        </w:tc>
        <w:tc>
          <w:tcPr>
            <w:tcW w:w="1871" w:type="dxa"/>
            <w:gridSpan w:val="3"/>
            <w:tcBorders>
              <w:top w:val="nil"/>
              <w:left w:val="nil"/>
              <w:bottom w:val="nil"/>
              <w:right w:val="nil"/>
            </w:tcBorders>
          </w:tcPr>
          <w:p w14:paraId="70565E6B" w14:textId="315238D4" w:rsidR="000449A6" w:rsidRPr="00781DCB" w:rsidRDefault="000449A6" w:rsidP="004C1785">
            <w:pPr>
              <w:spacing w:line="360" w:lineRule="auto"/>
              <w:jc w:val="center"/>
              <w:rPr>
                <w:rFonts w:asciiTheme="majorBidi" w:hAnsiTheme="majorBidi" w:cstheme="majorBidi"/>
              </w:rPr>
            </w:pPr>
            <w:r>
              <w:rPr>
                <w:rFonts w:asciiTheme="majorBidi" w:hAnsiTheme="majorBidi" w:cstheme="majorBidi"/>
              </w:rPr>
              <w:t>27.3 (6.7)</w:t>
            </w:r>
          </w:p>
        </w:tc>
        <w:tc>
          <w:tcPr>
            <w:tcW w:w="1431" w:type="dxa"/>
            <w:tcBorders>
              <w:top w:val="nil"/>
              <w:left w:val="nil"/>
              <w:bottom w:val="nil"/>
              <w:right w:val="nil"/>
            </w:tcBorders>
          </w:tcPr>
          <w:p w14:paraId="7E3A70A3" w14:textId="79D3E5E3" w:rsidR="000449A6" w:rsidRDefault="00764682" w:rsidP="00715806">
            <w:pPr>
              <w:spacing w:line="360" w:lineRule="auto"/>
              <w:jc w:val="center"/>
              <w:rPr>
                <w:rFonts w:asciiTheme="majorBidi" w:hAnsiTheme="majorBidi" w:cstheme="majorBidi"/>
              </w:rPr>
            </w:pPr>
            <w:r>
              <w:rPr>
                <w:rFonts w:asciiTheme="majorBidi" w:hAnsiTheme="majorBidi" w:cstheme="majorBidi"/>
              </w:rPr>
              <w:t>0.1</w:t>
            </w:r>
            <w:r w:rsidR="004E164E">
              <w:rPr>
                <w:rFonts w:asciiTheme="majorBidi" w:hAnsiTheme="majorBidi" w:cstheme="majorBidi"/>
              </w:rPr>
              <w:t>4</w:t>
            </w:r>
          </w:p>
        </w:tc>
        <w:tc>
          <w:tcPr>
            <w:tcW w:w="2148" w:type="dxa"/>
            <w:tcBorders>
              <w:top w:val="nil"/>
              <w:left w:val="nil"/>
              <w:bottom w:val="nil"/>
              <w:right w:val="nil"/>
            </w:tcBorders>
          </w:tcPr>
          <w:p w14:paraId="583DFA67" w14:textId="23D77370" w:rsidR="000449A6" w:rsidRDefault="00764682" w:rsidP="00715806">
            <w:pPr>
              <w:spacing w:line="360" w:lineRule="auto"/>
              <w:jc w:val="center"/>
              <w:rPr>
                <w:rFonts w:asciiTheme="majorBidi" w:hAnsiTheme="majorBidi" w:cstheme="majorBidi"/>
              </w:rPr>
            </w:pPr>
            <w:r>
              <w:rPr>
                <w:rFonts w:asciiTheme="majorBidi" w:hAnsiTheme="majorBidi" w:cstheme="majorBidi"/>
              </w:rPr>
              <w:t>0.18</w:t>
            </w:r>
          </w:p>
        </w:tc>
      </w:tr>
      <w:tr w:rsidR="0055210C" w14:paraId="4A599880" w14:textId="60C51C36" w:rsidTr="0055210C">
        <w:trPr>
          <w:trHeight w:val="70"/>
        </w:trPr>
        <w:tc>
          <w:tcPr>
            <w:tcW w:w="1276" w:type="dxa"/>
            <w:vMerge/>
            <w:tcBorders>
              <w:top w:val="nil"/>
              <w:left w:val="nil"/>
              <w:bottom w:val="nil"/>
              <w:right w:val="nil"/>
            </w:tcBorders>
          </w:tcPr>
          <w:p w14:paraId="586214B0" w14:textId="77777777" w:rsidR="000449A6" w:rsidRPr="00781DCB" w:rsidRDefault="000449A6" w:rsidP="00EB77E9">
            <w:pPr>
              <w:spacing w:line="360" w:lineRule="auto"/>
              <w:rPr>
                <w:rFonts w:asciiTheme="majorBidi" w:hAnsiTheme="majorBidi" w:cstheme="majorBidi"/>
              </w:rPr>
            </w:pPr>
          </w:p>
        </w:tc>
        <w:tc>
          <w:tcPr>
            <w:tcW w:w="1531" w:type="dxa"/>
            <w:tcBorders>
              <w:top w:val="nil"/>
              <w:left w:val="nil"/>
              <w:bottom w:val="nil"/>
              <w:right w:val="nil"/>
            </w:tcBorders>
          </w:tcPr>
          <w:p w14:paraId="45C07E00" w14:textId="77777777" w:rsidR="000449A6"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1752" w:type="dxa"/>
            <w:gridSpan w:val="3"/>
            <w:tcBorders>
              <w:top w:val="nil"/>
              <w:left w:val="nil"/>
              <w:bottom w:val="nil"/>
              <w:right w:val="nil"/>
            </w:tcBorders>
          </w:tcPr>
          <w:p w14:paraId="1E1D1919" w14:textId="136B2B74" w:rsidR="000449A6" w:rsidRPr="00781DCB" w:rsidRDefault="000449A6" w:rsidP="00BB5723">
            <w:pPr>
              <w:spacing w:line="360" w:lineRule="auto"/>
              <w:jc w:val="center"/>
              <w:rPr>
                <w:rFonts w:asciiTheme="majorBidi" w:hAnsiTheme="majorBidi" w:cstheme="majorBidi"/>
              </w:rPr>
            </w:pPr>
            <w:r>
              <w:rPr>
                <w:rFonts w:asciiTheme="majorBidi" w:hAnsiTheme="majorBidi" w:cstheme="majorBidi"/>
              </w:rPr>
              <w:t>28.2 (9.7)</w:t>
            </w:r>
          </w:p>
        </w:tc>
        <w:tc>
          <w:tcPr>
            <w:tcW w:w="1777" w:type="dxa"/>
            <w:gridSpan w:val="3"/>
            <w:tcBorders>
              <w:top w:val="nil"/>
              <w:left w:val="nil"/>
              <w:bottom w:val="nil"/>
              <w:right w:val="nil"/>
            </w:tcBorders>
          </w:tcPr>
          <w:p w14:paraId="3F724125" w14:textId="55178FF4" w:rsidR="000449A6" w:rsidRPr="00781DCB" w:rsidRDefault="000449A6" w:rsidP="00D53DB5">
            <w:pPr>
              <w:spacing w:line="360" w:lineRule="auto"/>
              <w:jc w:val="center"/>
              <w:rPr>
                <w:rFonts w:asciiTheme="majorBidi" w:hAnsiTheme="majorBidi" w:cstheme="majorBidi"/>
              </w:rPr>
            </w:pPr>
            <w:r>
              <w:rPr>
                <w:rFonts w:asciiTheme="majorBidi" w:hAnsiTheme="majorBidi" w:cstheme="majorBidi"/>
              </w:rPr>
              <w:t>27.6 (12.3)</w:t>
            </w:r>
          </w:p>
        </w:tc>
        <w:tc>
          <w:tcPr>
            <w:tcW w:w="1889" w:type="dxa"/>
            <w:gridSpan w:val="3"/>
            <w:tcBorders>
              <w:top w:val="nil"/>
              <w:left w:val="nil"/>
              <w:bottom w:val="nil"/>
              <w:right w:val="nil"/>
            </w:tcBorders>
          </w:tcPr>
          <w:p w14:paraId="7F2A4C44" w14:textId="0D972266" w:rsidR="000449A6" w:rsidRPr="00781DCB" w:rsidRDefault="000449A6" w:rsidP="00D53DB5">
            <w:pPr>
              <w:spacing w:line="360" w:lineRule="auto"/>
              <w:jc w:val="center"/>
              <w:rPr>
                <w:rFonts w:asciiTheme="majorBidi" w:hAnsiTheme="majorBidi" w:cstheme="majorBidi"/>
              </w:rPr>
            </w:pPr>
            <w:r>
              <w:rPr>
                <w:rFonts w:asciiTheme="majorBidi" w:hAnsiTheme="majorBidi" w:cstheme="majorBidi"/>
              </w:rPr>
              <w:t>30.3 (14.6)</w:t>
            </w:r>
          </w:p>
        </w:tc>
        <w:tc>
          <w:tcPr>
            <w:tcW w:w="1871" w:type="dxa"/>
            <w:gridSpan w:val="3"/>
            <w:tcBorders>
              <w:top w:val="nil"/>
              <w:left w:val="nil"/>
              <w:bottom w:val="nil"/>
              <w:right w:val="nil"/>
            </w:tcBorders>
          </w:tcPr>
          <w:p w14:paraId="3137F25D" w14:textId="1EDB2067" w:rsidR="000449A6" w:rsidRPr="00781DCB" w:rsidRDefault="000449A6" w:rsidP="004F23A2">
            <w:pPr>
              <w:spacing w:line="360" w:lineRule="auto"/>
              <w:jc w:val="center"/>
              <w:rPr>
                <w:rFonts w:asciiTheme="majorBidi" w:hAnsiTheme="majorBidi" w:cstheme="majorBidi"/>
              </w:rPr>
            </w:pPr>
            <w:r>
              <w:rPr>
                <w:rFonts w:asciiTheme="majorBidi" w:hAnsiTheme="majorBidi" w:cstheme="majorBidi"/>
              </w:rPr>
              <w:t>36.8 (32.5)</w:t>
            </w:r>
          </w:p>
        </w:tc>
        <w:tc>
          <w:tcPr>
            <w:tcW w:w="1431" w:type="dxa"/>
            <w:tcBorders>
              <w:top w:val="nil"/>
              <w:left w:val="nil"/>
              <w:bottom w:val="nil"/>
              <w:right w:val="nil"/>
            </w:tcBorders>
          </w:tcPr>
          <w:p w14:paraId="59C144F5" w14:textId="77777777" w:rsidR="000449A6" w:rsidRDefault="000449A6" w:rsidP="00715806">
            <w:pPr>
              <w:spacing w:line="360" w:lineRule="auto"/>
              <w:jc w:val="center"/>
              <w:rPr>
                <w:rFonts w:asciiTheme="majorBidi" w:hAnsiTheme="majorBidi" w:cstheme="majorBidi"/>
              </w:rPr>
            </w:pPr>
          </w:p>
        </w:tc>
        <w:tc>
          <w:tcPr>
            <w:tcW w:w="2148" w:type="dxa"/>
            <w:tcBorders>
              <w:top w:val="nil"/>
              <w:left w:val="nil"/>
              <w:bottom w:val="nil"/>
              <w:right w:val="nil"/>
            </w:tcBorders>
          </w:tcPr>
          <w:p w14:paraId="04D8392F" w14:textId="77777777" w:rsidR="000449A6" w:rsidRDefault="000449A6" w:rsidP="00715806">
            <w:pPr>
              <w:spacing w:line="360" w:lineRule="auto"/>
              <w:jc w:val="center"/>
              <w:rPr>
                <w:rFonts w:asciiTheme="majorBidi" w:hAnsiTheme="majorBidi" w:cstheme="majorBidi"/>
              </w:rPr>
            </w:pPr>
          </w:p>
        </w:tc>
      </w:tr>
      <w:tr w:rsidR="0055210C" w14:paraId="2C919702" w14:textId="4D2421FC" w:rsidTr="0055210C">
        <w:trPr>
          <w:trHeight w:val="70"/>
        </w:trPr>
        <w:tc>
          <w:tcPr>
            <w:tcW w:w="1276" w:type="dxa"/>
            <w:vMerge w:val="restart"/>
            <w:tcBorders>
              <w:top w:val="nil"/>
              <w:left w:val="nil"/>
              <w:bottom w:val="nil"/>
              <w:right w:val="nil"/>
            </w:tcBorders>
          </w:tcPr>
          <w:p w14:paraId="46949E1E" w14:textId="77777777" w:rsidR="00923FE2" w:rsidRDefault="000449A6" w:rsidP="00EB77E9">
            <w:pPr>
              <w:spacing w:line="360" w:lineRule="auto"/>
              <w:rPr>
                <w:rFonts w:asciiTheme="majorBidi" w:hAnsiTheme="majorBidi" w:cstheme="majorBidi"/>
              </w:rPr>
            </w:pPr>
            <w:r>
              <w:rPr>
                <w:rFonts w:asciiTheme="majorBidi" w:hAnsiTheme="majorBidi" w:cstheme="majorBidi"/>
              </w:rPr>
              <w:t xml:space="preserve">GGT </w:t>
            </w:r>
          </w:p>
          <w:p w14:paraId="6A3C419C" w14:textId="65D666A3" w:rsidR="000449A6" w:rsidRPr="00781DCB" w:rsidRDefault="000449A6" w:rsidP="00EB77E9">
            <w:pPr>
              <w:spacing w:line="360" w:lineRule="auto"/>
              <w:rPr>
                <w:rFonts w:asciiTheme="majorBidi" w:hAnsiTheme="majorBidi" w:cstheme="majorBidi"/>
              </w:rPr>
            </w:pPr>
            <w:r>
              <w:rPr>
                <w:rFonts w:asciiTheme="majorBidi" w:hAnsiTheme="majorBidi" w:cstheme="majorBidi"/>
              </w:rPr>
              <w:t>(U∙</w:t>
            </w:r>
            <w:r>
              <w:rPr>
                <w:rFonts w:ascii="Times New Roman" w:hAnsi="Times New Roman" w:cs="Times New Roman"/>
              </w:rPr>
              <w:t>L</w:t>
            </w:r>
            <w:r w:rsidRPr="009D141A">
              <w:rPr>
                <w:rFonts w:ascii="Times New Roman" w:hAnsi="Times New Roman" w:cs="Times New Roman"/>
                <w:vertAlign w:val="superscript"/>
              </w:rPr>
              <w:t>-</w:t>
            </w:r>
            <w:proofErr w:type="gramStart"/>
            <w:r w:rsidRPr="009D141A">
              <w:rPr>
                <w:rFonts w:ascii="Times New Roman" w:hAnsi="Times New Roman" w:cs="Times New Roman"/>
                <w:vertAlign w:val="superscript"/>
              </w:rPr>
              <w:t>1</w:t>
            </w:r>
            <w:r>
              <w:rPr>
                <w:rFonts w:ascii="Times New Roman" w:hAnsi="Times New Roman" w:cs="Times New Roman"/>
              </w:rPr>
              <w:t>)</w:t>
            </w:r>
            <w:r w:rsidR="003236CD">
              <w:rPr>
                <w:rFonts w:asciiTheme="majorBidi" w:hAnsiTheme="majorBidi" w:cstheme="majorBidi"/>
                <w:i/>
                <w:color w:val="000000"/>
                <w:vertAlign w:val="superscript"/>
              </w:rPr>
              <w:t>a</w:t>
            </w:r>
            <w:proofErr w:type="gramEnd"/>
          </w:p>
        </w:tc>
        <w:tc>
          <w:tcPr>
            <w:tcW w:w="1531" w:type="dxa"/>
            <w:tcBorders>
              <w:top w:val="nil"/>
              <w:left w:val="nil"/>
              <w:bottom w:val="nil"/>
              <w:right w:val="nil"/>
            </w:tcBorders>
          </w:tcPr>
          <w:p w14:paraId="24ADF915" w14:textId="5EFB71CF" w:rsidR="000449A6" w:rsidRDefault="000449A6" w:rsidP="00EB77E9">
            <w:pPr>
              <w:spacing w:line="360" w:lineRule="auto"/>
              <w:jc w:val="right"/>
              <w:rPr>
                <w:rFonts w:asciiTheme="majorBidi" w:hAnsiTheme="majorBidi" w:cstheme="majorBidi"/>
              </w:rPr>
            </w:pPr>
            <w:r>
              <w:rPr>
                <w:rFonts w:asciiTheme="majorBidi" w:hAnsiTheme="majorBidi" w:cstheme="majorBidi"/>
              </w:rPr>
              <w:t>Control diet</w:t>
            </w:r>
          </w:p>
        </w:tc>
        <w:tc>
          <w:tcPr>
            <w:tcW w:w="1752" w:type="dxa"/>
            <w:gridSpan w:val="3"/>
            <w:tcBorders>
              <w:top w:val="nil"/>
              <w:left w:val="nil"/>
              <w:bottom w:val="nil"/>
              <w:right w:val="nil"/>
            </w:tcBorders>
          </w:tcPr>
          <w:p w14:paraId="687623FF" w14:textId="4CF52F89" w:rsidR="000449A6" w:rsidRPr="00781DCB" w:rsidRDefault="000449A6" w:rsidP="006D12E5">
            <w:pPr>
              <w:spacing w:line="360" w:lineRule="auto"/>
              <w:jc w:val="center"/>
              <w:rPr>
                <w:rFonts w:asciiTheme="majorBidi" w:hAnsiTheme="majorBidi" w:cstheme="majorBidi"/>
              </w:rPr>
            </w:pPr>
            <w:r>
              <w:rPr>
                <w:rFonts w:asciiTheme="majorBidi" w:hAnsiTheme="majorBidi" w:cstheme="majorBidi"/>
              </w:rPr>
              <w:t>20.1 (7.3)</w:t>
            </w:r>
          </w:p>
        </w:tc>
        <w:tc>
          <w:tcPr>
            <w:tcW w:w="1777" w:type="dxa"/>
            <w:gridSpan w:val="3"/>
            <w:tcBorders>
              <w:top w:val="nil"/>
              <w:left w:val="nil"/>
              <w:bottom w:val="nil"/>
              <w:right w:val="nil"/>
            </w:tcBorders>
          </w:tcPr>
          <w:p w14:paraId="3F46C93C" w14:textId="3E10358E" w:rsidR="000449A6" w:rsidRPr="00781DCB" w:rsidRDefault="000449A6" w:rsidP="00C61176">
            <w:pPr>
              <w:spacing w:line="360" w:lineRule="auto"/>
              <w:jc w:val="center"/>
              <w:rPr>
                <w:rFonts w:asciiTheme="majorBidi" w:hAnsiTheme="majorBidi" w:cstheme="majorBidi"/>
              </w:rPr>
            </w:pPr>
            <w:r>
              <w:rPr>
                <w:rFonts w:asciiTheme="majorBidi" w:hAnsiTheme="majorBidi" w:cstheme="majorBidi"/>
              </w:rPr>
              <w:t>21.5 (7.8)</w:t>
            </w:r>
          </w:p>
        </w:tc>
        <w:tc>
          <w:tcPr>
            <w:tcW w:w="1889" w:type="dxa"/>
            <w:gridSpan w:val="3"/>
            <w:tcBorders>
              <w:top w:val="nil"/>
              <w:left w:val="nil"/>
              <w:bottom w:val="nil"/>
              <w:right w:val="nil"/>
            </w:tcBorders>
          </w:tcPr>
          <w:p w14:paraId="0DC39685" w14:textId="7FB2F0E2" w:rsidR="000449A6" w:rsidRPr="00781DCB" w:rsidRDefault="000449A6" w:rsidP="009A1528">
            <w:pPr>
              <w:spacing w:line="360" w:lineRule="auto"/>
              <w:jc w:val="center"/>
              <w:rPr>
                <w:rFonts w:asciiTheme="majorBidi" w:hAnsiTheme="majorBidi" w:cstheme="majorBidi"/>
              </w:rPr>
            </w:pPr>
            <w:r>
              <w:rPr>
                <w:rFonts w:asciiTheme="majorBidi" w:hAnsiTheme="majorBidi" w:cstheme="majorBidi"/>
              </w:rPr>
              <w:t>22.0 (12.2)</w:t>
            </w:r>
          </w:p>
        </w:tc>
        <w:tc>
          <w:tcPr>
            <w:tcW w:w="1871" w:type="dxa"/>
            <w:gridSpan w:val="3"/>
            <w:tcBorders>
              <w:top w:val="nil"/>
              <w:left w:val="nil"/>
              <w:bottom w:val="nil"/>
              <w:right w:val="nil"/>
            </w:tcBorders>
          </w:tcPr>
          <w:p w14:paraId="0DAFCE7F" w14:textId="06BB5101" w:rsidR="000449A6" w:rsidRPr="00781DCB" w:rsidRDefault="000449A6" w:rsidP="00754F38">
            <w:pPr>
              <w:spacing w:line="360" w:lineRule="auto"/>
              <w:jc w:val="center"/>
              <w:rPr>
                <w:rFonts w:asciiTheme="majorBidi" w:hAnsiTheme="majorBidi" w:cstheme="majorBidi"/>
              </w:rPr>
            </w:pPr>
            <w:r>
              <w:rPr>
                <w:rFonts w:asciiTheme="majorBidi" w:hAnsiTheme="majorBidi" w:cstheme="majorBidi"/>
              </w:rPr>
              <w:t>21.3 (12.3)</w:t>
            </w:r>
          </w:p>
        </w:tc>
        <w:tc>
          <w:tcPr>
            <w:tcW w:w="1431" w:type="dxa"/>
            <w:tcBorders>
              <w:top w:val="nil"/>
              <w:left w:val="nil"/>
              <w:bottom w:val="nil"/>
              <w:right w:val="nil"/>
            </w:tcBorders>
          </w:tcPr>
          <w:p w14:paraId="525C25B8" w14:textId="1B745F44" w:rsidR="000449A6" w:rsidRDefault="00764682" w:rsidP="00715806">
            <w:pPr>
              <w:spacing w:line="360" w:lineRule="auto"/>
              <w:jc w:val="center"/>
              <w:rPr>
                <w:rFonts w:asciiTheme="majorBidi" w:hAnsiTheme="majorBidi" w:cstheme="majorBidi"/>
              </w:rPr>
            </w:pPr>
            <w:r>
              <w:rPr>
                <w:rFonts w:asciiTheme="majorBidi" w:hAnsiTheme="majorBidi" w:cstheme="majorBidi"/>
              </w:rPr>
              <w:t>0.23</w:t>
            </w:r>
          </w:p>
        </w:tc>
        <w:tc>
          <w:tcPr>
            <w:tcW w:w="2148" w:type="dxa"/>
            <w:tcBorders>
              <w:top w:val="nil"/>
              <w:left w:val="nil"/>
              <w:bottom w:val="nil"/>
              <w:right w:val="nil"/>
            </w:tcBorders>
          </w:tcPr>
          <w:p w14:paraId="7E38949D" w14:textId="5C52D775" w:rsidR="000449A6" w:rsidRDefault="00764682" w:rsidP="00715806">
            <w:pPr>
              <w:spacing w:line="360" w:lineRule="auto"/>
              <w:jc w:val="center"/>
              <w:rPr>
                <w:rFonts w:asciiTheme="majorBidi" w:hAnsiTheme="majorBidi" w:cstheme="majorBidi"/>
              </w:rPr>
            </w:pPr>
            <w:r>
              <w:rPr>
                <w:rFonts w:asciiTheme="majorBidi" w:hAnsiTheme="majorBidi" w:cstheme="majorBidi"/>
              </w:rPr>
              <w:t>0.2</w:t>
            </w:r>
            <w:r w:rsidR="004E164E">
              <w:rPr>
                <w:rFonts w:asciiTheme="majorBidi" w:hAnsiTheme="majorBidi" w:cstheme="majorBidi"/>
              </w:rPr>
              <w:t>2</w:t>
            </w:r>
          </w:p>
        </w:tc>
      </w:tr>
      <w:tr w:rsidR="0055210C" w14:paraId="6CD91445" w14:textId="6B8D57CA" w:rsidTr="0055210C">
        <w:trPr>
          <w:trHeight w:val="70"/>
        </w:trPr>
        <w:tc>
          <w:tcPr>
            <w:tcW w:w="1276" w:type="dxa"/>
            <w:vMerge/>
            <w:tcBorders>
              <w:top w:val="nil"/>
              <w:left w:val="nil"/>
              <w:bottom w:val="single" w:sz="4" w:space="0" w:color="auto"/>
              <w:right w:val="nil"/>
            </w:tcBorders>
          </w:tcPr>
          <w:p w14:paraId="685AFC65" w14:textId="77777777" w:rsidR="000449A6" w:rsidRDefault="000449A6" w:rsidP="00EB77E9">
            <w:pPr>
              <w:spacing w:line="360" w:lineRule="auto"/>
              <w:rPr>
                <w:rFonts w:asciiTheme="majorBidi" w:hAnsiTheme="majorBidi" w:cstheme="majorBidi"/>
              </w:rPr>
            </w:pPr>
          </w:p>
        </w:tc>
        <w:tc>
          <w:tcPr>
            <w:tcW w:w="1531" w:type="dxa"/>
            <w:tcBorders>
              <w:top w:val="nil"/>
              <w:left w:val="nil"/>
              <w:bottom w:val="single" w:sz="4" w:space="0" w:color="auto"/>
              <w:right w:val="nil"/>
            </w:tcBorders>
          </w:tcPr>
          <w:p w14:paraId="05919246" w14:textId="77777777" w:rsidR="000449A6" w:rsidRDefault="000449A6" w:rsidP="00EB77E9">
            <w:pPr>
              <w:spacing w:line="360" w:lineRule="auto"/>
              <w:jc w:val="right"/>
              <w:rPr>
                <w:rFonts w:asciiTheme="majorBidi" w:hAnsiTheme="majorBidi" w:cstheme="majorBidi"/>
              </w:rPr>
            </w:pPr>
            <w:r>
              <w:rPr>
                <w:rFonts w:asciiTheme="majorBidi" w:hAnsiTheme="majorBidi" w:cstheme="majorBidi"/>
              </w:rPr>
              <w:t>HE-HFD</w:t>
            </w:r>
          </w:p>
        </w:tc>
        <w:tc>
          <w:tcPr>
            <w:tcW w:w="1752" w:type="dxa"/>
            <w:gridSpan w:val="3"/>
            <w:tcBorders>
              <w:top w:val="nil"/>
              <w:left w:val="nil"/>
              <w:bottom w:val="single" w:sz="4" w:space="0" w:color="auto"/>
              <w:right w:val="nil"/>
            </w:tcBorders>
          </w:tcPr>
          <w:p w14:paraId="3987E09E" w14:textId="47CA1640" w:rsidR="000449A6" w:rsidRPr="00781DCB" w:rsidRDefault="000449A6" w:rsidP="007A7D26">
            <w:pPr>
              <w:spacing w:line="360" w:lineRule="auto"/>
              <w:jc w:val="center"/>
              <w:rPr>
                <w:rFonts w:asciiTheme="majorBidi" w:hAnsiTheme="majorBidi" w:cstheme="majorBidi"/>
              </w:rPr>
            </w:pPr>
            <w:r>
              <w:rPr>
                <w:rFonts w:asciiTheme="majorBidi" w:hAnsiTheme="majorBidi" w:cstheme="majorBidi"/>
              </w:rPr>
              <w:t>20.0 (12.8)</w:t>
            </w:r>
          </w:p>
        </w:tc>
        <w:tc>
          <w:tcPr>
            <w:tcW w:w="1777" w:type="dxa"/>
            <w:gridSpan w:val="3"/>
            <w:tcBorders>
              <w:top w:val="nil"/>
              <w:left w:val="nil"/>
              <w:bottom w:val="single" w:sz="4" w:space="0" w:color="auto"/>
              <w:right w:val="nil"/>
            </w:tcBorders>
          </w:tcPr>
          <w:p w14:paraId="4529719B" w14:textId="469AE758" w:rsidR="000449A6" w:rsidRPr="00781DCB" w:rsidRDefault="000449A6" w:rsidP="00BE5877">
            <w:pPr>
              <w:spacing w:line="360" w:lineRule="auto"/>
              <w:jc w:val="center"/>
              <w:rPr>
                <w:rFonts w:asciiTheme="majorBidi" w:hAnsiTheme="majorBidi" w:cstheme="majorBidi"/>
              </w:rPr>
            </w:pPr>
            <w:r>
              <w:rPr>
                <w:rFonts w:asciiTheme="majorBidi" w:hAnsiTheme="majorBidi" w:cstheme="majorBidi"/>
              </w:rPr>
              <w:t>19.2 (9.6)</w:t>
            </w:r>
          </w:p>
        </w:tc>
        <w:tc>
          <w:tcPr>
            <w:tcW w:w="1889" w:type="dxa"/>
            <w:gridSpan w:val="3"/>
            <w:tcBorders>
              <w:top w:val="nil"/>
              <w:left w:val="nil"/>
              <w:bottom w:val="single" w:sz="4" w:space="0" w:color="auto"/>
              <w:right w:val="nil"/>
            </w:tcBorders>
          </w:tcPr>
          <w:p w14:paraId="7EFAFEC6" w14:textId="7E973F6A" w:rsidR="000449A6" w:rsidRPr="00781DCB" w:rsidRDefault="000449A6" w:rsidP="00BE5877">
            <w:pPr>
              <w:spacing w:line="360" w:lineRule="auto"/>
              <w:jc w:val="center"/>
              <w:rPr>
                <w:rFonts w:asciiTheme="majorBidi" w:hAnsiTheme="majorBidi" w:cstheme="majorBidi"/>
              </w:rPr>
            </w:pPr>
            <w:r>
              <w:rPr>
                <w:rFonts w:asciiTheme="majorBidi" w:hAnsiTheme="majorBidi" w:cstheme="majorBidi"/>
              </w:rPr>
              <w:t>19.9 (14.5)</w:t>
            </w:r>
          </w:p>
        </w:tc>
        <w:tc>
          <w:tcPr>
            <w:tcW w:w="1871" w:type="dxa"/>
            <w:gridSpan w:val="3"/>
            <w:tcBorders>
              <w:top w:val="nil"/>
              <w:left w:val="nil"/>
              <w:bottom w:val="single" w:sz="4" w:space="0" w:color="auto"/>
              <w:right w:val="nil"/>
            </w:tcBorders>
          </w:tcPr>
          <w:p w14:paraId="3E30AFE7" w14:textId="2A160B70" w:rsidR="000449A6" w:rsidRPr="00781DCB" w:rsidRDefault="000449A6" w:rsidP="00BC5C5C">
            <w:pPr>
              <w:spacing w:line="360" w:lineRule="auto"/>
              <w:jc w:val="center"/>
              <w:rPr>
                <w:rFonts w:asciiTheme="majorBidi" w:hAnsiTheme="majorBidi" w:cstheme="majorBidi"/>
              </w:rPr>
            </w:pPr>
            <w:r>
              <w:rPr>
                <w:rFonts w:asciiTheme="majorBidi" w:hAnsiTheme="majorBidi" w:cstheme="majorBidi"/>
              </w:rPr>
              <w:t>22.2 (12.3)</w:t>
            </w:r>
          </w:p>
        </w:tc>
        <w:tc>
          <w:tcPr>
            <w:tcW w:w="1431" w:type="dxa"/>
            <w:tcBorders>
              <w:top w:val="nil"/>
              <w:left w:val="nil"/>
              <w:bottom w:val="single" w:sz="4" w:space="0" w:color="auto"/>
              <w:right w:val="nil"/>
            </w:tcBorders>
          </w:tcPr>
          <w:p w14:paraId="57860322" w14:textId="77777777" w:rsidR="000449A6" w:rsidRDefault="000449A6" w:rsidP="00715806">
            <w:pPr>
              <w:spacing w:line="360" w:lineRule="auto"/>
              <w:jc w:val="center"/>
              <w:rPr>
                <w:rFonts w:asciiTheme="majorBidi" w:hAnsiTheme="majorBidi" w:cstheme="majorBidi"/>
              </w:rPr>
            </w:pPr>
          </w:p>
        </w:tc>
        <w:tc>
          <w:tcPr>
            <w:tcW w:w="2148" w:type="dxa"/>
            <w:tcBorders>
              <w:top w:val="nil"/>
              <w:left w:val="nil"/>
              <w:bottom w:val="single" w:sz="4" w:space="0" w:color="auto"/>
              <w:right w:val="nil"/>
            </w:tcBorders>
          </w:tcPr>
          <w:p w14:paraId="286DD100" w14:textId="77777777" w:rsidR="000449A6" w:rsidRDefault="000449A6" w:rsidP="00715806">
            <w:pPr>
              <w:spacing w:line="360" w:lineRule="auto"/>
              <w:jc w:val="center"/>
              <w:rPr>
                <w:rFonts w:asciiTheme="majorBidi" w:hAnsiTheme="majorBidi" w:cstheme="majorBidi"/>
              </w:rPr>
            </w:pPr>
          </w:p>
        </w:tc>
      </w:tr>
    </w:tbl>
    <w:p w14:paraId="563CF56F" w14:textId="77777777" w:rsidR="00781DCB" w:rsidRPr="00781DCB" w:rsidRDefault="00781DCB" w:rsidP="00781DCB">
      <w:pPr>
        <w:rPr>
          <w:rFonts w:asciiTheme="majorBidi" w:hAnsiTheme="majorBidi" w:cstheme="majorBidi"/>
          <w:highlight w:val="green"/>
        </w:rPr>
        <w:sectPr w:rsidR="00781DCB" w:rsidRPr="00781DCB" w:rsidSect="00781DCB">
          <w:pgSz w:w="16838" w:h="11906" w:orient="landscape"/>
          <w:pgMar w:top="1440" w:right="1440" w:bottom="1440" w:left="1440" w:header="708" w:footer="708" w:gutter="0"/>
          <w:lnNumType w:countBy="1" w:restart="continuous"/>
          <w:cols w:space="708"/>
          <w:docGrid w:linePitch="360"/>
        </w:sectPr>
      </w:pPr>
    </w:p>
    <w:p w14:paraId="46CCEE54" w14:textId="3B0D6C95" w:rsidR="00A30D29" w:rsidRPr="000E1C62" w:rsidRDefault="00297348" w:rsidP="00DC14C1">
      <w:pPr>
        <w:spacing w:line="480" w:lineRule="auto"/>
        <w:rPr>
          <w:rFonts w:asciiTheme="majorBidi" w:hAnsiTheme="majorBidi" w:cstheme="majorBidi"/>
        </w:rPr>
      </w:pPr>
      <w:r w:rsidRPr="000E1C62">
        <w:rPr>
          <w:rFonts w:asciiTheme="majorBidi" w:hAnsiTheme="majorBidi" w:cstheme="majorBidi"/>
        </w:rPr>
        <w:lastRenderedPageBreak/>
        <w:t>Data are means ± SD</w:t>
      </w:r>
      <w:r w:rsidR="00FD6A55" w:rsidRPr="000E1C62">
        <w:rPr>
          <w:rFonts w:asciiTheme="majorBidi" w:hAnsiTheme="majorBidi" w:cstheme="majorBidi"/>
        </w:rPr>
        <w:t xml:space="preserve"> or medians (IQR), </w:t>
      </w:r>
      <w:r w:rsidR="00F26CBE" w:rsidRPr="000E1C62">
        <w:rPr>
          <w:rFonts w:asciiTheme="majorBidi" w:hAnsiTheme="majorBidi" w:cstheme="majorBidi"/>
          <w:bCs/>
          <w:i/>
        </w:rPr>
        <w:t>n</w:t>
      </w:r>
      <w:r w:rsidR="00F26CBE" w:rsidRPr="000E1C62">
        <w:rPr>
          <w:rFonts w:asciiTheme="majorBidi" w:hAnsiTheme="majorBidi" w:cstheme="majorBidi"/>
          <w:bCs/>
        </w:rPr>
        <w:t xml:space="preserve"> = 12</w:t>
      </w:r>
      <w:r w:rsidR="008716C8" w:rsidRPr="000E1C62">
        <w:rPr>
          <w:rFonts w:asciiTheme="majorBidi" w:hAnsiTheme="majorBidi" w:cstheme="majorBidi"/>
          <w:bCs/>
        </w:rPr>
        <w:t xml:space="preserve"> healthy men</w:t>
      </w:r>
      <w:r w:rsidR="00A30D29" w:rsidRPr="000E1C62">
        <w:rPr>
          <w:rFonts w:asciiTheme="majorBidi" w:hAnsiTheme="majorBidi" w:cstheme="majorBidi"/>
        </w:rPr>
        <w:t>.</w:t>
      </w:r>
      <w:r w:rsidR="00EA2AA1" w:rsidRPr="000E1C62">
        <w:rPr>
          <w:rFonts w:asciiTheme="majorBidi" w:hAnsiTheme="majorBidi" w:cstheme="majorBidi"/>
        </w:rPr>
        <w:t xml:space="preserve"> </w:t>
      </w:r>
      <w:r w:rsidR="00554701" w:rsidRPr="000E1C62">
        <w:rPr>
          <w:rFonts w:asciiTheme="majorBidi" w:hAnsiTheme="majorBidi" w:cstheme="majorBidi"/>
        </w:rPr>
        <w:t xml:space="preserve">Adipo-IR, adipose tissue insulin resistance index; ALT, alanine aminotransferase; AST, aspartate aminotransferase; AU, arbitrary units; GGT, gamma-glutamyl transferase; </w:t>
      </w:r>
      <w:r w:rsidR="009701BF" w:rsidRPr="000E1C62">
        <w:rPr>
          <w:rFonts w:asciiTheme="majorBidi" w:hAnsiTheme="majorBidi" w:cstheme="majorBidi"/>
        </w:rPr>
        <w:t>HE-HFD, hyper-energetic, high</w:t>
      </w:r>
      <w:r w:rsidR="00F41881" w:rsidRPr="000E1C62">
        <w:rPr>
          <w:rFonts w:asciiTheme="majorBidi" w:hAnsiTheme="majorBidi" w:cstheme="majorBidi"/>
        </w:rPr>
        <w:t>-</w:t>
      </w:r>
      <w:r w:rsidR="009701BF" w:rsidRPr="000E1C62">
        <w:rPr>
          <w:rFonts w:asciiTheme="majorBidi" w:hAnsiTheme="majorBidi" w:cstheme="majorBidi"/>
        </w:rPr>
        <w:t>fat diet</w:t>
      </w:r>
      <w:r w:rsidR="00477273" w:rsidRPr="000E1C62">
        <w:rPr>
          <w:rFonts w:asciiTheme="majorBidi" w:hAnsiTheme="majorBidi" w:cstheme="majorBidi"/>
        </w:rPr>
        <w:t xml:space="preserve">; </w:t>
      </w:r>
      <w:r w:rsidR="00554701" w:rsidRPr="000E1C62">
        <w:rPr>
          <w:rFonts w:asciiTheme="majorBidi" w:hAnsiTheme="majorBidi" w:cstheme="majorBidi"/>
        </w:rPr>
        <w:t xml:space="preserve">HOMA-IR, homeostatic model assessment of insulin resistance; </w:t>
      </w:r>
      <w:r w:rsidR="00477273" w:rsidRPr="000E1C62">
        <w:rPr>
          <w:rFonts w:asciiTheme="majorBidi" w:hAnsiTheme="majorBidi" w:cstheme="majorBidi"/>
        </w:rPr>
        <w:t>NEFA, non-esterified fatty acids; TAG, triacylglycerol</w:t>
      </w:r>
      <w:r w:rsidR="00FE623A" w:rsidRPr="000E1C62">
        <w:rPr>
          <w:rFonts w:asciiTheme="majorBidi" w:hAnsiTheme="majorBidi" w:cstheme="majorBidi"/>
        </w:rPr>
        <w:t>.</w:t>
      </w:r>
    </w:p>
    <w:p w14:paraId="3DD07AAC" w14:textId="598FCFBA" w:rsidR="00F80E2D" w:rsidRPr="000E1C62" w:rsidRDefault="003236CD" w:rsidP="00DC14C1">
      <w:pPr>
        <w:spacing w:line="480" w:lineRule="auto"/>
        <w:rPr>
          <w:rFonts w:asciiTheme="majorBidi" w:hAnsiTheme="majorBidi" w:cstheme="majorBidi"/>
        </w:rPr>
      </w:pPr>
      <w:proofErr w:type="spellStart"/>
      <w:r w:rsidRPr="000E1C62">
        <w:rPr>
          <w:rFonts w:asciiTheme="majorBidi" w:hAnsiTheme="majorBidi" w:cstheme="majorBidi"/>
          <w:i/>
          <w:color w:val="000000"/>
          <w:vertAlign w:val="superscript"/>
        </w:rPr>
        <w:t>a</w:t>
      </w:r>
      <w:r w:rsidR="00A30D29" w:rsidRPr="000E1C62">
        <w:rPr>
          <w:rFonts w:asciiTheme="majorBidi" w:hAnsiTheme="majorBidi" w:cstheme="majorBidi"/>
        </w:rPr>
        <w:t>Indicates</w:t>
      </w:r>
      <w:proofErr w:type="spellEnd"/>
      <w:r w:rsidR="00A30D29" w:rsidRPr="000E1C62">
        <w:rPr>
          <w:rFonts w:asciiTheme="majorBidi" w:hAnsiTheme="majorBidi" w:cstheme="majorBidi"/>
        </w:rPr>
        <w:t xml:space="preserve"> data log transformed prior to analysis and therefore presented as median</w:t>
      </w:r>
      <w:r w:rsidR="00D17350" w:rsidRPr="000E1C62">
        <w:rPr>
          <w:rFonts w:asciiTheme="majorBidi" w:hAnsiTheme="majorBidi" w:cstheme="majorBidi"/>
        </w:rPr>
        <w:t>s</w:t>
      </w:r>
      <w:r w:rsidR="00A30D29" w:rsidRPr="000E1C62">
        <w:rPr>
          <w:rFonts w:asciiTheme="majorBidi" w:hAnsiTheme="majorBidi" w:cstheme="majorBidi"/>
        </w:rPr>
        <w:t xml:space="preserve"> (IQR).</w:t>
      </w:r>
    </w:p>
    <w:p w14:paraId="6E73FCB7" w14:textId="47C19EFF" w:rsidR="00AC5458" w:rsidRPr="000E1C62" w:rsidRDefault="00F80E2D" w:rsidP="00DC14C1">
      <w:pPr>
        <w:spacing w:line="480" w:lineRule="auto"/>
        <w:rPr>
          <w:rFonts w:asciiTheme="majorBidi" w:hAnsiTheme="majorBidi" w:cstheme="majorBidi"/>
        </w:rPr>
      </w:pPr>
      <w:r w:rsidRPr="000E1C62">
        <w:rPr>
          <w:rFonts w:asciiTheme="majorBidi" w:hAnsiTheme="majorBidi" w:cstheme="majorBidi"/>
        </w:rPr>
        <w:t xml:space="preserve">*Significantly different from </w:t>
      </w:r>
      <w:r w:rsidR="00FB0A8A" w:rsidRPr="000E1C62">
        <w:rPr>
          <w:rFonts w:asciiTheme="majorBidi" w:hAnsiTheme="majorBidi" w:cstheme="majorBidi"/>
        </w:rPr>
        <w:t>control diet</w:t>
      </w:r>
      <w:r w:rsidRPr="000E1C62">
        <w:rPr>
          <w:rFonts w:asciiTheme="majorBidi" w:hAnsiTheme="majorBidi" w:cstheme="majorBidi"/>
        </w:rPr>
        <w:t xml:space="preserve"> </w:t>
      </w:r>
      <w:r w:rsidR="00307DBC" w:rsidRPr="000E1C62">
        <w:rPr>
          <w:rFonts w:asciiTheme="majorBidi" w:hAnsiTheme="majorBidi" w:cstheme="majorBidi"/>
        </w:rPr>
        <w:t>at the same time point</w:t>
      </w:r>
      <w:r w:rsidR="00641952" w:rsidRPr="000E1C62">
        <w:rPr>
          <w:rFonts w:asciiTheme="majorBidi" w:hAnsiTheme="majorBidi" w:cstheme="majorBidi"/>
        </w:rPr>
        <w:t xml:space="preserve">, </w:t>
      </w:r>
      <w:r w:rsidR="00D10FCD" w:rsidRPr="000E1C62">
        <w:rPr>
          <w:rFonts w:asciiTheme="majorBidi" w:hAnsiTheme="majorBidi" w:cstheme="majorBidi"/>
          <w:i/>
        </w:rPr>
        <w:t>P</w:t>
      </w:r>
      <w:r w:rsidR="00D10FCD" w:rsidRPr="000E1C62">
        <w:rPr>
          <w:rFonts w:asciiTheme="majorBidi" w:hAnsiTheme="majorBidi" w:cstheme="majorBidi"/>
        </w:rPr>
        <w:t xml:space="preserve"> &lt; 0.05.</w:t>
      </w:r>
    </w:p>
    <w:p w14:paraId="299C9B66" w14:textId="73480A1B" w:rsidR="003750AD" w:rsidRDefault="00AC5458" w:rsidP="00DC14C1">
      <w:pPr>
        <w:spacing w:line="480" w:lineRule="auto"/>
        <w:rPr>
          <w:rFonts w:asciiTheme="majorBidi" w:hAnsiTheme="majorBidi" w:cstheme="majorBidi"/>
          <w:highlight w:val="green"/>
        </w:rPr>
      </w:pPr>
      <w:r w:rsidRPr="000E1C62">
        <w:rPr>
          <w:rFonts w:asciiTheme="majorBidi" w:hAnsiTheme="majorBidi" w:cstheme="majorBidi"/>
        </w:rPr>
        <w:t>**Significantly different from control diet at the same time point</w:t>
      </w:r>
      <w:r w:rsidR="00641952" w:rsidRPr="000E1C62">
        <w:rPr>
          <w:rFonts w:asciiTheme="majorBidi" w:hAnsiTheme="majorBidi" w:cstheme="majorBidi"/>
        </w:rPr>
        <w:t xml:space="preserve">, </w:t>
      </w:r>
      <w:r w:rsidRPr="000E1C62">
        <w:rPr>
          <w:rFonts w:asciiTheme="majorBidi" w:hAnsiTheme="majorBidi" w:cstheme="majorBidi"/>
          <w:i/>
        </w:rPr>
        <w:t>P</w:t>
      </w:r>
      <w:r w:rsidRPr="000E1C62">
        <w:rPr>
          <w:rFonts w:asciiTheme="majorBidi" w:hAnsiTheme="majorBidi" w:cstheme="majorBidi"/>
        </w:rPr>
        <w:t xml:space="preserve"> &lt; 0.01.</w:t>
      </w:r>
      <w:r w:rsidR="003750AD">
        <w:rPr>
          <w:rFonts w:asciiTheme="majorBidi" w:hAnsiTheme="majorBidi" w:cstheme="majorBidi"/>
          <w:highlight w:val="green"/>
        </w:rPr>
        <w:br w:type="page"/>
      </w:r>
    </w:p>
    <w:p w14:paraId="2209EBA6" w14:textId="61A0B2C4" w:rsidR="006410E9" w:rsidRPr="005274FB" w:rsidRDefault="006410E9" w:rsidP="00DC14C1">
      <w:pPr>
        <w:spacing w:before="120" w:line="480" w:lineRule="auto"/>
        <w:rPr>
          <w:rFonts w:asciiTheme="majorBidi" w:hAnsiTheme="majorBidi" w:cstheme="majorBidi"/>
          <w:b/>
        </w:rPr>
      </w:pPr>
      <w:r>
        <w:rPr>
          <w:rFonts w:asciiTheme="majorBidi" w:hAnsiTheme="majorBidi" w:cstheme="majorBidi"/>
          <w:b/>
        </w:rPr>
        <w:lastRenderedPageBreak/>
        <w:t xml:space="preserve">Figure </w:t>
      </w:r>
      <w:r w:rsidR="001D4FC8">
        <w:rPr>
          <w:rFonts w:asciiTheme="majorBidi" w:hAnsiTheme="majorBidi" w:cstheme="majorBidi"/>
          <w:b/>
        </w:rPr>
        <w:t>l</w:t>
      </w:r>
      <w:r>
        <w:rPr>
          <w:rFonts w:asciiTheme="majorBidi" w:hAnsiTheme="majorBidi" w:cstheme="majorBidi"/>
          <w:b/>
        </w:rPr>
        <w:t>egends</w:t>
      </w:r>
    </w:p>
    <w:p w14:paraId="6F9E8897" w14:textId="55BFC889" w:rsidR="00287328" w:rsidRPr="000E1C62" w:rsidRDefault="000F6DB3" w:rsidP="00DC14C1">
      <w:pPr>
        <w:spacing w:before="120" w:line="480" w:lineRule="auto"/>
        <w:rPr>
          <w:rFonts w:asciiTheme="majorBidi" w:hAnsiTheme="majorBidi" w:cstheme="majorBidi"/>
        </w:rPr>
      </w:pPr>
      <w:r w:rsidRPr="000F6DB3">
        <w:rPr>
          <w:rFonts w:asciiTheme="majorBidi" w:hAnsiTheme="majorBidi" w:cstheme="majorBidi"/>
          <w:b/>
        </w:rPr>
        <w:t>Figure 1.</w:t>
      </w:r>
      <w:r>
        <w:rPr>
          <w:rFonts w:asciiTheme="majorBidi" w:hAnsiTheme="majorBidi" w:cstheme="majorBidi"/>
        </w:rPr>
        <w:t xml:space="preserve"> Schematic illustration of the study design and trial procedures. HE-HFD = 7-day </w:t>
      </w:r>
      <w:r w:rsidRPr="000E1C62">
        <w:rPr>
          <w:rFonts w:asciiTheme="majorBidi" w:hAnsiTheme="majorBidi" w:cstheme="majorBidi"/>
        </w:rPr>
        <w:t>hyper-energetic, high</w:t>
      </w:r>
      <w:r w:rsidR="00F41881" w:rsidRPr="000E1C62">
        <w:rPr>
          <w:rFonts w:asciiTheme="majorBidi" w:hAnsiTheme="majorBidi" w:cstheme="majorBidi"/>
        </w:rPr>
        <w:t>-</w:t>
      </w:r>
      <w:r w:rsidRPr="000E1C62">
        <w:rPr>
          <w:rFonts w:asciiTheme="majorBidi" w:hAnsiTheme="majorBidi" w:cstheme="majorBidi"/>
        </w:rPr>
        <w:t xml:space="preserve">fat diet; </w:t>
      </w:r>
      <w:r w:rsidR="008361BA" w:rsidRPr="000E1C62">
        <w:rPr>
          <w:rFonts w:asciiTheme="majorBidi" w:hAnsiTheme="majorBidi" w:cstheme="majorBidi"/>
        </w:rPr>
        <w:t>c</w:t>
      </w:r>
      <w:r w:rsidRPr="000E1C62">
        <w:rPr>
          <w:rFonts w:asciiTheme="majorBidi" w:hAnsiTheme="majorBidi" w:cstheme="majorBidi"/>
        </w:rPr>
        <w:t xml:space="preserve">ontrol </w:t>
      </w:r>
      <w:r w:rsidR="00FB0CC9" w:rsidRPr="000E1C62">
        <w:rPr>
          <w:rFonts w:asciiTheme="majorBidi" w:hAnsiTheme="majorBidi" w:cstheme="majorBidi"/>
        </w:rPr>
        <w:t>intervention</w:t>
      </w:r>
      <w:r w:rsidRPr="000E1C62">
        <w:rPr>
          <w:rFonts w:asciiTheme="majorBidi" w:hAnsiTheme="majorBidi" w:cstheme="majorBidi"/>
        </w:rPr>
        <w:t xml:space="preserve"> = 7-day habitual diet. </w:t>
      </w:r>
      <w:r w:rsidR="0056793A" w:rsidRPr="000E1C62">
        <w:rPr>
          <w:rFonts w:asciiTheme="majorBidi" w:hAnsiTheme="majorBidi" w:cstheme="majorBidi"/>
        </w:rPr>
        <w:t xml:space="preserve">Food intake </w:t>
      </w:r>
      <w:r w:rsidR="00AB31A0" w:rsidRPr="000E1C62">
        <w:rPr>
          <w:rFonts w:asciiTheme="majorBidi" w:hAnsiTheme="majorBidi" w:cstheme="majorBidi"/>
        </w:rPr>
        <w:t xml:space="preserve">was </w:t>
      </w:r>
      <w:r w:rsidR="0056793A" w:rsidRPr="000E1C62">
        <w:rPr>
          <w:rFonts w:asciiTheme="majorBidi" w:hAnsiTheme="majorBidi" w:cstheme="majorBidi"/>
        </w:rPr>
        <w:t xml:space="preserve">measured during the control intervention by a 3-day food diary, whilst all food was provided during the HE-HFD intervention. </w:t>
      </w:r>
      <w:r w:rsidRPr="000E1C62">
        <w:rPr>
          <w:rFonts w:asciiTheme="majorBidi" w:hAnsiTheme="majorBidi" w:cstheme="majorBidi"/>
        </w:rPr>
        <w:t>Participant trial order was randomised</w:t>
      </w:r>
      <w:r w:rsidR="00827A23" w:rsidRPr="000E1C62">
        <w:rPr>
          <w:rFonts w:asciiTheme="majorBidi" w:hAnsiTheme="majorBidi" w:cstheme="majorBidi"/>
        </w:rPr>
        <w:t>.</w:t>
      </w:r>
      <w:r w:rsidR="004E0581" w:rsidRPr="000E1C62">
        <w:rPr>
          <w:rFonts w:asciiTheme="majorBidi" w:hAnsiTheme="majorBidi" w:cstheme="majorBidi"/>
        </w:rPr>
        <w:t xml:space="preserve"> </w:t>
      </w:r>
      <w:r w:rsidR="001469EC" w:rsidRPr="000E1C62">
        <w:rPr>
          <w:rFonts w:asciiTheme="majorBidi" w:hAnsiTheme="majorBidi" w:cstheme="majorBidi"/>
        </w:rPr>
        <w:t>OGTT, oral glucose tolerance test.</w:t>
      </w:r>
    </w:p>
    <w:p w14:paraId="3512D4C4" w14:textId="77777777" w:rsidR="006410E9" w:rsidRPr="000E1C62" w:rsidRDefault="006410E9" w:rsidP="00DC14C1">
      <w:pPr>
        <w:spacing w:before="120" w:line="480" w:lineRule="auto"/>
        <w:rPr>
          <w:rFonts w:asciiTheme="majorBidi" w:hAnsiTheme="majorBidi" w:cstheme="majorBidi"/>
        </w:rPr>
      </w:pPr>
    </w:p>
    <w:p w14:paraId="19D5A71F" w14:textId="7BFFEB37" w:rsidR="00E11F73" w:rsidRPr="000E1C62" w:rsidRDefault="00E11F73" w:rsidP="00DC14C1">
      <w:pPr>
        <w:spacing w:line="480" w:lineRule="auto"/>
        <w:rPr>
          <w:rFonts w:asciiTheme="majorBidi" w:hAnsiTheme="majorBidi" w:cstheme="majorBidi"/>
        </w:rPr>
      </w:pPr>
      <w:r w:rsidRPr="000E1C62">
        <w:rPr>
          <w:rFonts w:asciiTheme="majorBidi" w:hAnsiTheme="majorBidi" w:cstheme="majorBidi"/>
          <w:b/>
          <w:color w:val="000000"/>
        </w:rPr>
        <w:t xml:space="preserve">Figure 2. </w:t>
      </w:r>
      <w:r w:rsidRPr="000E1C62">
        <w:rPr>
          <w:rFonts w:asciiTheme="majorBidi" w:hAnsiTheme="majorBidi" w:cstheme="majorBidi"/>
          <w:color w:val="000000"/>
        </w:rPr>
        <w:t xml:space="preserve">Fasting plasma concentrations of </w:t>
      </w:r>
      <w:r w:rsidR="008F0425" w:rsidRPr="000E1C62">
        <w:rPr>
          <w:rFonts w:asciiTheme="majorBidi" w:hAnsiTheme="majorBidi" w:cstheme="majorBidi"/>
          <w:color w:val="000000"/>
        </w:rPr>
        <w:t xml:space="preserve">(A) </w:t>
      </w:r>
      <w:r w:rsidRPr="000E1C62">
        <w:rPr>
          <w:rFonts w:asciiTheme="majorBidi" w:hAnsiTheme="majorBidi" w:cstheme="majorBidi"/>
          <w:color w:val="000000"/>
        </w:rPr>
        <w:t xml:space="preserve">fibroblast growth factor 21 (FGF21), </w:t>
      </w:r>
      <w:r w:rsidR="009F2CCE" w:rsidRPr="000E1C62">
        <w:rPr>
          <w:rFonts w:asciiTheme="majorBidi" w:hAnsiTheme="majorBidi" w:cstheme="majorBidi"/>
          <w:color w:val="000000"/>
        </w:rPr>
        <w:t xml:space="preserve">(B) </w:t>
      </w:r>
      <w:r w:rsidRPr="000E1C62">
        <w:rPr>
          <w:rFonts w:asciiTheme="majorBidi" w:hAnsiTheme="majorBidi" w:cstheme="majorBidi"/>
          <w:color w:val="000000"/>
        </w:rPr>
        <w:t xml:space="preserve">leukocyte cell-derived chemotaxin 2 (LECT2), </w:t>
      </w:r>
      <w:r w:rsidR="009F2CCE" w:rsidRPr="000E1C62">
        <w:rPr>
          <w:rFonts w:asciiTheme="majorBidi" w:hAnsiTheme="majorBidi" w:cstheme="majorBidi"/>
          <w:color w:val="000000"/>
        </w:rPr>
        <w:t xml:space="preserve">(C) </w:t>
      </w:r>
      <w:r w:rsidRPr="000E1C62">
        <w:rPr>
          <w:rFonts w:asciiTheme="majorBidi" w:hAnsiTheme="majorBidi" w:cstheme="majorBidi"/>
          <w:color w:val="000000"/>
        </w:rPr>
        <w:t xml:space="preserve">fetuin-A, </w:t>
      </w:r>
      <w:r w:rsidR="009F2CCE" w:rsidRPr="000E1C62">
        <w:rPr>
          <w:rFonts w:asciiTheme="majorBidi" w:hAnsiTheme="majorBidi" w:cstheme="majorBidi"/>
          <w:color w:val="000000"/>
        </w:rPr>
        <w:t xml:space="preserve">(D) </w:t>
      </w:r>
      <w:r w:rsidRPr="000E1C62">
        <w:rPr>
          <w:rFonts w:asciiTheme="majorBidi" w:hAnsiTheme="majorBidi" w:cstheme="majorBidi"/>
          <w:color w:val="000000"/>
        </w:rPr>
        <w:t xml:space="preserve">fetuin-B and </w:t>
      </w:r>
      <w:r w:rsidR="009F2CCE" w:rsidRPr="000E1C62">
        <w:rPr>
          <w:rFonts w:asciiTheme="majorBidi" w:hAnsiTheme="majorBidi" w:cstheme="majorBidi"/>
          <w:color w:val="000000"/>
        </w:rPr>
        <w:t xml:space="preserve">(E) </w:t>
      </w:r>
      <w:proofErr w:type="spellStart"/>
      <w:r w:rsidRPr="000E1C62">
        <w:rPr>
          <w:rFonts w:asciiTheme="majorBidi" w:hAnsiTheme="majorBidi" w:cstheme="majorBidi"/>
          <w:color w:val="000000"/>
        </w:rPr>
        <w:t>selenoprotein</w:t>
      </w:r>
      <w:proofErr w:type="spellEnd"/>
      <w:r w:rsidR="009459E8" w:rsidRPr="000E1C62">
        <w:rPr>
          <w:rFonts w:asciiTheme="majorBidi" w:hAnsiTheme="majorBidi" w:cstheme="majorBidi"/>
          <w:color w:val="000000"/>
        </w:rPr>
        <w:t xml:space="preserve"> </w:t>
      </w:r>
      <w:r w:rsidRPr="000E1C62">
        <w:rPr>
          <w:rFonts w:asciiTheme="majorBidi" w:hAnsiTheme="majorBidi" w:cstheme="majorBidi"/>
          <w:color w:val="000000"/>
        </w:rPr>
        <w:t>P (SeP) during the seven-day control</w:t>
      </w:r>
      <w:r w:rsidR="00827676" w:rsidRPr="000E1C62">
        <w:rPr>
          <w:rFonts w:asciiTheme="majorBidi" w:hAnsiTheme="majorBidi" w:cstheme="majorBidi"/>
          <w:color w:val="000000"/>
        </w:rPr>
        <w:t xml:space="preserve"> diet</w:t>
      </w:r>
      <w:r w:rsidRPr="000E1C62">
        <w:rPr>
          <w:rFonts w:asciiTheme="majorBidi" w:hAnsiTheme="majorBidi" w:cstheme="majorBidi"/>
        </w:rPr>
        <w:t xml:space="preserve"> and hyper-energetic, high-fat </w:t>
      </w:r>
      <w:r w:rsidR="00827676" w:rsidRPr="000E1C62">
        <w:rPr>
          <w:rFonts w:asciiTheme="majorBidi" w:hAnsiTheme="majorBidi" w:cstheme="majorBidi"/>
        </w:rPr>
        <w:t xml:space="preserve">diet </w:t>
      </w:r>
      <w:r w:rsidR="002E5DC8" w:rsidRPr="000E1C62">
        <w:rPr>
          <w:rFonts w:asciiTheme="majorBidi" w:hAnsiTheme="majorBidi" w:cstheme="majorBidi"/>
        </w:rPr>
        <w:t>(HE-HFD)</w:t>
      </w:r>
      <w:r w:rsidRPr="000E1C62">
        <w:rPr>
          <w:rFonts w:asciiTheme="majorBidi" w:hAnsiTheme="majorBidi" w:cstheme="majorBidi"/>
        </w:rPr>
        <w:t>. Data are presented as means ± SEM</w:t>
      </w:r>
      <w:r w:rsidR="00FD6A55" w:rsidRPr="000E1C62">
        <w:rPr>
          <w:rFonts w:asciiTheme="majorBidi" w:hAnsiTheme="majorBidi" w:cstheme="majorBidi"/>
        </w:rPr>
        <w:t xml:space="preserve">, </w:t>
      </w:r>
      <w:r w:rsidRPr="000E1C62">
        <w:rPr>
          <w:rFonts w:asciiTheme="majorBidi" w:hAnsiTheme="majorBidi" w:cstheme="majorBidi"/>
          <w:bCs/>
          <w:i/>
        </w:rPr>
        <w:t>n</w:t>
      </w:r>
      <w:r w:rsidRPr="000E1C62">
        <w:rPr>
          <w:rFonts w:asciiTheme="majorBidi" w:hAnsiTheme="majorBidi" w:cstheme="majorBidi"/>
          <w:bCs/>
        </w:rPr>
        <w:t xml:space="preserve"> = 12</w:t>
      </w:r>
      <w:r w:rsidR="00B14102" w:rsidRPr="000E1C62">
        <w:rPr>
          <w:rFonts w:asciiTheme="majorBidi" w:hAnsiTheme="majorBidi" w:cstheme="majorBidi"/>
          <w:bCs/>
        </w:rPr>
        <w:t xml:space="preserve"> healthy men</w:t>
      </w:r>
      <w:r w:rsidRPr="000E1C62">
        <w:rPr>
          <w:rFonts w:asciiTheme="majorBidi" w:hAnsiTheme="majorBidi" w:cstheme="majorBidi"/>
          <w:b/>
          <w:color w:val="000000"/>
        </w:rPr>
        <w:t>.</w:t>
      </w:r>
    </w:p>
    <w:p w14:paraId="76B12223" w14:textId="5B65673E" w:rsidR="00DF2F7B" w:rsidRPr="000E1C62" w:rsidRDefault="00E11F73" w:rsidP="00DC14C1">
      <w:pPr>
        <w:spacing w:before="120" w:line="480" w:lineRule="auto"/>
        <w:rPr>
          <w:rFonts w:asciiTheme="majorBidi" w:hAnsiTheme="majorBidi" w:cstheme="majorBidi"/>
        </w:rPr>
      </w:pPr>
      <w:r w:rsidRPr="000E1C62">
        <w:rPr>
          <w:rFonts w:asciiTheme="majorBidi" w:hAnsiTheme="majorBidi" w:cstheme="majorBidi"/>
        </w:rPr>
        <w:t>*Significantly different from control diet at the same time point</w:t>
      </w:r>
      <w:r w:rsidR="00BA2B72" w:rsidRPr="000E1C62">
        <w:rPr>
          <w:rFonts w:asciiTheme="majorBidi" w:hAnsiTheme="majorBidi" w:cstheme="majorBidi"/>
        </w:rPr>
        <w:t xml:space="preserve">, </w:t>
      </w:r>
      <w:r w:rsidRPr="000E1C62">
        <w:rPr>
          <w:rFonts w:asciiTheme="majorBidi" w:hAnsiTheme="majorBidi" w:cstheme="majorBidi"/>
          <w:i/>
        </w:rPr>
        <w:t>P</w:t>
      </w:r>
      <w:r w:rsidRPr="000E1C62">
        <w:rPr>
          <w:rFonts w:asciiTheme="majorBidi" w:hAnsiTheme="majorBidi" w:cstheme="majorBidi"/>
        </w:rPr>
        <w:t xml:space="preserve"> &lt; 0.05.</w:t>
      </w:r>
    </w:p>
    <w:p w14:paraId="0D5FBDD8" w14:textId="172855A6" w:rsidR="00717BAE" w:rsidRPr="000E1C62" w:rsidRDefault="00717BAE" w:rsidP="00717BAE">
      <w:pPr>
        <w:spacing w:before="120" w:line="480" w:lineRule="auto"/>
        <w:rPr>
          <w:rFonts w:asciiTheme="majorBidi" w:hAnsiTheme="majorBidi" w:cstheme="majorBidi"/>
        </w:rPr>
      </w:pPr>
      <w:r w:rsidRPr="000E1C62">
        <w:rPr>
          <w:rFonts w:asciiTheme="majorBidi" w:hAnsiTheme="majorBidi" w:cstheme="majorBidi"/>
        </w:rPr>
        <w:t>**Significantly different from control diet at the same time point</w:t>
      </w:r>
      <w:r w:rsidR="00BA2B72" w:rsidRPr="000E1C62">
        <w:rPr>
          <w:rFonts w:asciiTheme="majorBidi" w:hAnsiTheme="majorBidi" w:cstheme="majorBidi"/>
        </w:rPr>
        <w:t xml:space="preserve">, </w:t>
      </w:r>
      <w:r w:rsidRPr="000E1C62">
        <w:rPr>
          <w:rFonts w:asciiTheme="majorBidi" w:hAnsiTheme="majorBidi" w:cstheme="majorBidi"/>
          <w:i/>
        </w:rPr>
        <w:t>P</w:t>
      </w:r>
      <w:r w:rsidRPr="000E1C62">
        <w:rPr>
          <w:rFonts w:asciiTheme="majorBidi" w:hAnsiTheme="majorBidi" w:cstheme="majorBidi"/>
        </w:rPr>
        <w:t xml:space="preserve"> &lt; 0.01.</w:t>
      </w:r>
    </w:p>
    <w:p w14:paraId="2D02B819" w14:textId="6914FA0C" w:rsidR="00717BAE" w:rsidRPr="000E1C62" w:rsidRDefault="00717BAE" w:rsidP="00717BAE">
      <w:pPr>
        <w:spacing w:before="120" w:line="480" w:lineRule="auto"/>
        <w:rPr>
          <w:rFonts w:asciiTheme="majorBidi" w:hAnsiTheme="majorBidi" w:cstheme="majorBidi"/>
        </w:rPr>
      </w:pPr>
      <w:r w:rsidRPr="000E1C62">
        <w:rPr>
          <w:rFonts w:asciiTheme="majorBidi" w:hAnsiTheme="majorBidi" w:cstheme="majorBidi"/>
        </w:rPr>
        <w:t>***Significantly different from control diet at the same time point</w:t>
      </w:r>
      <w:r w:rsidR="00BA2B72" w:rsidRPr="000E1C62">
        <w:rPr>
          <w:rFonts w:asciiTheme="majorBidi" w:hAnsiTheme="majorBidi" w:cstheme="majorBidi"/>
        </w:rPr>
        <w:t xml:space="preserve">, </w:t>
      </w:r>
      <w:r w:rsidRPr="000E1C62">
        <w:rPr>
          <w:rFonts w:asciiTheme="majorBidi" w:hAnsiTheme="majorBidi" w:cstheme="majorBidi"/>
          <w:i/>
        </w:rPr>
        <w:t>P</w:t>
      </w:r>
      <w:r w:rsidRPr="000E1C62">
        <w:rPr>
          <w:rFonts w:asciiTheme="majorBidi" w:hAnsiTheme="majorBidi" w:cstheme="majorBidi"/>
        </w:rPr>
        <w:t xml:space="preserve"> &lt; 0.001.</w:t>
      </w:r>
    </w:p>
    <w:p w14:paraId="29640ABD" w14:textId="77777777" w:rsidR="006410E9" w:rsidRPr="000E1C62" w:rsidRDefault="006410E9" w:rsidP="00DC14C1">
      <w:pPr>
        <w:spacing w:before="120" w:line="480" w:lineRule="auto"/>
        <w:rPr>
          <w:rFonts w:asciiTheme="majorBidi" w:hAnsiTheme="majorBidi" w:cstheme="majorBidi"/>
        </w:rPr>
      </w:pPr>
    </w:p>
    <w:p w14:paraId="09D7EC76" w14:textId="20A0E060" w:rsidR="00070778" w:rsidRDefault="00537ADB" w:rsidP="00DC14C1">
      <w:pPr>
        <w:tabs>
          <w:tab w:val="left" w:pos="0"/>
          <w:tab w:val="center" w:pos="4513"/>
        </w:tabs>
        <w:spacing w:before="240" w:after="0" w:line="480" w:lineRule="auto"/>
        <w:rPr>
          <w:rFonts w:asciiTheme="majorBidi" w:hAnsiTheme="majorBidi" w:cstheme="majorBidi"/>
          <w:b/>
          <w:color w:val="000000"/>
        </w:rPr>
      </w:pPr>
      <w:r w:rsidRPr="000E1C62">
        <w:rPr>
          <w:rFonts w:asciiTheme="majorBidi" w:hAnsiTheme="majorBidi" w:cstheme="majorBidi"/>
          <w:b/>
          <w:color w:val="000000"/>
        </w:rPr>
        <w:t xml:space="preserve">Figure </w:t>
      </w:r>
      <w:r w:rsidR="00FB2072" w:rsidRPr="000E1C62">
        <w:rPr>
          <w:rFonts w:asciiTheme="majorBidi" w:hAnsiTheme="majorBidi" w:cstheme="majorBidi"/>
          <w:b/>
          <w:color w:val="000000"/>
        </w:rPr>
        <w:t>3</w:t>
      </w:r>
      <w:r w:rsidRPr="000E1C62">
        <w:rPr>
          <w:rFonts w:asciiTheme="majorBidi" w:hAnsiTheme="majorBidi" w:cstheme="majorBidi"/>
          <w:b/>
          <w:color w:val="000000"/>
        </w:rPr>
        <w:t xml:space="preserve">. </w:t>
      </w:r>
      <w:r w:rsidR="007B47BC" w:rsidRPr="000E1C62">
        <w:rPr>
          <w:rFonts w:asciiTheme="majorBidi" w:hAnsiTheme="majorBidi" w:cstheme="majorBidi"/>
          <w:color w:val="000000"/>
        </w:rPr>
        <w:t xml:space="preserve">Plasma </w:t>
      </w:r>
      <w:r w:rsidR="00533FE2" w:rsidRPr="000E1C62">
        <w:rPr>
          <w:rFonts w:asciiTheme="majorBidi" w:hAnsiTheme="majorBidi" w:cstheme="majorBidi"/>
          <w:color w:val="000000"/>
        </w:rPr>
        <w:t xml:space="preserve">(A) </w:t>
      </w:r>
      <w:r w:rsidR="007B47BC" w:rsidRPr="000E1C62">
        <w:rPr>
          <w:rFonts w:asciiTheme="majorBidi" w:hAnsiTheme="majorBidi" w:cstheme="majorBidi"/>
          <w:color w:val="000000"/>
        </w:rPr>
        <w:t>g</w:t>
      </w:r>
      <w:r w:rsidRPr="000E1C62">
        <w:rPr>
          <w:rFonts w:asciiTheme="majorBidi" w:hAnsiTheme="majorBidi" w:cstheme="majorBidi"/>
          <w:color w:val="000000"/>
        </w:rPr>
        <w:t>lucose</w:t>
      </w:r>
      <w:r w:rsidR="002168A3" w:rsidRPr="000E1C62">
        <w:rPr>
          <w:rFonts w:asciiTheme="majorBidi" w:hAnsiTheme="majorBidi" w:cstheme="majorBidi"/>
          <w:color w:val="000000"/>
        </w:rPr>
        <w:t xml:space="preserve"> and</w:t>
      </w:r>
      <w:r w:rsidRPr="000E1C62">
        <w:rPr>
          <w:rFonts w:asciiTheme="majorBidi" w:hAnsiTheme="majorBidi" w:cstheme="majorBidi"/>
          <w:color w:val="000000"/>
        </w:rPr>
        <w:t xml:space="preserve"> </w:t>
      </w:r>
      <w:r w:rsidR="00533FE2" w:rsidRPr="000E1C62">
        <w:rPr>
          <w:rFonts w:asciiTheme="majorBidi" w:hAnsiTheme="majorBidi" w:cstheme="majorBidi"/>
          <w:color w:val="000000"/>
        </w:rPr>
        <w:t xml:space="preserve">(B) </w:t>
      </w:r>
      <w:r w:rsidR="00BF7068" w:rsidRPr="000E1C62">
        <w:rPr>
          <w:rFonts w:asciiTheme="majorBidi" w:hAnsiTheme="majorBidi" w:cstheme="majorBidi"/>
          <w:color w:val="000000"/>
        </w:rPr>
        <w:t>i</w:t>
      </w:r>
      <w:r w:rsidRPr="000E1C62">
        <w:rPr>
          <w:rFonts w:asciiTheme="majorBidi" w:hAnsiTheme="majorBidi" w:cstheme="majorBidi"/>
          <w:color w:val="000000"/>
        </w:rPr>
        <w:t>nsulin area under the curve</w:t>
      </w:r>
      <w:r w:rsidR="00EB63A1" w:rsidRPr="000E1C62">
        <w:rPr>
          <w:rFonts w:asciiTheme="majorBidi" w:hAnsiTheme="majorBidi" w:cstheme="majorBidi"/>
          <w:color w:val="000000"/>
        </w:rPr>
        <w:t>;</w:t>
      </w:r>
      <w:r w:rsidRPr="000E1C62">
        <w:rPr>
          <w:rFonts w:asciiTheme="majorBidi" w:hAnsiTheme="majorBidi" w:cstheme="majorBidi"/>
          <w:color w:val="000000"/>
        </w:rPr>
        <w:t xml:space="preserve"> and </w:t>
      </w:r>
      <w:r w:rsidR="00533FE2" w:rsidRPr="000E1C62">
        <w:rPr>
          <w:rFonts w:asciiTheme="majorBidi" w:hAnsiTheme="majorBidi" w:cstheme="majorBidi"/>
          <w:color w:val="000000"/>
        </w:rPr>
        <w:t xml:space="preserve">(C) </w:t>
      </w:r>
      <w:r w:rsidRPr="000E1C62">
        <w:rPr>
          <w:rFonts w:asciiTheme="majorBidi" w:hAnsiTheme="majorBidi" w:cstheme="majorBidi"/>
          <w:color w:val="000000"/>
        </w:rPr>
        <w:t>the Matsuda Insulin Sensitivity Index</w:t>
      </w:r>
      <w:r w:rsidR="0086097A" w:rsidRPr="000E1C62">
        <w:rPr>
          <w:rFonts w:asciiTheme="majorBidi" w:hAnsiTheme="majorBidi" w:cstheme="majorBidi"/>
          <w:color w:val="000000"/>
        </w:rPr>
        <w:t xml:space="preserve"> calculated during an oral glucose tolerance test</w:t>
      </w:r>
      <w:r w:rsidRPr="000E1C62">
        <w:rPr>
          <w:rFonts w:asciiTheme="majorBidi" w:hAnsiTheme="majorBidi" w:cstheme="majorBidi"/>
          <w:color w:val="000000"/>
        </w:rPr>
        <w:t xml:space="preserve"> </w:t>
      </w:r>
      <w:r w:rsidR="001055FD" w:rsidRPr="000E1C62">
        <w:rPr>
          <w:rFonts w:asciiTheme="majorBidi" w:hAnsiTheme="majorBidi" w:cstheme="majorBidi"/>
          <w:color w:val="000000"/>
        </w:rPr>
        <w:t>before</w:t>
      </w:r>
      <w:r w:rsidR="005D4C80" w:rsidRPr="000E1C62">
        <w:rPr>
          <w:rFonts w:asciiTheme="majorBidi" w:hAnsiTheme="majorBidi" w:cstheme="majorBidi"/>
          <w:color w:val="000000"/>
        </w:rPr>
        <w:t xml:space="preserve"> (</w:t>
      </w:r>
      <w:r w:rsidR="00827676" w:rsidRPr="000E1C62">
        <w:rPr>
          <w:rFonts w:asciiTheme="majorBidi" w:hAnsiTheme="majorBidi" w:cstheme="majorBidi"/>
          <w:color w:val="000000"/>
        </w:rPr>
        <w:t>pre-diet</w:t>
      </w:r>
      <w:r w:rsidR="005D4C80" w:rsidRPr="000E1C62">
        <w:rPr>
          <w:rFonts w:asciiTheme="majorBidi" w:hAnsiTheme="majorBidi" w:cstheme="majorBidi"/>
          <w:color w:val="000000"/>
        </w:rPr>
        <w:t>)</w:t>
      </w:r>
      <w:r w:rsidRPr="000E1C62">
        <w:rPr>
          <w:rFonts w:asciiTheme="majorBidi" w:hAnsiTheme="majorBidi" w:cstheme="majorBidi"/>
          <w:color w:val="000000"/>
        </w:rPr>
        <w:t xml:space="preserve"> and after </w:t>
      </w:r>
      <w:r w:rsidR="005D4C80" w:rsidRPr="000E1C62">
        <w:rPr>
          <w:rFonts w:asciiTheme="majorBidi" w:hAnsiTheme="majorBidi" w:cstheme="majorBidi"/>
          <w:color w:val="000000"/>
        </w:rPr>
        <w:t>(</w:t>
      </w:r>
      <w:r w:rsidR="00827676" w:rsidRPr="000E1C62">
        <w:rPr>
          <w:rFonts w:asciiTheme="majorBidi" w:hAnsiTheme="majorBidi" w:cstheme="majorBidi"/>
          <w:color w:val="000000"/>
        </w:rPr>
        <w:t>post-diet</w:t>
      </w:r>
      <w:r w:rsidR="00B96369" w:rsidRPr="000E1C62">
        <w:rPr>
          <w:rFonts w:asciiTheme="majorBidi" w:hAnsiTheme="majorBidi" w:cstheme="majorBidi"/>
          <w:color w:val="000000"/>
        </w:rPr>
        <w:t xml:space="preserve">) </w:t>
      </w:r>
      <w:r w:rsidRPr="000E1C62">
        <w:rPr>
          <w:rFonts w:asciiTheme="majorBidi" w:hAnsiTheme="majorBidi" w:cstheme="majorBidi"/>
          <w:color w:val="000000"/>
        </w:rPr>
        <w:t xml:space="preserve">seven days </w:t>
      </w:r>
      <w:r w:rsidR="005116D0" w:rsidRPr="000E1C62">
        <w:rPr>
          <w:rFonts w:asciiTheme="majorBidi" w:hAnsiTheme="majorBidi" w:cstheme="majorBidi"/>
          <w:color w:val="000000"/>
        </w:rPr>
        <w:t>of</w:t>
      </w:r>
      <w:r w:rsidRPr="000E1C62">
        <w:rPr>
          <w:rFonts w:asciiTheme="majorBidi" w:hAnsiTheme="majorBidi" w:cstheme="majorBidi"/>
          <w:color w:val="000000"/>
        </w:rPr>
        <w:t xml:space="preserve"> the control</w:t>
      </w:r>
      <w:r w:rsidR="00657859" w:rsidRPr="000E1C62">
        <w:rPr>
          <w:rFonts w:asciiTheme="majorBidi" w:hAnsiTheme="majorBidi" w:cstheme="majorBidi"/>
          <w:color w:val="000000"/>
        </w:rPr>
        <w:t xml:space="preserve"> </w:t>
      </w:r>
      <w:r w:rsidR="00CE5638" w:rsidRPr="000E1C62">
        <w:rPr>
          <w:rFonts w:asciiTheme="majorBidi" w:hAnsiTheme="majorBidi" w:cstheme="majorBidi"/>
          <w:color w:val="000000"/>
        </w:rPr>
        <w:t xml:space="preserve">diet </w:t>
      </w:r>
      <w:r w:rsidRPr="000E1C62">
        <w:rPr>
          <w:rFonts w:asciiTheme="majorBidi" w:hAnsiTheme="majorBidi" w:cstheme="majorBidi"/>
          <w:color w:val="000000"/>
        </w:rPr>
        <w:t>and hyper-energetic, high</w:t>
      </w:r>
      <w:r w:rsidR="00F41881" w:rsidRPr="000E1C62">
        <w:rPr>
          <w:rFonts w:asciiTheme="majorBidi" w:hAnsiTheme="majorBidi" w:cstheme="majorBidi"/>
          <w:color w:val="000000"/>
        </w:rPr>
        <w:t>-</w:t>
      </w:r>
      <w:r w:rsidRPr="000E1C62">
        <w:rPr>
          <w:rFonts w:asciiTheme="majorBidi" w:hAnsiTheme="majorBidi" w:cstheme="majorBidi"/>
          <w:color w:val="000000"/>
        </w:rPr>
        <w:t>fat diet</w:t>
      </w:r>
      <w:r w:rsidR="00657859" w:rsidRPr="000E1C62">
        <w:rPr>
          <w:rFonts w:asciiTheme="majorBidi" w:hAnsiTheme="majorBidi" w:cstheme="majorBidi"/>
          <w:color w:val="000000"/>
        </w:rPr>
        <w:t xml:space="preserve"> (HE-HFD)</w:t>
      </w:r>
      <w:r w:rsidRPr="000E1C62">
        <w:rPr>
          <w:rFonts w:asciiTheme="majorBidi" w:hAnsiTheme="majorBidi" w:cstheme="majorBidi"/>
          <w:color w:val="000000"/>
        </w:rPr>
        <w:t xml:space="preserve">. </w:t>
      </w:r>
      <w:r w:rsidRPr="000E1C62">
        <w:rPr>
          <w:rFonts w:asciiTheme="majorBidi" w:hAnsiTheme="majorBidi" w:cstheme="majorBidi"/>
        </w:rPr>
        <w:t>Data are presented as means ± SEM</w:t>
      </w:r>
      <w:r w:rsidR="00FD6A55" w:rsidRPr="000E1C62">
        <w:rPr>
          <w:rFonts w:asciiTheme="majorBidi" w:hAnsiTheme="majorBidi" w:cstheme="majorBidi"/>
        </w:rPr>
        <w:t xml:space="preserve"> or</w:t>
      </w:r>
      <w:r w:rsidR="00613513" w:rsidRPr="000E1C62">
        <w:rPr>
          <w:rFonts w:asciiTheme="majorBidi" w:hAnsiTheme="majorBidi" w:cstheme="majorBidi"/>
          <w:b/>
          <w:color w:val="000000"/>
        </w:rPr>
        <w:t xml:space="preserve"> </w:t>
      </w:r>
      <w:r w:rsidR="00FD6A55" w:rsidRPr="000E1C62">
        <w:rPr>
          <w:rFonts w:asciiTheme="majorBidi" w:hAnsiTheme="majorBidi" w:cstheme="majorBidi"/>
          <w:color w:val="000000"/>
        </w:rPr>
        <w:t>medians (IQR)</w:t>
      </w:r>
      <w:r w:rsidR="00EB3067" w:rsidRPr="000E1C62">
        <w:rPr>
          <w:rFonts w:asciiTheme="majorBidi" w:hAnsiTheme="majorBidi" w:cstheme="majorBidi"/>
          <w:color w:val="000000"/>
        </w:rPr>
        <w:t xml:space="preserve">, </w:t>
      </w:r>
      <w:r w:rsidR="001B1161" w:rsidRPr="000E1C62">
        <w:rPr>
          <w:rFonts w:asciiTheme="majorBidi" w:hAnsiTheme="majorBidi" w:cstheme="majorBidi"/>
          <w:bCs/>
          <w:i/>
        </w:rPr>
        <w:t>n</w:t>
      </w:r>
      <w:r w:rsidR="001B1161" w:rsidRPr="000E1C62">
        <w:rPr>
          <w:rFonts w:asciiTheme="majorBidi" w:hAnsiTheme="majorBidi" w:cstheme="majorBidi"/>
          <w:bCs/>
        </w:rPr>
        <w:t xml:space="preserve"> = 12</w:t>
      </w:r>
      <w:r w:rsidR="00B14102" w:rsidRPr="000E1C62">
        <w:rPr>
          <w:rFonts w:asciiTheme="majorBidi" w:hAnsiTheme="majorBidi" w:cstheme="majorBidi"/>
          <w:bCs/>
        </w:rPr>
        <w:t xml:space="preserve"> healthy men</w:t>
      </w:r>
      <w:r w:rsidR="00613513" w:rsidRPr="000E1C62">
        <w:rPr>
          <w:rFonts w:asciiTheme="majorBidi" w:hAnsiTheme="majorBidi" w:cstheme="majorBidi"/>
          <w:color w:val="000000"/>
        </w:rPr>
        <w:t>.</w:t>
      </w:r>
      <w:r w:rsidR="009C46F6">
        <w:rPr>
          <w:rFonts w:asciiTheme="majorBidi" w:hAnsiTheme="majorBidi" w:cstheme="majorBidi"/>
          <w:b/>
          <w:color w:val="000000"/>
        </w:rPr>
        <w:t xml:space="preserve"> </w:t>
      </w:r>
    </w:p>
    <w:p w14:paraId="7A483748" w14:textId="6AD21E07" w:rsidR="00070778" w:rsidRDefault="00A459AB" w:rsidP="00DC14C1">
      <w:pPr>
        <w:tabs>
          <w:tab w:val="left" w:pos="0"/>
          <w:tab w:val="center" w:pos="4513"/>
        </w:tabs>
        <w:spacing w:before="240" w:after="0" w:line="480" w:lineRule="auto"/>
        <w:rPr>
          <w:rFonts w:asciiTheme="majorBidi" w:hAnsiTheme="majorBidi" w:cstheme="majorBidi"/>
          <w:color w:val="000000"/>
        </w:rPr>
      </w:pPr>
      <w:proofErr w:type="spellStart"/>
      <w:r>
        <w:rPr>
          <w:rFonts w:asciiTheme="majorBidi" w:hAnsiTheme="majorBidi" w:cstheme="majorBidi"/>
          <w:i/>
          <w:color w:val="000000"/>
          <w:vertAlign w:val="superscript"/>
        </w:rPr>
        <w:t>a</w:t>
      </w:r>
      <w:r w:rsidR="009C46F6">
        <w:rPr>
          <w:rFonts w:asciiTheme="majorBidi" w:hAnsiTheme="majorBidi" w:cstheme="majorBidi"/>
          <w:color w:val="000000"/>
        </w:rPr>
        <w:t>Matsuda</w:t>
      </w:r>
      <w:proofErr w:type="spellEnd"/>
      <w:r w:rsidR="009C46F6">
        <w:rPr>
          <w:rFonts w:asciiTheme="majorBidi" w:hAnsiTheme="majorBidi" w:cstheme="majorBidi"/>
          <w:color w:val="000000"/>
        </w:rPr>
        <w:t xml:space="preserve"> Insulin Sensitivity Index </w:t>
      </w:r>
      <w:r w:rsidR="00BF71E1">
        <w:rPr>
          <w:rFonts w:asciiTheme="majorBidi" w:hAnsiTheme="majorBidi" w:cstheme="majorBidi"/>
          <w:color w:val="000000"/>
        </w:rPr>
        <w:t>data were log transformed prior to an</w:t>
      </w:r>
      <w:r w:rsidR="00BC61DD">
        <w:rPr>
          <w:rFonts w:asciiTheme="majorBidi" w:hAnsiTheme="majorBidi" w:cstheme="majorBidi"/>
          <w:color w:val="000000"/>
        </w:rPr>
        <w:t>alysis and therefore presented as median</w:t>
      </w:r>
      <w:r w:rsidR="00D17350">
        <w:rPr>
          <w:rFonts w:asciiTheme="majorBidi" w:hAnsiTheme="majorBidi" w:cstheme="majorBidi"/>
          <w:color w:val="000000"/>
        </w:rPr>
        <w:t>s</w:t>
      </w:r>
      <w:r w:rsidR="00BC61DD">
        <w:rPr>
          <w:rFonts w:asciiTheme="majorBidi" w:hAnsiTheme="majorBidi" w:cstheme="majorBidi"/>
          <w:color w:val="000000"/>
        </w:rPr>
        <w:t xml:space="preserve"> (IQR)</w:t>
      </w:r>
      <w:r w:rsidR="0059479C">
        <w:rPr>
          <w:rFonts w:asciiTheme="majorBidi" w:hAnsiTheme="majorBidi" w:cstheme="majorBidi"/>
          <w:color w:val="000000"/>
        </w:rPr>
        <w:t>.</w:t>
      </w:r>
    </w:p>
    <w:p w14:paraId="37041868" w14:textId="1B5F4F3E" w:rsidR="00DD544E" w:rsidRDefault="00070778" w:rsidP="00DC14C1">
      <w:pPr>
        <w:tabs>
          <w:tab w:val="left" w:pos="0"/>
          <w:tab w:val="center" w:pos="4513"/>
        </w:tabs>
        <w:spacing w:before="240" w:after="0" w:line="480" w:lineRule="auto"/>
        <w:rPr>
          <w:rFonts w:asciiTheme="majorBidi" w:hAnsiTheme="majorBidi" w:cstheme="majorBidi"/>
          <w:b/>
          <w:color w:val="000000"/>
        </w:rPr>
      </w:pPr>
      <w:r w:rsidRPr="000E1C62">
        <w:rPr>
          <w:rFonts w:asciiTheme="majorBidi" w:hAnsiTheme="majorBidi" w:cstheme="majorBidi"/>
        </w:rPr>
        <w:lastRenderedPageBreak/>
        <w:t>*Significantly different from control diet at the same time point</w:t>
      </w:r>
      <w:r w:rsidR="006D5D10" w:rsidRPr="000E1C62">
        <w:rPr>
          <w:rFonts w:asciiTheme="majorBidi" w:hAnsiTheme="majorBidi" w:cstheme="majorBidi"/>
        </w:rPr>
        <w:t xml:space="preserve">, </w:t>
      </w:r>
      <w:r w:rsidRPr="000E1C62">
        <w:rPr>
          <w:rFonts w:asciiTheme="majorBidi" w:hAnsiTheme="majorBidi" w:cstheme="majorBidi"/>
          <w:i/>
        </w:rPr>
        <w:t>P</w:t>
      </w:r>
      <w:r w:rsidRPr="000E1C62">
        <w:rPr>
          <w:rFonts w:asciiTheme="majorBidi" w:hAnsiTheme="majorBidi" w:cstheme="majorBidi"/>
        </w:rPr>
        <w:t xml:space="preserve"> &lt; 0.05.</w:t>
      </w:r>
    </w:p>
    <w:sectPr w:rsidR="00DD544E" w:rsidSect="005D7F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F2C5" w14:textId="77777777" w:rsidR="006E49AD" w:rsidRDefault="006E49AD" w:rsidP="00C61246">
      <w:pPr>
        <w:spacing w:after="0" w:line="240" w:lineRule="auto"/>
      </w:pPr>
      <w:r>
        <w:separator/>
      </w:r>
    </w:p>
  </w:endnote>
  <w:endnote w:type="continuationSeparator" w:id="0">
    <w:p w14:paraId="0F47B66E" w14:textId="77777777" w:rsidR="006E49AD" w:rsidRDefault="006E49AD" w:rsidP="00C61246">
      <w:pPr>
        <w:spacing w:after="0" w:line="240" w:lineRule="auto"/>
      </w:pPr>
      <w:r>
        <w:continuationSeparator/>
      </w:r>
    </w:p>
  </w:endnote>
  <w:endnote w:type="continuationNotice" w:id="1">
    <w:p w14:paraId="06DBB6A7" w14:textId="77777777" w:rsidR="006E49AD" w:rsidRDefault="006E4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6142" w14:textId="5FAA2C80" w:rsidR="00176381" w:rsidRDefault="00176381">
    <w:pPr>
      <w:pStyle w:val="Footer"/>
    </w:pPr>
  </w:p>
  <w:p w14:paraId="1308DE10" w14:textId="77777777" w:rsidR="00176381" w:rsidRDefault="0017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CF450" w14:textId="77777777" w:rsidR="006E49AD" w:rsidRDefault="006E49AD" w:rsidP="00C61246">
      <w:pPr>
        <w:spacing w:after="0" w:line="240" w:lineRule="auto"/>
      </w:pPr>
      <w:r>
        <w:separator/>
      </w:r>
    </w:p>
  </w:footnote>
  <w:footnote w:type="continuationSeparator" w:id="0">
    <w:p w14:paraId="60401793" w14:textId="77777777" w:rsidR="006E49AD" w:rsidRDefault="006E49AD" w:rsidP="00C61246">
      <w:pPr>
        <w:spacing w:after="0" w:line="240" w:lineRule="auto"/>
      </w:pPr>
      <w:r>
        <w:continuationSeparator/>
      </w:r>
    </w:p>
  </w:footnote>
  <w:footnote w:type="continuationNotice" w:id="1">
    <w:p w14:paraId="31E4D7A5" w14:textId="77777777" w:rsidR="006E49AD" w:rsidRDefault="006E4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566810"/>
      <w:docPartObj>
        <w:docPartGallery w:val="Page Numbers (Top of Page)"/>
        <w:docPartUnique/>
      </w:docPartObj>
    </w:sdtPr>
    <w:sdtEndPr>
      <w:rPr>
        <w:rStyle w:val="PageNumber"/>
      </w:rPr>
    </w:sdtEndPr>
    <w:sdtContent>
      <w:p w14:paraId="3FCDA375" w14:textId="7F6D0BC6" w:rsidR="004C479B" w:rsidRDefault="004C479B" w:rsidP="006256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4289E" w14:textId="77777777" w:rsidR="004C479B" w:rsidRDefault="004C479B" w:rsidP="004C47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452670"/>
      <w:docPartObj>
        <w:docPartGallery w:val="Page Numbers (Top of Page)"/>
        <w:docPartUnique/>
      </w:docPartObj>
    </w:sdtPr>
    <w:sdtEndPr>
      <w:rPr>
        <w:rStyle w:val="PageNumber"/>
      </w:rPr>
    </w:sdtEndPr>
    <w:sdtContent>
      <w:p w14:paraId="40917268" w14:textId="3F3D995F" w:rsidR="004C479B" w:rsidRDefault="004C479B" w:rsidP="006256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8A66E1" w14:textId="77777777" w:rsidR="004C479B" w:rsidRDefault="004C479B" w:rsidP="004C47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C7A"/>
    <w:multiLevelType w:val="hybridMultilevel"/>
    <w:tmpl w:val="A11E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054FD"/>
    <w:multiLevelType w:val="hybridMultilevel"/>
    <w:tmpl w:val="7800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D34B7"/>
    <w:multiLevelType w:val="hybridMultilevel"/>
    <w:tmpl w:val="FEE8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64D29"/>
    <w:multiLevelType w:val="hybridMultilevel"/>
    <w:tmpl w:val="D0FA8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27AEB"/>
    <w:multiLevelType w:val="hybridMultilevel"/>
    <w:tmpl w:val="CF46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DE"/>
    <w:rsid w:val="00000032"/>
    <w:rsid w:val="00000094"/>
    <w:rsid w:val="00000367"/>
    <w:rsid w:val="000004AA"/>
    <w:rsid w:val="000008FA"/>
    <w:rsid w:val="0000131E"/>
    <w:rsid w:val="0000143E"/>
    <w:rsid w:val="00001950"/>
    <w:rsid w:val="00001FF7"/>
    <w:rsid w:val="00002641"/>
    <w:rsid w:val="00003E12"/>
    <w:rsid w:val="0000505B"/>
    <w:rsid w:val="00005E89"/>
    <w:rsid w:val="0000644A"/>
    <w:rsid w:val="0000679F"/>
    <w:rsid w:val="0000683F"/>
    <w:rsid w:val="00006AB1"/>
    <w:rsid w:val="000079EF"/>
    <w:rsid w:val="00007ED6"/>
    <w:rsid w:val="000104C6"/>
    <w:rsid w:val="000110F6"/>
    <w:rsid w:val="000114A1"/>
    <w:rsid w:val="00011561"/>
    <w:rsid w:val="00011C59"/>
    <w:rsid w:val="00011E12"/>
    <w:rsid w:val="00011EDF"/>
    <w:rsid w:val="000123BC"/>
    <w:rsid w:val="0001255D"/>
    <w:rsid w:val="00012EA6"/>
    <w:rsid w:val="00013668"/>
    <w:rsid w:val="00013953"/>
    <w:rsid w:val="00013A98"/>
    <w:rsid w:val="00013EC6"/>
    <w:rsid w:val="0001430C"/>
    <w:rsid w:val="00014A2E"/>
    <w:rsid w:val="00014E76"/>
    <w:rsid w:val="00016301"/>
    <w:rsid w:val="000165E7"/>
    <w:rsid w:val="00016F75"/>
    <w:rsid w:val="0001728F"/>
    <w:rsid w:val="00017AF1"/>
    <w:rsid w:val="0002024D"/>
    <w:rsid w:val="00020BE1"/>
    <w:rsid w:val="00021B0E"/>
    <w:rsid w:val="00022154"/>
    <w:rsid w:val="00022869"/>
    <w:rsid w:val="00023A70"/>
    <w:rsid w:val="00024415"/>
    <w:rsid w:val="00024694"/>
    <w:rsid w:val="00024737"/>
    <w:rsid w:val="00024D10"/>
    <w:rsid w:val="000256BB"/>
    <w:rsid w:val="000256F7"/>
    <w:rsid w:val="000256FD"/>
    <w:rsid w:val="0002626A"/>
    <w:rsid w:val="000262D0"/>
    <w:rsid w:val="0002653F"/>
    <w:rsid w:val="00026B9D"/>
    <w:rsid w:val="00026F06"/>
    <w:rsid w:val="00027A16"/>
    <w:rsid w:val="000305DD"/>
    <w:rsid w:val="00030BC0"/>
    <w:rsid w:val="00030DF5"/>
    <w:rsid w:val="00030FFD"/>
    <w:rsid w:val="0003188E"/>
    <w:rsid w:val="00031C12"/>
    <w:rsid w:val="0003213D"/>
    <w:rsid w:val="00032AFE"/>
    <w:rsid w:val="00032C4F"/>
    <w:rsid w:val="00033447"/>
    <w:rsid w:val="00033D22"/>
    <w:rsid w:val="00034324"/>
    <w:rsid w:val="00034460"/>
    <w:rsid w:val="00034468"/>
    <w:rsid w:val="000347CB"/>
    <w:rsid w:val="00034A83"/>
    <w:rsid w:val="00034AC2"/>
    <w:rsid w:val="0003559F"/>
    <w:rsid w:val="00035AAD"/>
    <w:rsid w:val="00035F9A"/>
    <w:rsid w:val="00036695"/>
    <w:rsid w:val="0003687F"/>
    <w:rsid w:val="00036C5C"/>
    <w:rsid w:val="00037782"/>
    <w:rsid w:val="00040136"/>
    <w:rsid w:val="0004069C"/>
    <w:rsid w:val="00041093"/>
    <w:rsid w:val="00041192"/>
    <w:rsid w:val="00041436"/>
    <w:rsid w:val="0004152B"/>
    <w:rsid w:val="0004153D"/>
    <w:rsid w:val="00041773"/>
    <w:rsid w:val="00041F86"/>
    <w:rsid w:val="0004263C"/>
    <w:rsid w:val="00042ECC"/>
    <w:rsid w:val="000437C1"/>
    <w:rsid w:val="00043F30"/>
    <w:rsid w:val="000449A6"/>
    <w:rsid w:val="00044F47"/>
    <w:rsid w:val="00045EC5"/>
    <w:rsid w:val="000466F4"/>
    <w:rsid w:val="00047865"/>
    <w:rsid w:val="00047CEF"/>
    <w:rsid w:val="0005028B"/>
    <w:rsid w:val="000505CC"/>
    <w:rsid w:val="00050878"/>
    <w:rsid w:val="000508C3"/>
    <w:rsid w:val="00051674"/>
    <w:rsid w:val="00051B72"/>
    <w:rsid w:val="00051FA5"/>
    <w:rsid w:val="00052832"/>
    <w:rsid w:val="00053092"/>
    <w:rsid w:val="00053528"/>
    <w:rsid w:val="00053535"/>
    <w:rsid w:val="00053AD7"/>
    <w:rsid w:val="00056661"/>
    <w:rsid w:val="0005670A"/>
    <w:rsid w:val="00056E1D"/>
    <w:rsid w:val="00057095"/>
    <w:rsid w:val="00057418"/>
    <w:rsid w:val="000574BD"/>
    <w:rsid w:val="00057DC7"/>
    <w:rsid w:val="00057E6A"/>
    <w:rsid w:val="000600AF"/>
    <w:rsid w:val="000601A5"/>
    <w:rsid w:val="00060B7E"/>
    <w:rsid w:val="0006119D"/>
    <w:rsid w:val="000628ED"/>
    <w:rsid w:val="00062F2D"/>
    <w:rsid w:val="00063320"/>
    <w:rsid w:val="00063325"/>
    <w:rsid w:val="00063624"/>
    <w:rsid w:val="00064CC0"/>
    <w:rsid w:val="00065E30"/>
    <w:rsid w:val="0006601A"/>
    <w:rsid w:val="00066A38"/>
    <w:rsid w:val="00067522"/>
    <w:rsid w:val="00070076"/>
    <w:rsid w:val="00070332"/>
    <w:rsid w:val="00070778"/>
    <w:rsid w:val="0007089F"/>
    <w:rsid w:val="0007120A"/>
    <w:rsid w:val="00071325"/>
    <w:rsid w:val="00071371"/>
    <w:rsid w:val="0007178B"/>
    <w:rsid w:val="00071E6B"/>
    <w:rsid w:val="000734D7"/>
    <w:rsid w:val="00073504"/>
    <w:rsid w:val="00073802"/>
    <w:rsid w:val="000742F0"/>
    <w:rsid w:val="0007561A"/>
    <w:rsid w:val="000758A8"/>
    <w:rsid w:val="00076628"/>
    <w:rsid w:val="00076C1B"/>
    <w:rsid w:val="00076ED6"/>
    <w:rsid w:val="000770B7"/>
    <w:rsid w:val="000770ED"/>
    <w:rsid w:val="000803D5"/>
    <w:rsid w:val="00080512"/>
    <w:rsid w:val="00081491"/>
    <w:rsid w:val="00081CCF"/>
    <w:rsid w:val="00082139"/>
    <w:rsid w:val="000839BC"/>
    <w:rsid w:val="00084A80"/>
    <w:rsid w:val="00085431"/>
    <w:rsid w:val="00086306"/>
    <w:rsid w:val="000865D5"/>
    <w:rsid w:val="00086A52"/>
    <w:rsid w:val="00086BA7"/>
    <w:rsid w:val="00087469"/>
    <w:rsid w:val="00091811"/>
    <w:rsid w:val="0009289B"/>
    <w:rsid w:val="000929AF"/>
    <w:rsid w:val="00092B7C"/>
    <w:rsid w:val="00093726"/>
    <w:rsid w:val="0009382C"/>
    <w:rsid w:val="000939F3"/>
    <w:rsid w:val="00093BD2"/>
    <w:rsid w:val="0009530D"/>
    <w:rsid w:val="00095B2F"/>
    <w:rsid w:val="00095D22"/>
    <w:rsid w:val="0009630C"/>
    <w:rsid w:val="00096AA2"/>
    <w:rsid w:val="00097B40"/>
    <w:rsid w:val="000A033B"/>
    <w:rsid w:val="000A0D60"/>
    <w:rsid w:val="000A1006"/>
    <w:rsid w:val="000A1434"/>
    <w:rsid w:val="000A1539"/>
    <w:rsid w:val="000A19A8"/>
    <w:rsid w:val="000A1A88"/>
    <w:rsid w:val="000A1BF1"/>
    <w:rsid w:val="000A2238"/>
    <w:rsid w:val="000A2871"/>
    <w:rsid w:val="000A303A"/>
    <w:rsid w:val="000A3359"/>
    <w:rsid w:val="000A352C"/>
    <w:rsid w:val="000A3909"/>
    <w:rsid w:val="000A39DA"/>
    <w:rsid w:val="000A44A4"/>
    <w:rsid w:val="000A6715"/>
    <w:rsid w:val="000A73BA"/>
    <w:rsid w:val="000A7776"/>
    <w:rsid w:val="000B02AF"/>
    <w:rsid w:val="000B12C9"/>
    <w:rsid w:val="000B144D"/>
    <w:rsid w:val="000B155C"/>
    <w:rsid w:val="000B1B12"/>
    <w:rsid w:val="000B2101"/>
    <w:rsid w:val="000B249D"/>
    <w:rsid w:val="000B4116"/>
    <w:rsid w:val="000B4C02"/>
    <w:rsid w:val="000B5B69"/>
    <w:rsid w:val="000B5C43"/>
    <w:rsid w:val="000B61FE"/>
    <w:rsid w:val="000B640D"/>
    <w:rsid w:val="000B692C"/>
    <w:rsid w:val="000B6A6C"/>
    <w:rsid w:val="000B6ED4"/>
    <w:rsid w:val="000B7E09"/>
    <w:rsid w:val="000C037C"/>
    <w:rsid w:val="000C2137"/>
    <w:rsid w:val="000C24B1"/>
    <w:rsid w:val="000C33BE"/>
    <w:rsid w:val="000C36A7"/>
    <w:rsid w:val="000C373E"/>
    <w:rsid w:val="000C3EC8"/>
    <w:rsid w:val="000C48EC"/>
    <w:rsid w:val="000C4A3A"/>
    <w:rsid w:val="000C4CE9"/>
    <w:rsid w:val="000C5954"/>
    <w:rsid w:val="000C5F26"/>
    <w:rsid w:val="000C65D9"/>
    <w:rsid w:val="000C77E4"/>
    <w:rsid w:val="000D0239"/>
    <w:rsid w:val="000D092B"/>
    <w:rsid w:val="000D0F37"/>
    <w:rsid w:val="000D0F96"/>
    <w:rsid w:val="000D1272"/>
    <w:rsid w:val="000D1401"/>
    <w:rsid w:val="000D1BB5"/>
    <w:rsid w:val="000D1D90"/>
    <w:rsid w:val="000D2227"/>
    <w:rsid w:val="000D2B81"/>
    <w:rsid w:val="000D3993"/>
    <w:rsid w:val="000D3FB3"/>
    <w:rsid w:val="000D4520"/>
    <w:rsid w:val="000D464B"/>
    <w:rsid w:val="000D4BDD"/>
    <w:rsid w:val="000D6E57"/>
    <w:rsid w:val="000D750F"/>
    <w:rsid w:val="000E0628"/>
    <w:rsid w:val="000E0EFF"/>
    <w:rsid w:val="000E0FB5"/>
    <w:rsid w:val="000E10BA"/>
    <w:rsid w:val="000E179A"/>
    <w:rsid w:val="000E17F8"/>
    <w:rsid w:val="000E1C62"/>
    <w:rsid w:val="000E2CA4"/>
    <w:rsid w:val="000E2D0E"/>
    <w:rsid w:val="000E4B37"/>
    <w:rsid w:val="000E507D"/>
    <w:rsid w:val="000E59B7"/>
    <w:rsid w:val="000E5E84"/>
    <w:rsid w:val="000E5F08"/>
    <w:rsid w:val="000E5F63"/>
    <w:rsid w:val="000E73D8"/>
    <w:rsid w:val="000E79FD"/>
    <w:rsid w:val="000E7E5E"/>
    <w:rsid w:val="000F014D"/>
    <w:rsid w:val="000F0680"/>
    <w:rsid w:val="000F0748"/>
    <w:rsid w:val="000F0A0D"/>
    <w:rsid w:val="000F0CD3"/>
    <w:rsid w:val="000F1071"/>
    <w:rsid w:val="000F1EF6"/>
    <w:rsid w:val="000F21E1"/>
    <w:rsid w:val="000F22DB"/>
    <w:rsid w:val="000F255F"/>
    <w:rsid w:val="000F2B46"/>
    <w:rsid w:val="000F2DE7"/>
    <w:rsid w:val="000F3367"/>
    <w:rsid w:val="000F3FEF"/>
    <w:rsid w:val="000F417D"/>
    <w:rsid w:val="000F429F"/>
    <w:rsid w:val="000F44ED"/>
    <w:rsid w:val="000F4A69"/>
    <w:rsid w:val="000F4B1E"/>
    <w:rsid w:val="000F5385"/>
    <w:rsid w:val="000F546A"/>
    <w:rsid w:val="000F55E9"/>
    <w:rsid w:val="000F6246"/>
    <w:rsid w:val="000F6476"/>
    <w:rsid w:val="000F6DB3"/>
    <w:rsid w:val="000F6E1F"/>
    <w:rsid w:val="0010014E"/>
    <w:rsid w:val="00100740"/>
    <w:rsid w:val="001011BD"/>
    <w:rsid w:val="001018BF"/>
    <w:rsid w:val="00101C44"/>
    <w:rsid w:val="0010240B"/>
    <w:rsid w:val="0010248C"/>
    <w:rsid w:val="00102587"/>
    <w:rsid w:val="001025D9"/>
    <w:rsid w:val="001026F0"/>
    <w:rsid w:val="00102B62"/>
    <w:rsid w:val="00103091"/>
    <w:rsid w:val="0010315B"/>
    <w:rsid w:val="001033C5"/>
    <w:rsid w:val="0010347F"/>
    <w:rsid w:val="00103B8B"/>
    <w:rsid w:val="00103DD6"/>
    <w:rsid w:val="00104611"/>
    <w:rsid w:val="001046D8"/>
    <w:rsid w:val="00104893"/>
    <w:rsid w:val="00104A84"/>
    <w:rsid w:val="001052AD"/>
    <w:rsid w:val="001055FD"/>
    <w:rsid w:val="00105C4E"/>
    <w:rsid w:val="00105E60"/>
    <w:rsid w:val="00105FF2"/>
    <w:rsid w:val="001062F4"/>
    <w:rsid w:val="00106641"/>
    <w:rsid w:val="0011004E"/>
    <w:rsid w:val="00110450"/>
    <w:rsid w:val="0011050B"/>
    <w:rsid w:val="00110E77"/>
    <w:rsid w:val="00110EFD"/>
    <w:rsid w:val="001110B3"/>
    <w:rsid w:val="001117FA"/>
    <w:rsid w:val="001119BA"/>
    <w:rsid w:val="0011204E"/>
    <w:rsid w:val="00112576"/>
    <w:rsid w:val="001130F6"/>
    <w:rsid w:val="001136D9"/>
    <w:rsid w:val="001142C6"/>
    <w:rsid w:val="001149F9"/>
    <w:rsid w:val="001157C0"/>
    <w:rsid w:val="0011650F"/>
    <w:rsid w:val="00116864"/>
    <w:rsid w:val="00116CBA"/>
    <w:rsid w:val="00116D5A"/>
    <w:rsid w:val="00117F62"/>
    <w:rsid w:val="00117FF1"/>
    <w:rsid w:val="00120701"/>
    <w:rsid w:val="001208BA"/>
    <w:rsid w:val="001212E0"/>
    <w:rsid w:val="001213D5"/>
    <w:rsid w:val="00121E71"/>
    <w:rsid w:val="00122597"/>
    <w:rsid w:val="00122D41"/>
    <w:rsid w:val="00123382"/>
    <w:rsid w:val="0012413C"/>
    <w:rsid w:val="001243C7"/>
    <w:rsid w:val="00124E69"/>
    <w:rsid w:val="00124F22"/>
    <w:rsid w:val="00126DDC"/>
    <w:rsid w:val="0012756E"/>
    <w:rsid w:val="00131004"/>
    <w:rsid w:val="00131A08"/>
    <w:rsid w:val="00131B20"/>
    <w:rsid w:val="00133163"/>
    <w:rsid w:val="00133562"/>
    <w:rsid w:val="00133EE1"/>
    <w:rsid w:val="00134E44"/>
    <w:rsid w:val="00135516"/>
    <w:rsid w:val="0013553A"/>
    <w:rsid w:val="00136159"/>
    <w:rsid w:val="00136771"/>
    <w:rsid w:val="00136881"/>
    <w:rsid w:val="00136A00"/>
    <w:rsid w:val="00136DCD"/>
    <w:rsid w:val="001371B2"/>
    <w:rsid w:val="00137209"/>
    <w:rsid w:val="0013771B"/>
    <w:rsid w:val="00137B13"/>
    <w:rsid w:val="00137DAE"/>
    <w:rsid w:val="0014054A"/>
    <w:rsid w:val="001413FF"/>
    <w:rsid w:val="001415E7"/>
    <w:rsid w:val="001419AA"/>
    <w:rsid w:val="00141A74"/>
    <w:rsid w:val="001422BC"/>
    <w:rsid w:val="00142B07"/>
    <w:rsid w:val="00143318"/>
    <w:rsid w:val="00143494"/>
    <w:rsid w:val="00143599"/>
    <w:rsid w:val="00143765"/>
    <w:rsid w:val="00144349"/>
    <w:rsid w:val="00144B4A"/>
    <w:rsid w:val="00144D2E"/>
    <w:rsid w:val="00144FB1"/>
    <w:rsid w:val="001458D3"/>
    <w:rsid w:val="00146147"/>
    <w:rsid w:val="001461D3"/>
    <w:rsid w:val="001469EC"/>
    <w:rsid w:val="001470CC"/>
    <w:rsid w:val="00147D50"/>
    <w:rsid w:val="00147E41"/>
    <w:rsid w:val="00150048"/>
    <w:rsid w:val="001506C2"/>
    <w:rsid w:val="001514B4"/>
    <w:rsid w:val="00151F16"/>
    <w:rsid w:val="00152C39"/>
    <w:rsid w:val="00152DA6"/>
    <w:rsid w:val="00153117"/>
    <w:rsid w:val="00153131"/>
    <w:rsid w:val="0015357B"/>
    <w:rsid w:val="00153B40"/>
    <w:rsid w:val="00153BAF"/>
    <w:rsid w:val="00154D0C"/>
    <w:rsid w:val="0015509F"/>
    <w:rsid w:val="00155892"/>
    <w:rsid w:val="00155A0B"/>
    <w:rsid w:val="0015655E"/>
    <w:rsid w:val="00156F4C"/>
    <w:rsid w:val="00157AE9"/>
    <w:rsid w:val="00160213"/>
    <w:rsid w:val="001606F6"/>
    <w:rsid w:val="00160B3F"/>
    <w:rsid w:val="00160D6A"/>
    <w:rsid w:val="00160FCA"/>
    <w:rsid w:val="001613DC"/>
    <w:rsid w:val="001616EE"/>
    <w:rsid w:val="00162054"/>
    <w:rsid w:val="00162FD4"/>
    <w:rsid w:val="001631E1"/>
    <w:rsid w:val="0016347E"/>
    <w:rsid w:val="00164D11"/>
    <w:rsid w:val="0016520B"/>
    <w:rsid w:val="0016681B"/>
    <w:rsid w:val="001669BD"/>
    <w:rsid w:val="00166B7C"/>
    <w:rsid w:val="001676A0"/>
    <w:rsid w:val="0017089E"/>
    <w:rsid w:val="00170964"/>
    <w:rsid w:val="00170B0A"/>
    <w:rsid w:val="0017131D"/>
    <w:rsid w:val="00171983"/>
    <w:rsid w:val="001722D5"/>
    <w:rsid w:val="00172F13"/>
    <w:rsid w:val="00173297"/>
    <w:rsid w:val="00173F56"/>
    <w:rsid w:val="001740F3"/>
    <w:rsid w:val="001741DD"/>
    <w:rsid w:val="00174839"/>
    <w:rsid w:val="00174ACA"/>
    <w:rsid w:val="00174C35"/>
    <w:rsid w:val="00175067"/>
    <w:rsid w:val="00175D22"/>
    <w:rsid w:val="00175E12"/>
    <w:rsid w:val="00175F5D"/>
    <w:rsid w:val="00176381"/>
    <w:rsid w:val="00177373"/>
    <w:rsid w:val="00177C0D"/>
    <w:rsid w:val="001800BF"/>
    <w:rsid w:val="00180A7F"/>
    <w:rsid w:val="001827FE"/>
    <w:rsid w:val="00183B91"/>
    <w:rsid w:val="001842BB"/>
    <w:rsid w:val="001849EC"/>
    <w:rsid w:val="00185764"/>
    <w:rsid w:val="0018599A"/>
    <w:rsid w:val="0018678F"/>
    <w:rsid w:val="001867B4"/>
    <w:rsid w:val="00190217"/>
    <w:rsid w:val="001907D5"/>
    <w:rsid w:val="0019122B"/>
    <w:rsid w:val="001913C2"/>
    <w:rsid w:val="0019147A"/>
    <w:rsid w:val="00191E84"/>
    <w:rsid w:val="00192752"/>
    <w:rsid w:val="00192B96"/>
    <w:rsid w:val="00193694"/>
    <w:rsid w:val="00194C7A"/>
    <w:rsid w:val="0019574F"/>
    <w:rsid w:val="00195ACD"/>
    <w:rsid w:val="001967CC"/>
    <w:rsid w:val="00197A7C"/>
    <w:rsid w:val="00197B4B"/>
    <w:rsid w:val="00197D9C"/>
    <w:rsid w:val="001A066B"/>
    <w:rsid w:val="001A07DD"/>
    <w:rsid w:val="001A08AE"/>
    <w:rsid w:val="001A0907"/>
    <w:rsid w:val="001A1362"/>
    <w:rsid w:val="001A16D9"/>
    <w:rsid w:val="001A1888"/>
    <w:rsid w:val="001A1AFA"/>
    <w:rsid w:val="001A211C"/>
    <w:rsid w:val="001A2F54"/>
    <w:rsid w:val="001A2FAB"/>
    <w:rsid w:val="001A30B9"/>
    <w:rsid w:val="001A4194"/>
    <w:rsid w:val="001A58F9"/>
    <w:rsid w:val="001A5B60"/>
    <w:rsid w:val="001A67C8"/>
    <w:rsid w:val="001A6ADC"/>
    <w:rsid w:val="001A7229"/>
    <w:rsid w:val="001A75D0"/>
    <w:rsid w:val="001B03F3"/>
    <w:rsid w:val="001B1161"/>
    <w:rsid w:val="001B1641"/>
    <w:rsid w:val="001B2CA9"/>
    <w:rsid w:val="001B2F1C"/>
    <w:rsid w:val="001B3F0F"/>
    <w:rsid w:val="001B4410"/>
    <w:rsid w:val="001B5318"/>
    <w:rsid w:val="001B532F"/>
    <w:rsid w:val="001B5850"/>
    <w:rsid w:val="001B5A15"/>
    <w:rsid w:val="001B5C08"/>
    <w:rsid w:val="001B6492"/>
    <w:rsid w:val="001B6E28"/>
    <w:rsid w:val="001B7BAE"/>
    <w:rsid w:val="001B7CBE"/>
    <w:rsid w:val="001C064B"/>
    <w:rsid w:val="001C07C8"/>
    <w:rsid w:val="001C0C0E"/>
    <w:rsid w:val="001C1070"/>
    <w:rsid w:val="001C1358"/>
    <w:rsid w:val="001C2002"/>
    <w:rsid w:val="001C23B4"/>
    <w:rsid w:val="001C2528"/>
    <w:rsid w:val="001C25B5"/>
    <w:rsid w:val="001C2B97"/>
    <w:rsid w:val="001C3346"/>
    <w:rsid w:val="001C4C17"/>
    <w:rsid w:val="001C52BB"/>
    <w:rsid w:val="001C5632"/>
    <w:rsid w:val="001C5969"/>
    <w:rsid w:val="001C5EC4"/>
    <w:rsid w:val="001C671B"/>
    <w:rsid w:val="001C680E"/>
    <w:rsid w:val="001C6A5C"/>
    <w:rsid w:val="001C7454"/>
    <w:rsid w:val="001C756C"/>
    <w:rsid w:val="001C761A"/>
    <w:rsid w:val="001D000A"/>
    <w:rsid w:val="001D065A"/>
    <w:rsid w:val="001D0885"/>
    <w:rsid w:val="001D1822"/>
    <w:rsid w:val="001D2032"/>
    <w:rsid w:val="001D2764"/>
    <w:rsid w:val="001D2F6C"/>
    <w:rsid w:val="001D2FE7"/>
    <w:rsid w:val="001D314A"/>
    <w:rsid w:val="001D36E7"/>
    <w:rsid w:val="001D370A"/>
    <w:rsid w:val="001D4FC8"/>
    <w:rsid w:val="001D5676"/>
    <w:rsid w:val="001D5C49"/>
    <w:rsid w:val="001D6229"/>
    <w:rsid w:val="001D66FA"/>
    <w:rsid w:val="001D6A33"/>
    <w:rsid w:val="001D73AA"/>
    <w:rsid w:val="001D7C36"/>
    <w:rsid w:val="001E0162"/>
    <w:rsid w:val="001E02CD"/>
    <w:rsid w:val="001E1D6B"/>
    <w:rsid w:val="001E1FED"/>
    <w:rsid w:val="001E2B51"/>
    <w:rsid w:val="001E2B96"/>
    <w:rsid w:val="001E2D28"/>
    <w:rsid w:val="001E2D72"/>
    <w:rsid w:val="001E40B7"/>
    <w:rsid w:val="001E495C"/>
    <w:rsid w:val="001E53D2"/>
    <w:rsid w:val="001E5C65"/>
    <w:rsid w:val="001E5D1B"/>
    <w:rsid w:val="001E5F9B"/>
    <w:rsid w:val="001E62B3"/>
    <w:rsid w:val="001E6834"/>
    <w:rsid w:val="001E68B0"/>
    <w:rsid w:val="001E7295"/>
    <w:rsid w:val="001E769B"/>
    <w:rsid w:val="001E7DCB"/>
    <w:rsid w:val="001E7EE5"/>
    <w:rsid w:val="001F053D"/>
    <w:rsid w:val="001F0639"/>
    <w:rsid w:val="001F10BD"/>
    <w:rsid w:val="001F17B0"/>
    <w:rsid w:val="001F3CAF"/>
    <w:rsid w:val="001F4991"/>
    <w:rsid w:val="001F4C3E"/>
    <w:rsid w:val="001F5970"/>
    <w:rsid w:val="001F5FB6"/>
    <w:rsid w:val="001F6164"/>
    <w:rsid w:val="001F6ABA"/>
    <w:rsid w:val="001F6B61"/>
    <w:rsid w:val="001F6E68"/>
    <w:rsid w:val="001F6F50"/>
    <w:rsid w:val="0020170E"/>
    <w:rsid w:val="00202ACF"/>
    <w:rsid w:val="00202E1E"/>
    <w:rsid w:val="00204606"/>
    <w:rsid w:val="00204BD5"/>
    <w:rsid w:val="00205242"/>
    <w:rsid w:val="0020713C"/>
    <w:rsid w:val="002079B3"/>
    <w:rsid w:val="00207A84"/>
    <w:rsid w:val="002108BD"/>
    <w:rsid w:val="00210CC2"/>
    <w:rsid w:val="0021174E"/>
    <w:rsid w:val="00211A1A"/>
    <w:rsid w:val="00211D6A"/>
    <w:rsid w:val="002123EF"/>
    <w:rsid w:val="0021342A"/>
    <w:rsid w:val="00214242"/>
    <w:rsid w:val="00214BE7"/>
    <w:rsid w:val="002150D4"/>
    <w:rsid w:val="00215934"/>
    <w:rsid w:val="00215DB9"/>
    <w:rsid w:val="002167D4"/>
    <w:rsid w:val="002168A3"/>
    <w:rsid w:val="00216C10"/>
    <w:rsid w:val="00217375"/>
    <w:rsid w:val="002202A0"/>
    <w:rsid w:val="00220415"/>
    <w:rsid w:val="002209DD"/>
    <w:rsid w:val="00221262"/>
    <w:rsid w:val="002213A3"/>
    <w:rsid w:val="00221ABA"/>
    <w:rsid w:val="00221B77"/>
    <w:rsid w:val="002236C9"/>
    <w:rsid w:val="0022381B"/>
    <w:rsid w:val="00223BAC"/>
    <w:rsid w:val="00223FA2"/>
    <w:rsid w:val="00224293"/>
    <w:rsid w:val="00224E45"/>
    <w:rsid w:val="00225961"/>
    <w:rsid w:val="0022685A"/>
    <w:rsid w:val="0022697D"/>
    <w:rsid w:val="0022750B"/>
    <w:rsid w:val="00227F9C"/>
    <w:rsid w:val="00231400"/>
    <w:rsid w:val="00231FD4"/>
    <w:rsid w:val="00232B46"/>
    <w:rsid w:val="0023471A"/>
    <w:rsid w:val="0023507C"/>
    <w:rsid w:val="002357B1"/>
    <w:rsid w:val="00235D26"/>
    <w:rsid w:val="00236460"/>
    <w:rsid w:val="00236893"/>
    <w:rsid w:val="002371B6"/>
    <w:rsid w:val="00240376"/>
    <w:rsid w:val="00241101"/>
    <w:rsid w:val="0024208E"/>
    <w:rsid w:val="002420C8"/>
    <w:rsid w:val="0024217E"/>
    <w:rsid w:val="00242302"/>
    <w:rsid w:val="00242B0E"/>
    <w:rsid w:val="00242B98"/>
    <w:rsid w:val="0024352F"/>
    <w:rsid w:val="00243C92"/>
    <w:rsid w:val="00244261"/>
    <w:rsid w:val="00244A30"/>
    <w:rsid w:val="00244D66"/>
    <w:rsid w:val="00244F58"/>
    <w:rsid w:val="00244F8C"/>
    <w:rsid w:val="002456AB"/>
    <w:rsid w:val="0024610F"/>
    <w:rsid w:val="002461B1"/>
    <w:rsid w:val="00246D43"/>
    <w:rsid w:val="00246DBC"/>
    <w:rsid w:val="00246DFE"/>
    <w:rsid w:val="00247C32"/>
    <w:rsid w:val="00247D32"/>
    <w:rsid w:val="00250D48"/>
    <w:rsid w:val="00250E55"/>
    <w:rsid w:val="00251315"/>
    <w:rsid w:val="00251376"/>
    <w:rsid w:val="002515F0"/>
    <w:rsid w:val="002521F3"/>
    <w:rsid w:val="00252F77"/>
    <w:rsid w:val="00253961"/>
    <w:rsid w:val="002539B9"/>
    <w:rsid w:val="00253A3D"/>
    <w:rsid w:val="00254A5B"/>
    <w:rsid w:val="00254E44"/>
    <w:rsid w:val="00255118"/>
    <w:rsid w:val="00255A94"/>
    <w:rsid w:val="002562E5"/>
    <w:rsid w:val="00256640"/>
    <w:rsid w:val="002569D4"/>
    <w:rsid w:val="00256A61"/>
    <w:rsid w:val="00256B36"/>
    <w:rsid w:val="00256F0E"/>
    <w:rsid w:val="00257166"/>
    <w:rsid w:val="00257263"/>
    <w:rsid w:val="002575E5"/>
    <w:rsid w:val="00260DE4"/>
    <w:rsid w:val="00260F7B"/>
    <w:rsid w:val="00261F92"/>
    <w:rsid w:val="002622B2"/>
    <w:rsid w:val="002627B4"/>
    <w:rsid w:val="002630C5"/>
    <w:rsid w:val="002633C4"/>
    <w:rsid w:val="00263A1A"/>
    <w:rsid w:val="00263B64"/>
    <w:rsid w:val="00263E41"/>
    <w:rsid w:val="00264564"/>
    <w:rsid w:val="0026470B"/>
    <w:rsid w:val="00264892"/>
    <w:rsid w:val="0026522C"/>
    <w:rsid w:val="00265341"/>
    <w:rsid w:val="002654ED"/>
    <w:rsid w:val="0026580A"/>
    <w:rsid w:val="00265B18"/>
    <w:rsid w:val="00266276"/>
    <w:rsid w:val="00266AA6"/>
    <w:rsid w:val="00270E93"/>
    <w:rsid w:val="00270EDC"/>
    <w:rsid w:val="0027102D"/>
    <w:rsid w:val="00271106"/>
    <w:rsid w:val="00271114"/>
    <w:rsid w:val="00273196"/>
    <w:rsid w:val="002734FC"/>
    <w:rsid w:val="00273A5F"/>
    <w:rsid w:val="00273F0F"/>
    <w:rsid w:val="00274523"/>
    <w:rsid w:val="00274636"/>
    <w:rsid w:val="00275AAA"/>
    <w:rsid w:val="00275C70"/>
    <w:rsid w:val="00275D38"/>
    <w:rsid w:val="002765DD"/>
    <w:rsid w:val="002770A3"/>
    <w:rsid w:val="0027721A"/>
    <w:rsid w:val="00277EE5"/>
    <w:rsid w:val="00280178"/>
    <w:rsid w:val="002816C6"/>
    <w:rsid w:val="002828A4"/>
    <w:rsid w:val="00282D24"/>
    <w:rsid w:val="00283641"/>
    <w:rsid w:val="002839AB"/>
    <w:rsid w:val="00283E56"/>
    <w:rsid w:val="002840F7"/>
    <w:rsid w:val="002843F2"/>
    <w:rsid w:val="00285706"/>
    <w:rsid w:val="002859B6"/>
    <w:rsid w:val="00285CFD"/>
    <w:rsid w:val="00286031"/>
    <w:rsid w:val="00286046"/>
    <w:rsid w:val="0028646F"/>
    <w:rsid w:val="002865A3"/>
    <w:rsid w:val="00286E89"/>
    <w:rsid w:val="00287328"/>
    <w:rsid w:val="0028747D"/>
    <w:rsid w:val="00290F4A"/>
    <w:rsid w:val="002913CB"/>
    <w:rsid w:val="002916BE"/>
    <w:rsid w:val="002918DB"/>
    <w:rsid w:val="00291AE7"/>
    <w:rsid w:val="00292181"/>
    <w:rsid w:val="0029285C"/>
    <w:rsid w:val="00292A98"/>
    <w:rsid w:val="00292C36"/>
    <w:rsid w:val="00292DFB"/>
    <w:rsid w:val="00293157"/>
    <w:rsid w:val="002936FB"/>
    <w:rsid w:val="0029408B"/>
    <w:rsid w:val="0029445F"/>
    <w:rsid w:val="00295134"/>
    <w:rsid w:val="002958EF"/>
    <w:rsid w:val="0029629F"/>
    <w:rsid w:val="0029672B"/>
    <w:rsid w:val="00296D7E"/>
    <w:rsid w:val="00297208"/>
    <w:rsid w:val="00297348"/>
    <w:rsid w:val="0029740D"/>
    <w:rsid w:val="00297668"/>
    <w:rsid w:val="00297737"/>
    <w:rsid w:val="00297B03"/>
    <w:rsid w:val="002A0622"/>
    <w:rsid w:val="002A07EC"/>
    <w:rsid w:val="002A1543"/>
    <w:rsid w:val="002A213E"/>
    <w:rsid w:val="002A3A71"/>
    <w:rsid w:val="002A751D"/>
    <w:rsid w:val="002A7C6A"/>
    <w:rsid w:val="002B0077"/>
    <w:rsid w:val="002B008F"/>
    <w:rsid w:val="002B060B"/>
    <w:rsid w:val="002B0D98"/>
    <w:rsid w:val="002B11CD"/>
    <w:rsid w:val="002B1A2D"/>
    <w:rsid w:val="002B2A72"/>
    <w:rsid w:val="002B31C2"/>
    <w:rsid w:val="002B34C1"/>
    <w:rsid w:val="002B358F"/>
    <w:rsid w:val="002B3AC8"/>
    <w:rsid w:val="002B3FC2"/>
    <w:rsid w:val="002B40F6"/>
    <w:rsid w:val="002B4479"/>
    <w:rsid w:val="002B6691"/>
    <w:rsid w:val="002B6B30"/>
    <w:rsid w:val="002B72BE"/>
    <w:rsid w:val="002B7317"/>
    <w:rsid w:val="002B7961"/>
    <w:rsid w:val="002C114C"/>
    <w:rsid w:val="002C1247"/>
    <w:rsid w:val="002C1D28"/>
    <w:rsid w:val="002C242F"/>
    <w:rsid w:val="002C25CE"/>
    <w:rsid w:val="002C2ACD"/>
    <w:rsid w:val="002C2DAC"/>
    <w:rsid w:val="002C329F"/>
    <w:rsid w:val="002C3482"/>
    <w:rsid w:val="002C3F4E"/>
    <w:rsid w:val="002C4A11"/>
    <w:rsid w:val="002C4DC9"/>
    <w:rsid w:val="002C54F2"/>
    <w:rsid w:val="002C5D10"/>
    <w:rsid w:val="002C5F02"/>
    <w:rsid w:val="002D0973"/>
    <w:rsid w:val="002D0B57"/>
    <w:rsid w:val="002D18E9"/>
    <w:rsid w:val="002D199B"/>
    <w:rsid w:val="002D27F1"/>
    <w:rsid w:val="002D2CD9"/>
    <w:rsid w:val="002D2DEC"/>
    <w:rsid w:val="002D3375"/>
    <w:rsid w:val="002D35F2"/>
    <w:rsid w:val="002D3CF8"/>
    <w:rsid w:val="002D3EB0"/>
    <w:rsid w:val="002D3F20"/>
    <w:rsid w:val="002D4B51"/>
    <w:rsid w:val="002D4BB9"/>
    <w:rsid w:val="002D5D06"/>
    <w:rsid w:val="002D5F40"/>
    <w:rsid w:val="002D6865"/>
    <w:rsid w:val="002D7144"/>
    <w:rsid w:val="002D7317"/>
    <w:rsid w:val="002D7641"/>
    <w:rsid w:val="002E0F7B"/>
    <w:rsid w:val="002E1051"/>
    <w:rsid w:val="002E1BA8"/>
    <w:rsid w:val="002E1CD8"/>
    <w:rsid w:val="002E244C"/>
    <w:rsid w:val="002E2485"/>
    <w:rsid w:val="002E2B6F"/>
    <w:rsid w:val="002E3022"/>
    <w:rsid w:val="002E36FE"/>
    <w:rsid w:val="002E4226"/>
    <w:rsid w:val="002E539C"/>
    <w:rsid w:val="002E5519"/>
    <w:rsid w:val="002E5CA2"/>
    <w:rsid w:val="002E5DC8"/>
    <w:rsid w:val="002E6708"/>
    <w:rsid w:val="002E6915"/>
    <w:rsid w:val="002E692C"/>
    <w:rsid w:val="002F02F9"/>
    <w:rsid w:val="002F03B6"/>
    <w:rsid w:val="002F1526"/>
    <w:rsid w:val="002F1CCB"/>
    <w:rsid w:val="002F25F1"/>
    <w:rsid w:val="002F2CC6"/>
    <w:rsid w:val="002F378D"/>
    <w:rsid w:val="002F3895"/>
    <w:rsid w:val="002F3D48"/>
    <w:rsid w:val="002F4260"/>
    <w:rsid w:val="002F42E3"/>
    <w:rsid w:val="002F4C19"/>
    <w:rsid w:val="002F4C68"/>
    <w:rsid w:val="002F52A5"/>
    <w:rsid w:val="002F52F9"/>
    <w:rsid w:val="002F58A7"/>
    <w:rsid w:val="002F5974"/>
    <w:rsid w:val="002F5991"/>
    <w:rsid w:val="002F5CF6"/>
    <w:rsid w:val="002F606C"/>
    <w:rsid w:val="002F67F4"/>
    <w:rsid w:val="002F7581"/>
    <w:rsid w:val="002F7AB4"/>
    <w:rsid w:val="003000DC"/>
    <w:rsid w:val="00300CE0"/>
    <w:rsid w:val="00300FF2"/>
    <w:rsid w:val="00301D42"/>
    <w:rsid w:val="00302A78"/>
    <w:rsid w:val="00302B97"/>
    <w:rsid w:val="003031CB"/>
    <w:rsid w:val="00303B18"/>
    <w:rsid w:val="003040A9"/>
    <w:rsid w:val="00305E50"/>
    <w:rsid w:val="00307DBC"/>
    <w:rsid w:val="00310353"/>
    <w:rsid w:val="0031077F"/>
    <w:rsid w:val="0031079B"/>
    <w:rsid w:val="00312503"/>
    <w:rsid w:val="0031341F"/>
    <w:rsid w:val="0031351C"/>
    <w:rsid w:val="00313546"/>
    <w:rsid w:val="0031443C"/>
    <w:rsid w:val="00314850"/>
    <w:rsid w:val="00314D5F"/>
    <w:rsid w:val="003150B7"/>
    <w:rsid w:val="0031510E"/>
    <w:rsid w:val="0031512D"/>
    <w:rsid w:val="00315939"/>
    <w:rsid w:val="00315AA9"/>
    <w:rsid w:val="00315C78"/>
    <w:rsid w:val="003169F8"/>
    <w:rsid w:val="00316AEF"/>
    <w:rsid w:val="003172D3"/>
    <w:rsid w:val="003179E9"/>
    <w:rsid w:val="00317C71"/>
    <w:rsid w:val="00320429"/>
    <w:rsid w:val="003209B3"/>
    <w:rsid w:val="00320E29"/>
    <w:rsid w:val="00320F55"/>
    <w:rsid w:val="003217A3"/>
    <w:rsid w:val="00322045"/>
    <w:rsid w:val="003229C7"/>
    <w:rsid w:val="00322FFF"/>
    <w:rsid w:val="003231EF"/>
    <w:rsid w:val="003236CD"/>
    <w:rsid w:val="003238E6"/>
    <w:rsid w:val="003243A2"/>
    <w:rsid w:val="00324657"/>
    <w:rsid w:val="00324907"/>
    <w:rsid w:val="003249F4"/>
    <w:rsid w:val="00324D6C"/>
    <w:rsid w:val="00324E8A"/>
    <w:rsid w:val="00325AD6"/>
    <w:rsid w:val="0032638E"/>
    <w:rsid w:val="003263E7"/>
    <w:rsid w:val="003266BB"/>
    <w:rsid w:val="00326A5C"/>
    <w:rsid w:val="00327181"/>
    <w:rsid w:val="003271DE"/>
    <w:rsid w:val="00327478"/>
    <w:rsid w:val="00330321"/>
    <w:rsid w:val="00330385"/>
    <w:rsid w:val="00330BEC"/>
    <w:rsid w:val="0033111F"/>
    <w:rsid w:val="003311DC"/>
    <w:rsid w:val="00331395"/>
    <w:rsid w:val="003313B4"/>
    <w:rsid w:val="00331747"/>
    <w:rsid w:val="00331A23"/>
    <w:rsid w:val="00331BDB"/>
    <w:rsid w:val="003326AD"/>
    <w:rsid w:val="00332986"/>
    <w:rsid w:val="00333119"/>
    <w:rsid w:val="003331B5"/>
    <w:rsid w:val="003337CF"/>
    <w:rsid w:val="00334B15"/>
    <w:rsid w:val="003351A0"/>
    <w:rsid w:val="00335542"/>
    <w:rsid w:val="003359AE"/>
    <w:rsid w:val="00335C5D"/>
    <w:rsid w:val="00335DE3"/>
    <w:rsid w:val="003376B0"/>
    <w:rsid w:val="003379B1"/>
    <w:rsid w:val="00337D11"/>
    <w:rsid w:val="0034006A"/>
    <w:rsid w:val="00340450"/>
    <w:rsid w:val="00340965"/>
    <w:rsid w:val="00340C55"/>
    <w:rsid w:val="00340F44"/>
    <w:rsid w:val="00341962"/>
    <w:rsid w:val="003425FF"/>
    <w:rsid w:val="00342983"/>
    <w:rsid w:val="00342DFF"/>
    <w:rsid w:val="00342E0F"/>
    <w:rsid w:val="00343187"/>
    <w:rsid w:val="00343EDB"/>
    <w:rsid w:val="00344D65"/>
    <w:rsid w:val="003450CD"/>
    <w:rsid w:val="00345CE6"/>
    <w:rsid w:val="00345F12"/>
    <w:rsid w:val="00346BF7"/>
    <w:rsid w:val="00346EDF"/>
    <w:rsid w:val="003472C7"/>
    <w:rsid w:val="00347EE4"/>
    <w:rsid w:val="00350082"/>
    <w:rsid w:val="00350096"/>
    <w:rsid w:val="003502D0"/>
    <w:rsid w:val="00350B03"/>
    <w:rsid w:val="003518A2"/>
    <w:rsid w:val="00352056"/>
    <w:rsid w:val="00352715"/>
    <w:rsid w:val="00352768"/>
    <w:rsid w:val="003529CA"/>
    <w:rsid w:val="0035352E"/>
    <w:rsid w:val="00353E96"/>
    <w:rsid w:val="003548CC"/>
    <w:rsid w:val="0035526F"/>
    <w:rsid w:val="003555DC"/>
    <w:rsid w:val="003556AA"/>
    <w:rsid w:val="00355999"/>
    <w:rsid w:val="00355B06"/>
    <w:rsid w:val="00355E60"/>
    <w:rsid w:val="003565B1"/>
    <w:rsid w:val="00356B6A"/>
    <w:rsid w:val="00356B8D"/>
    <w:rsid w:val="00356BEA"/>
    <w:rsid w:val="003570B7"/>
    <w:rsid w:val="00357478"/>
    <w:rsid w:val="0035779E"/>
    <w:rsid w:val="003579B0"/>
    <w:rsid w:val="00357A62"/>
    <w:rsid w:val="00357B41"/>
    <w:rsid w:val="00360EED"/>
    <w:rsid w:val="003628D7"/>
    <w:rsid w:val="00363FA7"/>
    <w:rsid w:val="003642C3"/>
    <w:rsid w:val="003650E8"/>
    <w:rsid w:val="00365454"/>
    <w:rsid w:val="0036648E"/>
    <w:rsid w:val="00366C6B"/>
    <w:rsid w:val="00367003"/>
    <w:rsid w:val="00367542"/>
    <w:rsid w:val="00367FDE"/>
    <w:rsid w:val="00370328"/>
    <w:rsid w:val="00370462"/>
    <w:rsid w:val="00370EBC"/>
    <w:rsid w:val="00371191"/>
    <w:rsid w:val="00371355"/>
    <w:rsid w:val="0037170A"/>
    <w:rsid w:val="00372827"/>
    <w:rsid w:val="003728DC"/>
    <w:rsid w:val="00372E83"/>
    <w:rsid w:val="00373490"/>
    <w:rsid w:val="003734C3"/>
    <w:rsid w:val="0037381D"/>
    <w:rsid w:val="00373B07"/>
    <w:rsid w:val="00373E12"/>
    <w:rsid w:val="00373E3E"/>
    <w:rsid w:val="00373F56"/>
    <w:rsid w:val="00374382"/>
    <w:rsid w:val="0037451A"/>
    <w:rsid w:val="00374A1C"/>
    <w:rsid w:val="00374F7B"/>
    <w:rsid w:val="003750AD"/>
    <w:rsid w:val="00375497"/>
    <w:rsid w:val="00375D51"/>
    <w:rsid w:val="003761AD"/>
    <w:rsid w:val="00377259"/>
    <w:rsid w:val="00377906"/>
    <w:rsid w:val="00377CAA"/>
    <w:rsid w:val="00380C7F"/>
    <w:rsid w:val="003824DB"/>
    <w:rsid w:val="0038291A"/>
    <w:rsid w:val="00382D6B"/>
    <w:rsid w:val="00383444"/>
    <w:rsid w:val="003834C0"/>
    <w:rsid w:val="00383772"/>
    <w:rsid w:val="0038468E"/>
    <w:rsid w:val="00384F7C"/>
    <w:rsid w:val="00385F5A"/>
    <w:rsid w:val="003860B8"/>
    <w:rsid w:val="00387333"/>
    <w:rsid w:val="00387E17"/>
    <w:rsid w:val="003901F7"/>
    <w:rsid w:val="0039063A"/>
    <w:rsid w:val="00390FD5"/>
    <w:rsid w:val="00391268"/>
    <w:rsid w:val="00391F9F"/>
    <w:rsid w:val="003939CF"/>
    <w:rsid w:val="00394498"/>
    <w:rsid w:val="00394559"/>
    <w:rsid w:val="00394CFF"/>
    <w:rsid w:val="0039595D"/>
    <w:rsid w:val="0039596C"/>
    <w:rsid w:val="00395CB5"/>
    <w:rsid w:val="00396516"/>
    <w:rsid w:val="00397AEE"/>
    <w:rsid w:val="003A0033"/>
    <w:rsid w:val="003A097C"/>
    <w:rsid w:val="003A0AB5"/>
    <w:rsid w:val="003A0D2A"/>
    <w:rsid w:val="003A121A"/>
    <w:rsid w:val="003A2E3F"/>
    <w:rsid w:val="003A2E56"/>
    <w:rsid w:val="003A4304"/>
    <w:rsid w:val="003A5673"/>
    <w:rsid w:val="003A5B91"/>
    <w:rsid w:val="003A5D6D"/>
    <w:rsid w:val="003A5E5E"/>
    <w:rsid w:val="003A6264"/>
    <w:rsid w:val="003A63F5"/>
    <w:rsid w:val="003A6B51"/>
    <w:rsid w:val="003B0B55"/>
    <w:rsid w:val="003B1166"/>
    <w:rsid w:val="003B16AC"/>
    <w:rsid w:val="003B1E29"/>
    <w:rsid w:val="003B2655"/>
    <w:rsid w:val="003B2D47"/>
    <w:rsid w:val="003B4025"/>
    <w:rsid w:val="003B48BD"/>
    <w:rsid w:val="003B50D9"/>
    <w:rsid w:val="003B6302"/>
    <w:rsid w:val="003B6A5F"/>
    <w:rsid w:val="003B6C65"/>
    <w:rsid w:val="003B79D5"/>
    <w:rsid w:val="003B7A7D"/>
    <w:rsid w:val="003B7CDF"/>
    <w:rsid w:val="003C02E2"/>
    <w:rsid w:val="003C175C"/>
    <w:rsid w:val="003C26A3"/>
    <w:rsid w:val="003C368A"/>
    <w:rsid w:val="003C3775"/>
    <w:rsid w:val="003C41AF"/>
    <w:rsid w:val="003C4B9C"/>
    <w:rsid w:val="003C57C7"/>
    <w:rsid w:val="003C5A71"/>
    <w:rsid w:val="003C6062"/>
    <w:rsid w:val="003C63CD"/>
    <w:rsid w:val="003C66D9"/>
    <w:rsid w:val="003C6A63"/>
    <w:rsid w:val="003C6B7D"/>
    <w:rsid w:val="003C7253"/>
    <w:rsid w:val="003D067F"/>
    <w:rsid w:val="003D0917"/>
    <w:rsid w:val="003D10E7"/>
    <w:rsid w:val="003D1376"/>
    <w:rsid w:val="003D1444"/>
    <w:rsid w:val="003D1D22"/>
    <w:rsid w:val="003D282E"/>
    <w:rsid w:val="003D333F"/>
    <w:rsid w:val="003D4000"/>
    <w:rsid w:val="003D4143"/>
    <w:rsid w:val="003D4ACB"/>
    <w:rsid w:val="003D5B12"/>
    <w:rsid w:val="003D614D"/>
    <w:rsid w:val="003D6611"/>
    <w:rsid w:val="003D735B"/>
    <w:rsid w:val="003E0117"/>
    <w:rsid w:val="003E0AFA"/>
    <w:rsid w:val="003E1660"/>
    <w:rsid w:val="003E1817"/>
    <w:rsid w:val="003E191E"/>
    <w:rsid w:val="003E1D3A"/>
    <w:rsid w:val="003E23DA"/>
    <w:rsid w:val="003E23E3"/>
    <w:rsid w:val="003E2F06"/>
    <w:rsid w:val="003E3982"/>
    <w:rsid w:val="003E3CF9"/>
    <w:rsid w:val="003E433C"/>
    <w:rsid w:val="003E4E7C"/>
    <w:rsid w:val="003E6323"/>
    <w:rsid w:val="003E6675"/>
    <w:rsid w:val="003E66AF"/>
    <w:rsid w:val="003E6CC1"/>
    <w:rsid w:val="003E7109"/>
    <w:rsid w:val="003F001A"/>
    <w:rsid w:val="003F0C3A"/>
    <w:rsid w:val="003F0C4E"/>
    <w:rsid w:val="003F0FBE"/>
    <w:rsid w:val="003F12FB"/>
    <w:rsid w:val="003F14CB"/>
    <w:rsid w:val="003F1584"/>
    <w:rsid w:val="003F1DA3"/>
    <w:rsid w:val="003F2B89"/>
    <w:rsid w:val="003F2DA0"/>
    <w:rsid w:val="003F2E67"/>
    <w:rsid w:val="003F3134"/>
    <w:rsid w:val="003F3372"/>
    <w:rsid w:val="003F370A"/>
    <w:rsid w:val="003F39B6"/>
    <w:rsid w:val="003F4E6F"/>
    <w:rsid w:val="003F5A45"/>
    <w:rsid w:val="003F69AD"/>
    <w:rsid w:val="003F6D48"/>
    <w:rsid w:val="003F71E6"/>
    <w:rsid w:val="003F77CE"/>
    <w:rsid w:val="003F7824"/>
    <w:rsid w:val="003F7E14"/>
    <w:rsid w:val="0040010F"/>
    <w:rsid w:val="004001A1"/>
    <w:rsid w:val="00401028"/>
    <w:rsid w:val="004015D1"/>
    <w:rsid w:val="00401D5B"/>
    <w:rsid w:val="00402468"/>
    <w:rsid w:val="00402521"/>
    <w:rsid w:val="004028C5"/>
    <w:rsid w:val="0040290E"/>
    <w:rsid w:val="00402DC0"/>
    <w:rsid w:val="00402E5F"/>
    <w:rsid w:val="00403202"/>
    <w:rsid w:val="0040339E"/>
    <w:rsid w:val="004034C6"/>
    <w:rsid w:val="00403A3C"/>
    <w:rsid w:val="00403D8E"/>
    <w:rsid w:val="00404947"/>
    <w:rsid w:val="00404991"/>
    <w:rsid w:val="0040548D"/>
    <w:rsid w:val="004058C4"/>
    <w:rsid w:val="00405BBC"/>
    <w:rsid w:val="00406678"/>
    <w:rsid w:val="0040736F"/>
    <w:rsid w:val="004074F3"/>
    <w:rsid w:val="00410286"/>
    <w:rsid w:val="004102FA"/>
    <w:rsid w:val="0041043A"/>
    <w:rsid w:val="004108AF"/>
    <w:rsid w:val="004109AB"/>
    <w:rsid w:val="004126CA"/>
    <w:rsid w:val="00412763"/>
    <w:rsid w:val="00412A26"/>
    <w:rsid w:val="00412D62"/>
    <w:rsid w:val="00413C76"/>
    <w:rsid w:val="004147AC"/>
    <w:rsid w:val="00414E10"/>
    <w:rsid w:val="004152D5"/>
    <w:rsid w:val="00416A2C"/>
    <w:rsid w:val="00416C85"/>
    <w:rsid w:val="00416F50"/>
    <w:rsid w:val="004176D6"/>
    <w:rsid w:val="004208C7"/>
    <w:rsid w:val="004209AF"/>
    <w:rsid w:val="00420FA3"/>
    <w:rsid w:val="00421BC3"/>
    <w:rsid w:val="0042220E"/>
    <w:rsid w:val="00422B63"/>
    <w:rsid w:val="00422BD9"/>
    <w:rsid w:val="00422DD1"/>
    <w:rsid w:val="00423D8E"/>
    <w:rsid w:val="00423EF1"/>
    <w:rsid w:val="004252CA"/>
    <w:rsid w:val="0042542A"/>
    <w:rsid w:val="004258D0"/>
    <w:rsid w:val="004262F1"/>
    <w:rsid w:val="004264B5"/>
    <w:rsid w:val="00427618"/>
    <w:rsid w:val="0042770E"/>
    <w:rsid w:val="0042797A"/>
    <w:rsid w:val="004279EC"/>
    <w:rsid w:val="00427AFC"/>
    <w:rsid w:val="00430435"/>
    <w:rsid w:val="00430683"/>
    <w:rsid w:val="004311AA"/>
    <w:rsid w:val="00431BFB"/>
    <w:rsid w:val="00432DF1"/>
    <w:rsid w:val="00433467"/>
    <w:rsid w:val="00433604"/>
    <w:rsid w:val="004339FA"/>
    <w:rsid w:val="00433B71"/>
    <w:rsid w:val="00433DA9"/>
    <w:rsid w:val="004340C2"/>
    <w:rsid w:val="00434156"/>
    <w:rsid w:val="0043468B"/>
    <w:rsid w:val="00434A20"/>
    <w:rsid w:val="00434A6E"/>
    <w:rsid w:val="00434C1C"/>
    <w:rsid w:val="004353BA"/>
    <w:rsid w:val="00435E65"/>
    <w:rsid w:val="0043698F"/>
    <w:rsid w:val="00437125"/>
    <w:rsid w:val="00437250"/>
    <w:rsid w:val="0043756C"/>
    <w:rsid w:val="004376B0"/>
    <w:rsid w:val="004379F6"/>
    <w:rsid w:val="00440D56"/>
    <w:rsid w:val="00440F45"/>
    <w:rsid w:val="00441925"/>
    <w:rsid w:val="00441DD2"/>
    <w:rsid w:val="00442193"/>
    <w:rsid w:val="004425CF"/>
    <w:rsid w:val="004427C2"/>
    <w:rsid w:val="00442C95"/>
    <w:rsid w:val="00442D46"/>
    <w:rsid w:val="004433D4"/>
    <w:rsid w:val="00444E2E"/>
    <w:rsid w:val="0044501A"/>
    <w:rsid w:val="004453C4"/>
    <w:rsid w:val="0044575E"/>
    <w:rsid w:val="00445AE9"/>
    <w:rsid w:val="00445CA2"/>
    <w:rsid w:val="00446425"/>
    <w:rsid w:val="00446E0C"/>
    <w:rsid w:val="00447136"/>
    <w:rsid w:val="0044776F"/>
    <w:rsid w:val="00450BDC"/>
    <w:rsid w:val="004510BA"/>
    <w:rsid w:val="00451BCB"/>
    <w:rsid w:val="00452338"/>
    <w:rsid w:val="004527FE"/>
    <w:rsid w:val="00452BAB"/>
    <w:rsid w:val="00453BFE"/>
    <w:rsid w:val="00454358"/>
    <w:rsid w:val="004548D4"/>
    <w:rsid w:val="00454FEF"/>
    <w:rsid w:val="00455A0D"/>
    <w:rsid w:val="00455AA7"/>
    <w:rsid w:val="004561F6"/>
    <w:rsid w:val="00457EC6"/>
    <w:rsid w:val="004603C7"/>
    <w:rsid w:val="004604CF"/>
    <w:rsid w:val="0046073F"/>
    <w:rsid w:val="00460933"/>
    <w:rsid w:val="00460958"/>
    <w:rsid w:val="00460AC1"/>
    <w:rsid w:val="00460DB9"/>
    <w:rsid w:val="00462625"/>
    <w:rsid w:val="00462638"/>
    <w:rsid w:val="00462738"/>
    <w:rsid w:val="00462C17"/>
    <w:rsid w:val="00462C60"/>
    <w:rsid w:val="004634EC"/>
    <w:rsid w:val="00463612"/>
    <w:rsid w:val="00463917"/>
    <w:rsid w:val="00463D53"/>
    <w:rsid w:val="00465FC0"/>
    <w:rsid w:val="00466D29"/>
    <w:rsid w:val="00466D51"/>
    <w:rsid w:val="00470151"/>
    <w:rsid w:val="0047183E"/>
    <w:rsid w:val="00472EE7"/>
    <w:rsid w:val="00473896"/>
    <w:rsid w:val="00473D3C"/>
    <w:rsid w:val="00474843"/>
    <w:rsid w:val="00475BBC"/>
    <w:rsid w:val="0047605E"/>
    <w:rsid w:val="00476C95"/>
    <w:rsid w:val="00476E1D"/>
    <w:rsid w:val="00477273"/>
    <w:rsid w:val="004807FA"/>
    <w:rsid w:val="004812DF"/>
    <w:rsid w:val="00481EF7"/>
    <w:rsid w:val="00481F89"/>
    <w:rsid w:val="00482C89"/>
    <w:rsid w:val="004831B8"/>
    <w:rsid w:val="004835AD"/>
    <w:rsid w:val="004835CE"/>
    <w:rsid w:val="00483CE7"/>
    <w:rsid w:val="004841FE"/>
    <w:rsid w:val="00484803"/>
    <w:rsid w:val="00484830"/>
    <w:rsid w:val="00485E7B"/>
    <w:rsid w:val="004866C9"/>
    <w:rsid w:val="0048687B"/>
    <w:rsid w:val="00486F8A"/>
    <w:rsid w:val="00486FDE"/>
    <w:rsid w:val="00487207"/>
    <w:rsid w:val="00487CFD"/>
    <w:rsid w:val="00487FB0"/>
    <w:rsid w:val="004904E5"/>
    <w:rsid w:val="0049087C"/>
    <w:rsid w:val="00490957"/>
    <w:rsid w:val="0049127B"/>
    <w:rsid w:val="004916BB"/>
    <w:rsid w:val="00491E03"/>
    <w:rsid w:val="00491F29"/>
    <w:rsid w:val="00491FA7"/>
    <w:rsid w:val="00492CAF"/>
    <w:rsid w:val="0049379F"/>
    <w:rsid w:val="00493948"/>
    <w:rsid w:val="00493B59"/>
    <w:rsid w:val="00494215"/>
    <w:rsid w:val="00494484"/>
    <w:rsid w:val="00494667"/>
    <w:rsid w:val="00494A91"/>
    <w:rsid w:val="00494B65"/>
    <w:rsid w:val="00494E84"/>
    <w:rsid w:val="00495362"/>
    <w:rsid w:val="00496BF2"/>
    <w:rsid w:val="00497661"/>
    <w:rsid w:val="00497D6C"/>
    <w:rsid w:val="004A0FFE"/>
    <w:rsid w:val="004A14CF"/>
    <w:rsid w:val="004A1748"/>
    <w:rsid w:val="004A24CC"/>
    <w:rsid w:val="004A33B5"/>
    <w:rsid w:val="004A40C5"/>
    <w:rsid w:val="004A4322"/>
    <w:rsid w:val="004A4629"/>
    <w:rsid w:val="004A5A85"/>
    <w:rsid w:val="004A5DCB"/>
    <w:rsid w:val="004A6566"/>
    <w:rsid w:val="004B046A"/>
    <w:rsid w:val="004B0974"/>
    <w:rsid w:val="004B17BF"/>
    <w:rsid w:val="004B2562"/>
    <w:rsid w:val="004B2BDE"/>
    <w:rsid w:val="004B39B6"/>
    <w:rsid w:val="004B3F14"/>
    <w:rsid w:val="004B470F"/>
    <w:rsid w:val="004B4AD2"/>
    <w:rsid w:val="004B560F"/>
    <w:rsid w:val="004B5A64"/>
    <w:rsid w:val="004B6321"/>
    <w:rsid w:val="004B6E11"/>
    <w:rsid w:val="004B7025"/>
    <w:rsid w:val="004B7290"/>
    <w:rsid w:val="004B72A1"/>
    <w:rsid w:val="004B7948"/>
    <w:rsid w:val="004C0779"/>
    <w:rsid w:val="004C0CE8"/>
    <w:rsid w:val="004C0FD2"/>
    <w:rsid w:val="004C1493"/>
    <w:rsid w:val="004C168D"/>
    <w:rsid w:val="004C1785"/>
    <w:rsid w:val="004C19A3"/>
    <w:rsid w:val="004C1E29"/>
    <w:rsid w:val="004C2313"/>
    <w:rsid w:val="004C291A"/>
    <w:rsid w:val="004C2B51"/>
    <w:rsid w:val="004C3BF7"/>
    <w:rsid w:val="004C41CD"/>
    <w:rsid w:val="004C4720"/>
    <w:rsid w:val="004C479B"/>
    <w:rsid w:val="004C545B"/>
    <w:rsid w:val="004C54C9"/>
    <w:rsid w:val="004C5532"/>
    <w:rsid w:val="004C5FF5"/>
    <w:rsid w:val="004C6D59"/>
    <w:rsid w:val="004C7CEE"/>
    <w:rsid w:val="004C7D1F"/>
    <w:rsid w:val="004D0144"/>
    <w:rsid w:val="004D021D"/>
    <w:rsid w:val="004D025D"/>
    <w:rsid w:val="004D07A2"/>
    <w:rsid w:val="004D0A4D"/>
    <w:rsid w:val="004D0A53"/>
    <w:rsid w:val="004D1C32"/>
    <w:rsid w:val="004D26A3"/>
    <w:rsid w:val="004D385D"/>
    <w:rsid w:val="004D3A76"/>
    <w:rsid w:val="004D3CCB"/>
    <w:rsid w:val="004D4274"/>
    <w:rsid w:val="004D494B"/>
    <w:rsid w:val="004D4B3A"/>
    <w:rsid w:val="004D5081"/>
    <w:rsid w:val="004D5108"/>
    <w:rsid w:val="004D6108"/>
    <w:rsid w:val="004D67E4"/>
    <w:rsid w:val="004D76D9"/>
    <w:rsid w:val="004E0581"/>
    <w:rsid w:val="004E068D"/>
    <w:rsid w:val="004E0C0F"/>
    <w:rsid w:val="004E100C"/>
    <w:rsid w:val="004E164E"/>
    <w:rsid w:val="004E1D55"/>
    <w:rsid w:val="004E2B81"/>
    <w:rsid w:val="004E2B97"/>
    <w:rsid w:val="004E2F33"/>
    <w:rsid w:val="004E386F"/>
    <w:rsid w:val="004E3BBC"/>
    <w:rsid w:val="004E4E09"/>
    <w:rsid w:val="004E4F7C"/>
    <w:rsid w:val="004E5989"/>
    <w:rsid w:val="004E63C3"/>
    <w:rsid w:val="004E6DC0"/>
    <w:rsid w:val="004E710B"/>
    <w:rsid w:val="004E7B29"/>
    <w:rsid w:val="004F018C"/>
    <w:rsid w:val="004F02FB"/>
    <w:rsid w:val="004F04EE"/>
    <w:rsid w:val="004F0A72"/>
    <w:rsid w:val="004F0ED5"/>
    <w:rsid w:val="004F15E4"/>
    <w:rsid w:val="004F1A6C"/>
    <w:rsid w:val="004F23A2"/>
    <w:rsid w:val="004F285B"/>
    <w:rsid w:val="004F2F8B"/>
    <w:rsid w:val="004F3A00"/>
    <w:rsid w:val="004F4E95"/>
    <w:rsid w:val="004F509B"/>
    <w:rsid w:val="004F511E"/>
    <w:rsid w:val="004F56A2"/>
    <w:rsid w:val="004F765E"/>
    <w:rsid w:val="004F7AC5"/>
    <w:rsid w:val="004F7C19"/>
    <w:rsid w:val="00501BDA"/>
    <w:rsid w:val="005020F8"/>
    <w:rsid w:val="00502145"/>
    <w:rsid w:val="00503098"/>
    <w:rsid w:val="005038B9"/>
    <w:rsid w:val="00503D6B"/>
    <w:rsid w:val="00504A67"/>
    <w:rsid w:val="00504FB1"/>
    <w:rsid w:val="00505C02"/>
    <w:rsid w:val="00505DB5"/>
    <w:rsid w:val="00506155"/>
    <w:rsid w:val="005064B4"/>
    <w:rsid w:val="00506940"/>
    <w:rsid w:val="00506C86"/>
    <w:rsid w:val="00507DDD"/>
    <w:rsid w:val="00510E31"/>
    <w:rsid w:val="005116D0"/>
    <w:rsid w:val="00511C5E"/>
    <w:rsid w:val="00511EA6"/>
    <w:rsid w:val="005123E2"/>
    <w:rsid w:val="00512622"/>
    <w:rsid w:val="00513153"/>
    <w:rsid w:val="00513AE9"/>
    <w:rsid w:val="00513AEE"/>
    <w:rsid w:val="00513C0C"/>
    <w:rsid w:val="00513E01"/>
    <w:rsid w:val="0051441F"/>
    <w:rsid w:val="00515257"/>
    <w:rsid w:val="00516031"/>
    <w:rsid w:val="0051619E"/>
    <w:rsid w:val="005161C2"/>
    <w:rsid w:val="00516607"/>
    <w:rsid w:val="0051731E"/>
    <w:rsid w:val="005173C9"/>
    <w:rsid w:val="005177B9"/>
    <w:rsid w:val="00517F46"/>
    <w:rsid w:val="00520395"/>
    <w:rsid w:val="00520A3E"/>
    <w:rsid w:val="00520A7F"/>
    <w:rsid w:val="00521184"/>
    <w:rsid w:val="005211E4"/>
    <w:rsid w:val="00521C6B"/>
    <w:rsid w:val="0052250E"/>
    <w:rsid w:val="005227CF"/>
    <w:rsid w:val="0052336A"/>
    <w:rsid w:val="005236F2"/>
    <w:rsid w:val="0052407F"/>
    <w:rsid w:val="0052550D"/>
    <w:rsid w:val="00527394"/>
    <w:rsid w:val="005274FB"/>
    <w:rsid w:val="005278D4"/>
    <w:rsid w:val="00531753"/>
    <w:rsid w:val="00532440"/>
    <w:rsid w:val="005328F4"/>
    <w:rsid w:val="00532DE8"/>
    <w:rsid w:val="005334FD"/>
    <w:rsid w:val="0053370C"/>
    <w:rsid w:val="00533C83"/>
    <w:rsid w:val="00533ED2"/>
    <w:rsid w:val="00533FE2"/>
    <w:rsid w:val="0053466F"/>
    <w:rsid w:val="00535669"/>
    <w:rsid w:val="00535DFF"/>
    <w:rsid w:val="00535EAC"/>
    <w:rsid w:val="005369EC"/>
    <w:rsid w:val="00537199"/>
    <w:rsid w:val="0053742F"/>
    <w:rsid w:val="00537ADB"/>
    <w:rsid w:val="00537C65"/>
    <w:rsid w:val="0054059C"/>
    <w:rsid w:val="005407BD"/>
    <w:rsid w:val="005407F6"/>
    <w:rsid w:val="00540941"/>
    <w:rsid w:val="005409E2"/>
    <w:rsid w:val="0054113C"/>
    <w:rsid w:val="00541197"/>
    <w:rsid w:val="00541B59"/>
    <w:rsid w:val="00541DF6"/>
    <w:rsid w:val="005425C7"/>
    <w:rsid w:val="00542D52"/>
    <w:rsid w:val="005441EE"/>
    <w:rsid w:val="00544FAA"/>
    <w:rsid w:val="00545187"/>
    <w:rsid w:val="00545432"/>
    <w:rsid w:val="00545953"/>
    <w:rsid w:val="00545CA2"/>
    <w:rsid w:val="00545E09"/>
    <w:rsid w:val="00547FB2"/>
    <w:rsid w:val="0055210C"/>
    <w:rsid w:val="005521ED"/>
    <w:rsid w:val="0055426A"/>
    <w:rsid w:val="0055463D"/>
    <w:rsid w:val="00554701"/>
    <w:rsid w:val="0055578E"/>
    <w:rsid w:val="00555820"/>
    <w:rsid w:val="00555854"/>
    <w:rsid w:val="00555955"/>
    <w:rsid w:val="00555C6D"/>
    <w:rsid w:val="005562F6"/>
    <w:rsid w:val="00560FB6"/>
    <w:rsid w:val="005613CA"/>
    <w:rsid w:val="00561486"/>
    <w:rsid w:val="005614A8"/>
    <w:rsid w:val="00561599"/>
    <w:rsid w:val="00562049"/>
    <w:rsid w:val="00562299"/>
    <w:rsid w:val="00562490"/>
    <w:rsid w:val="00562818"/>
    <w:rsid w:val="00563246"/>
    <w:rsid w:val="00563C24"/>
    <w:rsid w:val="005646B7"/>
    <w:rsid w:val="0056538E"/>
    <w:rsid w:val="00565906"/>
    <w:rsid w:val="005662C5"/>
    <w:rsid w:val="00566643"/>
    <w:rsid w:val="00567916"/>
    <w:rsid w:val="0056793A"/>
    <w:rsid w:val="00570AFE"/>
    <w:rsid w:val="005717C3"/>
    <w:rsid w:val="00571D86"/>
    <w:rsid w:val="00572A57"/>
    <w:rsid w:val="00572DD4"/>
    <w:rsid w:val="00572E73"/>
    <w:rsid w:val="00573121"/>
    <w:rsid w:val="00573B89"/>
    <w:rsid w:val="00573EFF"/>
    <w:rsid w:val="00574509"/>
    <w:rsid w:val="005748EB"/>
    <w:rsid w:val="00576251"/>
    <w:rsid w:val="00576EFC"/>
    <w:rsid w:val="00577997"/>
    <w:rsid w:val="00577C60"/>
    <w:rsid w:val="00577CE4"/>
    <w:rsid w:val="00577D5B"/>
    <w:rsid w:val="005801B5"/>
    <w:rsid w:val="005816FA"/>
    <w:rsid w:val="0058262B"/>
    <w:rsid w:val="005830EE"/>
    <w:rsid w:val="00584080"/>
    <w:rsid w:val="00584A73"/>
    <w:rsid w:val="00587612"/>
    <w:rsid w:val="00587992"/>
    <w:rsid w:val="00587DB7"/>
    <w:rsid w:val="0059071E"/>
    <w:rsid w:val="00590EF6"/>
    <w:rsid w:val="00591558"/>
    <w:rsid w:val="00592ACD"/>
    <w:rsid w:val="00592B07"/>
    <w:rsid w:val="005930C4"/>
    <w:rsid w:val="00593CFD"/>
    <w:rsid w:val="00594296"/>
    <w:rsid w:val="005942EA"/>
    <w:rsid w:val="0059437B"/>
    <w:rsid w:val="00594465"/>
    <w:rsid w:val="0059479C"/>
    <w:rsid w:val="00594B41"/>
    <w:rsid w:val="00595108"/>
    <w:rsid w:val="00596DC6"/>
    <w:rsid w:val="00597274"/>
    <w:rsid w:val="005972E0"/>
    <w:rsid w:val="00597D60"/>
    <w:rsid w:val="005A025D"/>
    <w:rsid w:val="005A05DA"/>
    <w:rsid w:val="005A1053"/>
    <w:rsid w:val="005A10AE"/>
    <w:rsid w:val="005A1732"/>
    <w:rsid w:val="005A181B"/>
    <w:rsid w:val="005A1BAF"/>
    <w:rsid w:val="005A406A"/>
    <w:rsid w:val="005A4203"/>
    <w:rsid w:val="005A4798"/>
    <w:rsid w:val="005A4936"/>
    <w:rsid w:val="005A582F"/>
    <w:rsid w:val="005A5E62"/>
    <w:rsid w:val="005A73F7"/>
    <w:rsid w:val="005B0053"/>
    <w:rsid w:val="005B0B22"/>
    <w:rsid w:val="005B0CDD"/>
    <w:rsid w:val="005B0F57"/>
    <w:rsid w:val="005B1586"/>
    <w:rsid w:val="005B1861"/>
    <w:rsid w:val="005B1890"/>
    <w:rsid w:val="005B1F3F"/>
    <w:rsid w:val="005B26B1"/>
    <w:rsid w:val="005B2767"/>
    <w:rsid w:val="005B2DA5"/>
    <w:rsid w:val="005B2E78"/>
    <w:rsid w:val="005B32E1"/>
    <w:rsid w:val="005B335C"/>
    <w:rsid w:val="005B3B9F"/>
    <w:rsid w:val="005B3EE9"/>
    <w:rsid w:val="005B3F5D"/>
    <w:rsid w:val="005B43E8"/>
    <w:rsid w:val="005B4421"/>
    <w:rsid w:val="005B6375"/>
    <w:rsid w:val="005B69A4"/>
    <w:rsid w:val="005B6E24"/>
    <w:rsid w:val="005B75CF"/>
    <w:rsid w:val="005B760F"/>
    <w:rsid w:val="005B78C8"/>
    <w:rsid w:val="005C05C6"/>
    <w:rsid w:val="005C0D57"/>
    <w:rsid w:val="005C1F76"/>
    <w:rsid w:val="005C22DE"/>
    <w:rsid w:val="005C22E6"/>
    <w:rsid w:val="005C23A8"/>
    <w:rsid w:val="005C2DCB"/>
    <w:rsid w:val="005C4213"/>
    <w:rsid w:val="005C42C8"/>
    <w:rsid w:val="005C4DC7"/>
    <w:rsid w:val="005C5A23"/>
    <w:rsid w:val="005C6AAD"/>
    <w:rsid w:val="005C6AD5"/>
    <w:rsid w:val="005C6BF4"/>
    <w:rsid w:val="005D06D7"/>
    <w:rsid w:val="005D0AE0"/>
    <w:rsid w:val="005D1326"/>
    <w:rsid w:val="005D1F73"/>
    <w:rsid w:val="005D216F"/>
    <w:rsid w:val="005D2EF6"/>
    <w:rsid w:val="005D399B"/>
    <w:rsid w:val="005D45C9"/>
    <w:rsid w:val="005D4C80"/>
    <w:rsid w:val="005D50EA"/>
    <w:rsid w:val="005D52A4"/>
    <w:rsid w:val="005D5C91"/>
    <w:rsid w:val="005D686A"/>
    <w:rsid w:val="005D7001"/>
    <w:rsid w:val="005D735F"/>
    <w:rsid w:val="005D7A1E"/>
    <w:rsid w:val="005D7F05"/>
    <w:rsid w:val="005E0FBD"/>
    <w:rsid w:val="005E0FE3"/>
    <w:rsid w:val="005E0FE7"/>
    <w:rsid w:val="005E10D9"/>
    <w:rsid w:val="005E18FD"/>
    <w:rsid w:val="005E1DD4"/>
    <w:rsid w:val="005E1EB9"/>
    <w:rsid w:val="005E4C9D"/>
    <w:rsid w:val="005E4FF3"/>
    <w:rsid w:val="005E52B0"/>
    <w:rsid w:val="005E55F8"/>
    <w:rsid w:val="005E5FCE"/>
    <w:rsid w:val="005E6675"/>
    <w:rsid w:val="005E7164"/>
    <w:rsid w:val="005E79EA"/>
    <w:rsid w:val="005F0FC0"/>
    <w:rsid w:val="005F12D8"/>
    <w:rsid w:val="005F13F9"/>
    <w:rsid w:val="005F1688"/>
    <w:rsid w:val="005F171F"/>
    <w:rsid w:val="005F208E"/>
    <w:rsid w:val="005F2123"/>
    <w:rsid w:val="005F2A02"/>
    <w:rsid w:val="005F2A92"/>
    <w:rsid w:val="005F3245"/>
    <w:rsid w:val="005F35E8"/>
    <w:rsid w:val="005F37A7"/>
    <w:rsid w:val="005F3B34"/>
    <w:rsid w:val="005F47A8"/>
    <w:rsid w:val="005F47D4"/>
    <w:rsid w:val="005F48E9"/>
    <w:rsid w:val="005F4A0E"/>
    <w:rsid w:val="005F4BB0"/>
    <w:rsid w:val="005F5CA2"/>
    <w:rsid w:val="005F6706"/>
    <w:rsid w:val="005F690C"/>
    <w:rsid w:val="005F6F5B"/>
    <w:rsid w:val="005F7B56"/>
    <w:rsid w:val="005F7BEE"/>
    <w:rsid w:val="006000BC"/>
    <w:rsid w:val="00600FD2"/>
    <w:rsid w:val="00601136"/>
    <w:rsid w:val="00601AB4"/>
    <w:rsid w:val="006024C9"/>
    <w:rsid w:val="00604DCE"/>
    <w:rsid w:val="0060554A"/>
    <w:rsid w:val="006056BB"/>
    <w:rsid w:val="006059A2"/>
    <w:rsid w:val="00605CFA"/>
    <w:rsid w:val="00605F5C"/>
    <w:rsid w:val="00606EDF"/>
    <w:rsid w:val="006070B5"/>
    <w:rsid w:val="0060740A"/>
    <w:rsid w:val="00607AA3"/>
    <w:rsid w:val="00610AD1"/>
    <w:rsid w:val="00611007"/>
    <w:rsid w:val="006115F4"/>
    <w:rsid w:val="00611F7A"/>
    <w:rsid w:val="00612463"/>
    <w:rsid w:val="00613513"/>
    <w:rsid w:val="00613CAF"/>
    <w:rsid w:val="00613D36"/>
    <w:rsid w:val="00614BDF"/>
    <w:rsid w:val="00615A2D"/>
    <w:rsid w:val="00615F7D"/>
    <w:rsid w:val="00616FC9"/>
    <w:rsid w:val="006177C7"/>
    <w:rsid w:val="006179FB"/>
    <w:rsid w:val="00617A8E"/>
    <w:rsid w:val="00620166"/>
    <w:rsid w:val="006203EC"/>
    <w:rsid w:val="00620466"/>
    <w:rsid w:val="00621291"/>
    <w:rsid w:val="00621A0F"/>
    <w:rsid w:val="00621D52"/>
    <w:rsid w:val="00621FF0"/>
    <w:rsid w:val="00622E47"/>
    <w:rsid w:val="00622F2A"/>
    <w:rsid w:val="00622FEA"/>
    <w:rsid w:val="0062312A"/>
    <w:rsid w:val="006232BB"/>
    <w:rsid w:val="0062332B"/>
    <w:rsid w:val="00624727"/>
    <w:rsid w:val="006247F9"/>
    <w:rsid w:val="00624C45"/>
    <w:rsid w:val="006258C0"/>
    <w:rsid w:val="00625A77"/>
    <w:rsid w:val="00626DB3"/>
    <w:rsid w:val="00627083"/>
    <w:rsid w:val="00627339"/>
    <w:rsid w:val="00627452"/>
    <w:rsid w:val="00627853"/>
    <w:rsid w:val="006308A8"/>
    <w:rsid w:val="006310C8"/>
    <w:rsid w:val="00631DCB"/>
    <w:rsid w:val="0063236D"/>
    <w:rsid w:val="0063247C"/>
    <w:rsid w:val="00632714"/>
    <w:rsid w:val="0063280A"/>
    <w:rsid w:val="00632845"/>
    <w:rsid w:val="00632999"/>
    <w:rsid w:val="006338E0"/>
    <w:rsid w:val="00633EE4"/>
    <w:rsid w:val="00634C14"/>
    <w:rsid w:val="00634E5A"/>
    <w:rsid w:val="00635A9C"/>
    <w:rsid w:val="00635DA9"/>
    <w:rsid w:val="006361B8"/>
    <w:rsid w:val="00637146"/>
    <w:rsid w:val="00637501"/>
    <w:rsid w:val="00637625"/>
    <w:rsid w:val="00637626"/>
    <w:rsid w:val="006403CD"/>
    <w:rsid w:val="00640992"/>
    <w:rsid w:val="006410E9"/>
    <w:rsid w:val="00641702"/>
    <w:rsid w:val="00641952"/>
    <w:rsid w:val="00642AB0"/>
    <w:rsid w:val="00644268"/>
    <w:rsid w:val="00644F2D"/>
    <w:rsid w:val="006450EE"/>
    <w:rsid w:val="00645BD7"/>
    <w:rsid w:val="00645D0C"/>
    <w:rsid w:val="00646321"/>
    <w:rsid w:val="00646FC4"/>
    <w:rsid w:val="00647D43"/>
    <w:rsid w:val="00650476"/>
    <w:rsid w:val="0065124E"/>
    <w:rsid w:val="0065167F"/>
    <w:rsid w:val="006518F0"/>
    <w:rsid w:val="00651E73"/>
    <w:rsid w:val="00652075"/>
    <w:rsid w:val="00652271"/>
    <w:rsid w:val="00652682"/>
    <w:rsid w:val="00652E1F"/>
    <w:rsid w:val="00652FFC"/>
    <w:rsid w:val="006531AB"/>
    <w:rsid w:val="00653427"/>
    <w:rsid w:val="00653B6A"/>
    <w:rsid w:val="00653DF9"/>
    <w:rsid w:val="00653F30"/>
    <w:rsid w:val="006540B2"/>
    <w:rsid w:val="00655037"/>
    <w:rsid w:val="006555AA"/>
    <w:rsid w:val="00655BE2"/>
    <w:rsid w:val="00656410"/>
    <w:rsid w:val="00657074"/>
    <w:rsid w:val="00657110"/>
    <w:rsid w:val="0065733C"/>
    <w:rsid w:val="00657859"/>
    <w:rsid w:val="00657CB7"/>
    <w:rsid w:val="00657D69"/>
    <w:rsid w:val="006600E5"/>
    <w:rsid w:val="00660AAA"/>
    <w:rsid w:val="00660AC8"/>
    <w:rsid w:val="00660B2C"/>
    <w:rsid w:val="006613DA"/>
    <w:rsid w:val="0066171F"/>
    <w:rsid w:val="00661738"/>
    <w:rsid w:val="00661CFA"/>
    <w:rsid w:val="00662473"/>
    <w:rsid w:val="0066251A"/>
    <w:rsid w:val="006633DF"/>
    <w:rsid w:val="00663574"/>
    <w:rsid w:val="006635EF"/>
    <w:rsid w:val="0066364F"/>
    <w:rsid w:val="006636C9"/>
    <w:rsid w:val="006637D9"/>
    <w:rsid w:val="0066453F"/>
    <w:rsid w:val="00664C34"/>
    <w:rsid w:val="0066555D"/>
    <w:rsid w:val="00665CFB"/>
    <w:rsid w:val="00666304"/>
    <w:rsid w:val="00666464"/>
    <w:rsid w:val="006665D3"/>
    <w:rsid w:val="006666FC"/>
    <w:rsid w:val="00666D32"/>
    <w:rsid w:val="0066779C"/>
    <w:rsid w:val="00667815"/>
    <w:rsid w:val="00670993"/>
    <w:rsid w:val="006712BE"/>
    <w:rsid w:val="00671535"/>
    <w:rsid w:val="006723B7"/>
    <w:rsid w:val="00672425"/>
    <w:rsid w:val="00672A2B"/>
    <w:rsid w:val="00672F11"/>
    <w:rsid w:val="006733C3"/>
    <w:rsid w:val="00673959"/>
    <w:rsid w:val="00673E16"/>
    <w:rsid w:val="006740E4"/>
    <w:rsid w:val="006745FE"/>
    <w:rsid w:val="006746AD"/>
    <w:rsid w:val="00674A24"/>
    <w:rsid w:val="00675221"/>
    <w:rsid w:val="006752B7"/>
    <w:rsid w:val="006765BB"/>
    <w:rsid w:val="006769BB"/>
    <w:rsid w:val="00677B06"/>
    <w:rsid w:val="00677ED6"/>
    <w:rsid w:val="00680493"/>
    <w:rsid w:val="00680545"/>
    <w:rsid w:val="00680732"/>
    <w:rsid w:val="00680FA2"/>
    <w:rsid w:val="00681929"/>
    <w:rsid w:val="0068195D"/>
    <w:rsid w:val="006819A5"/>
    <w:rsid w:val="006820D3"/>
    <w:rsid w:val="00682408"/>
    <w:rsid w:val="00682509"/>
    <w:rsid w:val="00682C04"/>
    <w:rsid w:val="00684602"/>
    <w:rsid w:val="00684AB0"/>
    <w:rsid w:val="00684D1F"/>
    <w:rsid w:val="00685086"/>
    <w:rsid w:val="0068523A"/>
    <w:rsid w:val="00685E35"/>
    <w:rsid w:val="00685EA6"/>
    <w:rsid w:val="00686A2F"/>
    <w:rsid w:val="00686DC3"/>
    <w:rsid w:val="006871C6"/>
    <w:rsid w:val="0068741F"/>
    <w:rsid w:val="0068752C"/>
    <w:rsid w:val="00687556"/>
    <w:rsid w:val="00690097"/>
    <w:rsid w:val="00690F77"/>
    <w:rsid w:val="00691445"/>
    <w:rsid w:val="00691AAB"/>
    <w:rsid w:val="00692585"/>
    <w:rsid w:val="00692F04"/>
    <w:rsid w:val="00693D3E"/>
    <w:rsid w:val="00693F2C"/>
    <w:rsid w:val="00693FE2"/>
    <w:rsid w:val="00694163"/>
    <w:rsid w:val="00694F07"/>
    <w:rsid w:val="00694FF7"/>
    <w:rsid w:val="00695052"/>
    <w:rsid w:val="00695185"/>
    <w:rsid w:val="006967E2"/>
    <w:rsid w:val="006970D1"/>
    <w:rsid w:val="00697874"/>
    <w:rsid w:val="006A028F"/>
    <w:rsid w:val="006A042E"/>
    <w:rsid w:val="006A0433"/>
    <w:rsid w:val="006A1383"/>
    <w:rsid w:val="006A1B79"/>
    <w:rsid w:val="006A1CDB"/>
    <w:rsid w:val="006A25E5"/>
    <w:rsid w:val="006A28A8"/>
    <w:rsid w:val="006A28EF"/>
    <w:rsid w:val="006A4651"/>
    <w:rsid w:val="006A49D5"/>
    <w:rsid w:val="006A4C70"/>
    <w:rsid w:val="006A532F"/>
    <w:rsid w:val="006A53ED"/>
    <w:rsid w:val="006A584A"/>
    <w:rsid w:val="006A6CBA"/>
    <w:rsid w:val="006A722C"/>
    <w:rsid w:val="006B0389"/>
    <w:rsid w:val="006B212D"/>
    <w:rsid w:val="006B3D47"/>
    <w:rsid w:val="006B3F3B"/>
    <w:rsid w:val="006B455A"/>
    <w:rsid w:val="006B4CD0"/>
    <w:rsid w:val="006B4DD3"/>
    <w:rsid w:val="006B4F4D"/>
    <w:rsid w:val="006B652E"/>
    <w:rsid w:val="006B671F"/>
    <w:rsid w:val="006B69F0"/>
    <w:rsid w:val="006B7085"/>
    <w:rsid w:val="006B784A"/>
    <w:rsid w:val="006B7A73"/>
    <w:rsid w:val="006C095A"/>
    <w:rsid w:val="006C0E5D"/>
    <w:rsid w:val="006C11B4"/>
    <w:rsid w:val="006C18D5"/>
    <w:rsid w:val="006C227E"/>
    <w:rsid w:val="006C25FB"/>
    <w:rsid w:val="006C35DF"/>
    <w:rsid w:val="006C3A9C"/>
    <w:rsid w:val="006C40BF"/>
    <w:rsid w:val="006C440A"/>
    <w:rsid w:val="006C4601"/>
    <w:rsid w:val="006C5107"/>
    <w:rsid w:val="006C551C"/>
    <w:rsid w:val="006C55C6"/>
    <w:rsid w:val="006C5665"/>
    <w:rsid w:val="006C567A"/>
    <w:rsid w:val="006C5924"/>
    <w:rsid w:val="006C5B48"/>
    <w:rsid w:val="006C5F7A"/>
    <w:rsid w:val="006C6893"/>
    <w:rsid w:val="006C763A"/>
    <w:rsid w:val="006D05F5"/>
    <w:rsid w:val="006D0B76"/>
    <w:rsid w:val="006D0C09"/>
    <w:rsid w:val="006D0F24"/>
    <w:rsid w:val="006D0F66"/>
    <w:rsid w:val="006D12E5"/>
    <w:rsid w:val="006D17C7"/>
    <w:rsid w:val="006D1CBF"/>
    <w:rsid w:val="006D20BB"/>
    <w:rsid w:val="006D2689"/>
    <w:rsid w:val="006D2AC0"/>
    <w:rsid w:val="006D3B0D"/>
    <w:rsid w:val="006D3C4D"/>
    <w:rsid w:val="006D3F24"/>
    <w:rsid w:val="006D44D8"/>
    <w:rsid w:val="006D4F52"/>
    <w:rsid w:val="006D515D"/>
    <w:rsid w:val="006D58B1"/>
    <w:rsid w:val="006D5D10"/>
    <w:rsid w:val="006D5D80"/>
    <w:rsid w:val="006D627C"/>
    <w:rsid w:val="006D64FE"/>
    <w:rsid w:val="006D6AF2"/>
    <w:rsid w:val="006D70BC"/>
    <w:rsid w:val="006D7893"/>
    <w:rsid w:val="006E0789"/>
    <w:rsid w:val="006E1376"/>
    <w:rsid w:val="006E13C3"/>
    <w:rsid w:val="006E164F"/>
    <w:rsid w:val="006E1F7B"/>
    <w:rsid w:val="006E21E1"/>
    <w:rsid w:val="006E36B8"/>
    <w:rsid w:val="006E49AD"/>
    <w:rsid w:val="006E4B9F"/>
    <w:rsid w:val="006E5774"/>
    <w:rsid w:val="006E5CEC"/>
    <w:rsid w:val="006E7D88"/>
    <w:rsid w:val="006F00C0"/>
    <w:rsid w:val="006F0502"/>
    <w:rsid w:val="006F0F55"/>
    <w:rsid w:val="006F1032"/>
    <w:rsid w:val="006F10B4"/>
    <w:rsid w:val="006F1CEF"/>
    <w:rsid w:val="006F2271"/>
    <w:rsid w:val="006F2FCD"/>
    <w:rsid w:val="006F3CE5"/>
    <w:rsid w:val="006F4174"/>
    <w:rsid w:val="006F456B"/>
    <w:rsid w:val="006F4676"/>
    <w:rsid w:val="006F4A1B"/>
    <w:rsid w:val="006F4CD6"/>
    <w:rsid w:val="006F543A"/>
    <w:rsid w:val="006F5798"/>
    <w:rsid w:val="006F5E86"/>
    <w:rsid w:val="006F6142"/>
    <w:rsid w:val="006F664D"/>
    <w:rsid w:val="006F691D"/>
    <w:rsid w:val="006F73BC"/>
    <w:rsid w:val="006F763B"/>
    <w:rsid w:val="006F7795"/>
    <w:rsid w:val="00701220"/>
    <w:rsid w:val="00701E3C"/>
    <w:rsid w:val="00703D45"/>
    <w:rsid w:val="00704438"/>
    <w:rsid w:val="0070598D"/>
    <w:rsid w:val="00705B18"/>
    <w:rsid w:val="00706673"/>
    <w:rsid w:val="007066DD"/>
    <w:rsid w:val="0070688D"/>
    <w:rsid w:val="007068CB"/>
    <w:rsid w:val="007070FE"/>
    <w:rsid w:val="007073B1"/>
    <w:rsid w:val="00710A10"/>
    <w:rsid w:val="00710FCF"/>
    <w:rsid w:val="00711383"/>
    <w:rsid w:val="007115D9"/>
    <w:rsid w:val="00711673"/>
    <w:rsid w:val="00711693"/>
    <w:rsid w:val="007119F7"/>
    <w:rsid w:val="00711B68"/>
    <w:rsid w:val="00713DC9"/>
    <w:rsid w:val="00715806"/>
    <w:rsid w:val="00717079"/>
    <w:rsid w:val="007170BF"/>
    <w:rsid w:val="00717BAE"/>
    <w:rsid w:val="00717C05"/>
    <w:rsid w:val="00717E43"/>
    <w:rsid w:val="00717FBE"/>
    <w:rsid w:val="0072079D"/>
    <w:rsid w:val="00721D0F"/>
    <w:rsid w:val="00722A40"/>
    <w:rsid w:val="00723042"/>
    <w:rsid w:val="007233B9"/>
    <w:rsid w:val="007237DC"/>
    <w:rsid w:val="00723C18"/>
    <w:rsid w:val="00723D5E"/>
    <w:rsid w:val="0072594A"/>
    <w:rsid w:val="00725AB3"/>
    <w:rsid w:val="0072605D"/>
    <w:rsid w:val="007261C9"/>
    <w:rsid w:val="0072655B"/>
    <w:rsid w:val="00726600"/>
    <w:rsid w:val="007269D9"/>
    <w:rsid w:val="00726D8F"/>
    <w:rsid w:val="0072707E"/>
    <w:rsid w:val="00727128"/>
    <w:rsid w:val="007275AF"/>
    <w:rsid w:val="007275DD"/>
    <w:rsid w:val="0073017D"/>
    <w:rsid w:val="007301CB"/>
    <w:rsid w:val="007302AA"/>
    <w:rsid w:val="00730C2A"/>
    <w:rsid w:val="00731179"/>
    <w:rsid w:val="00731212"/>
    <w:rsid w:val="00731491"/>
    <w:rsid w:val="00731D80"/>
    <w:rsid w:val="00731DBE"/>
    <w:rsid w:val="007321AA"/>
    <w:rsid w:val="0073369C"/>
    <w:rsid w:val="00733FAD"/>
    <w:rsid w:val="00734B17"/>
    <w:rsid w:val="00735D4E"/>
    <w:rsid w:val="0073673A"/>
    <w:rsid w:val="007369BB"/>
    <w:rsid w:val="00737A5F"/>
    <w:rsid w:val="00740308"/>
    <w:rsid w:val="00740A7A"/>
    <w:rsid w:val="00740C6D"/>
    <w:rsid w:val="00740D2A"/>
    <w:rsid w:val="00740EF2"/>
    <w:rsid w:val="00741042"/>
    <w:rsid w:val="00741976"/>
    <w:rsid w:val="0074462E"/>
    <w:rsid w:val="00744DC1"/>
    <w:rsid w:val="00744E8B"/>
    <w:rsid w:val="007462FB"/>
    <w:rsid w:val="007469AC"/>
    <w:rsid w:val="0074764D"/>
    <w:rsid w:val="007502B3"/>
    <w:rsid w:val="0075102C"/>
    <w:rsid w:val="007515BD"/>
    <w:rsid w:val="00751987"/>
    <w:rsid w:val="007519A8"/>
    <w:rsid w:val="00752E6A"/>
    <w:rsid w:val="0075393F"/>
    <w:rsid w:val="00753B42"/>
    <w:rsid w:val="00754B45"/>
    <w:rsid w:val="00754DBA"/>
    <w:rsid w:val="00754F38"/>
    <w:rsid w:val="00754F6D"/>
    <w:rsid w:val="00755740"/>
    <w:rsid w:val="00756111"/>
    <w:rsid w:val="0075683B"/>
    <w:rsid w:val="0075740C"/>
    <w:rsid w:val="00757445"/>
    <w:rsid w:val="007602E8"/>
    <w:rsid w:val="00761E61"/>
    <w:rsid w:val="007624E5"/>
    <w:rsid w:val="00762DC1"/>
    <w:rsid w:val="007632FB"/>
    <w:rsid w:val="00763D09"/>
    <w:rsid w:val="0076460E"/>
    <w:rsid w:val="00764682"/>
    <w:rsid w:val="00764F87"/>
    <w:rsid w:val="00765D3B"/>
    <w:rsid w:val="00765D70"/>
    <w:rsid w:val="00767BB5"/>
    <w:rsid w:val="00770033"/>
    <w:rsid w:val="007703A1"/>
    <w:rsid w:val="00770BA0"/>
    <w:rsid w:val="00770BD7"/>
    <w:rsid w:val="00770C07"/>
    <w:rsid w:val="00771DB0"/>
    <w:rsid w:val="007721E2"/>
    <w:rsid w:val="00772262"/>
    <w:rsid w:val="007728C8"/>
    <w:rsid w:val="00772BF8"/>
    <w:rsid w:val="0077306F"/>
    <w:rsid w:val="007736B8"/>
    <w:rsid w:val="00773D4C"/>
    <w:rsid w:val="00774214"/>
    <w:rsid w:val="007742F5"/>
    <w:rsid w:val="00774BB3"/>
    <w:rsid w:val="0077572B"/>
    <w:rsid w:val="007757A1"/>
    <w:rsid w:val="00775A23"/>
    <w:rsid w:val="00775DBF"/>
    <w:rsid w:val="00775E28"/>
    <w:rsid w:val="00776758"/>
    <w:rsid w:val="00776A4D"/>
    <w:rsid w:val="0077721C"/>
    <w:rsid w:val="0077740C"/>
    <w:rsid w:val="0077741F"/>
    <w:rsid w:val="00777CCB"/>
    <w:rsid w:val="0078065E"/>
    <w:rsid w:val="007806A9"/>
    <w:rsid w:val="00781150"/>
    <w:rsid w:val="00781D5A"/>
    <w:rsid w:val="00781DCB"/>
    <w:rsid w:val="007829F4"/>
    <w:rsid w:val="00782ABA"/>
    <w:rsid w:val="00782B08"/>
    <w:rsid w:val="00782D59"/>
    <w:rsid w:val="0078397A"/>
    <w:rsid w:val="00784A3B"/>
    <w:rsid w:val="0078520C"/>
    <w:rsid w:val="007855B5"/>
    <w:rsid w:val="00785B3F"/>
    <w:rsid w:val="00785B89"/>
    <w:rsid w:val="00786072"/>
    <w:rsid w:val="00787594"/>
    <w:rsid w:val="007878C3"/>
    <w:rsid w:val="00787978"/>
    <w:rsid w:val="00787B70"/>
    <w:rsid w:val="00790CD4"/>
    <w:rsid w:val="00790FE9"/>
    <w:rsid w:val="00791181"/>
    <w:rsid w:val="00791B4E"/>
    <w:rsid w:val="007920F4"/>
    <w:rsid w:val="00792851"/>
    <w:rsid w:val="00792888"/>
    <w:rsid w:val="007930AD"/>
    <w:rsid w:val="007938E5"/>
    <w:rsid w:val="00793FC6"/>
    <w:rsid w:val="00794161"/>
    <w:rsid w:val="00794A6B"/>
    <w:rsid w:val="00794BB9"/>
    <w:rsid w:val="00795746"/>
    <w:rsid w:val="007959B7"/>
    <w:rsid w:val="00796202"/>
    <w:rsid w:val="0079637D"/>
    <w:rsid w:val="00796F43"/>
    <w:rsid w:val="00796FC3"/>
    <w:rsid w:val="007978FF"/>
    <w:rsid w:val="00797C61"/>
    <w:rsid w:val="007A0082"/>
    <w:rsid w:val="007A0780"/>
    <w:rsid w:val="007A131C"/>
    <w:rsid w:val="007A1419"/>
    <w:rsid w:val="007A24F5"/>
    <w:rsid w:val="007A251B"/>
    <w:rsid w:val="007A2A71"/>
    <w:rsid w:val="007A3644"/>
    <w:rsid w:val="007A36BE"/>
    <w:rsid w:val="007A3D68"/>
    <w:rsid w:val="007A44B4"/>
    <w:rsid w:val="007A4786"/>
    <w:rsid w:val="007A4901"/>
    <w:rsid w:val="007A52B4"/>
    <w:rsid w:val="007A5DED"/>
    <w:rsid w:val="007A6379"/>
    <w:rsid w:val="007A6A1B"/>
    <w:rsid w:val="007A7B07"/>
    <w:rsid w:val="007A7D26"/>
    <w:rsid w:val="007B009D"/>
    <w:rsid w:val="007B0243"/>
    <w:rsid w:val="007B0BB9"/>
    <w:rsid w:val="007B0C8A"/>
    <w:rsid w:val="007B0EFE"/>
    <w:rsid w:val="007B19B5"/>
    <w:rsid w:val="007B1CD2"/>
    <w:rsid w:val="007B1EA0"/>
    <w:rsid w:val="007B1FE4"/>
    <w:rsid w:val="007B3895"/>
    <w:rsid w:val="007B43B1"/>
    <w:rsid w:val="007B47BC"/>
    <w:rsid w:val="007B4FBB"/>
    <w:rsid w:val="007B52A5"/>
    <w:rsid w:val="007B5410"/>
    <w:rsid w:val="007B5B16"/>
    <w:rsid w:val="007B64AF"/>
    <w:rsid w:val="007B6986"/>
    <w:rsid w:val="007B6D1C"/>
    <w:rsid w:val="007C0691"/>
    <w:rsid w:val="007C097C"/>
    <w:rsid w:val="007C0D31"/>
    <w:rsid w:val="007C1425"/>
    <w:rsid w:val="007C15A3"/>
    <w:rsid w:val="007C2782"/>
    <w:rsid w:val="007C2E46"/>
    <w:rsid w:val="007C30BE"/>
    <w:rsid w:val="007C37A7"/>
    <w:rsid w:val="007C4580"/>
    <w:rsid w:val="007C45EF"/>
    <w:rsid w:val="007C4A23"/>
    <w:rsid w:val="007C4B06"/>
    <w:rsid w:val="007C5230"/>
    <w:rsid w:val="007C5533"/>
    <w:rsid w:val="007C5E1D"/>
    <w:rsid w:val="007C64F8"/>
    <w:rsid w:val="007C6682"/>
    <w:rsid w:val="007C69C9"/>
    <w:rsid w:val="007C6CBC"/>
    <w:rsid w:val="007C6D89"/>
    <w:rsid w:val="007C73EF"/>
    <w:rsid w:val="007C78B5"/>
    <w:rsid w:val="007C7D6B"/>
    <w:rsid w:val="007D0198"/>
    <w:rsid w:val="007D01A4"/>
    <w:rsid w:val="007D06C1"/>
    <w:rsid w:val="007D0D36"/>
    <w:rsid w:val="007D125F"/>
    <w:rsid w:val="007D1637"/>
    <w:rsid w:val="007D191E"/>
    <w:rsid w:val="007D1953"/>
    <w:rsid w:val="007D329F"/>
    <w:rsid w:val="007D3C2C"/>
    <w:rsid w:val="007D3E07"/>
    <w:rsid w:val="007D46F2"/>
    <w:rsid w:val="007D473D"/>
    <w:rsid w:val="007D5D94"/>
    <w:rsid w:val="007D5EEA"/>
    <w:rsid w:val="007D63DA"/>
    <w:rsid w:val="007D6618"/>
    <w:rsid w:val="007D731D"/>
    <w:rsid w:val="007D734A"/>
    <w:rsid w:val="007D73E8"/>
    <w:rsid w:val="007E05BC"/>
    <w:rsid w:val="007E079D"/>
    <w:rsid w:val="007E0D1C"/>
    <w:rsid w:val="007E0EF2"/>
    <w:rsid w:val="007E0FF7"/>
    <w:rsid w:val="007E1170"/>
    <w:rsid w:val="007E1BF8"/>
    <w:rsid w:val="007E24F0"/>
    <w:rsid w:val="007E2687"/>
    <w:rsid w:val="007E3209"/>
    <w:rsid w:val="007E377E"/>
    <w:rsid w:val="007E4796"/>
    <w:rsid w:val="007E5883"/>
    <w:rsid w:val="007E5931"/>
    <w:rsid w:val="007E59F7"/>
    <w:rsid w:val="007E5A90"/>
    <w:rsid w:val="007E63EA"/>
    <w:rsid w:val="007E6B8A"/>
    <w:rsid w:val="007E6B9A"/>
    <w:rsid w:val="007E6C14"/>
    <w:rsid w:val="007E6F71"/>
    <w:rsid w:val="007E739C"/>
    <w:rsid w:val="007E770A"/>
    <w:rsid w:val="007E7BF0"/>
    <w:rsid w:val="007F0A5B"/>
    <w:rsid w:val="007F0D49"/>
    <w:rsid w:val="007F0D70"/>
    <w:rsid w:val="007F1261"/>
    <w:rsid w:val="007F1A44"/>
    <w:rsid w:val="007F24EF"/>
    <w:rsid w:val="007F35D5"/>
    <w:rsid w:val="007F38E8"/>
    <w:rsid w:val="007F3BCC"/>
    <w:rsid w:val="007F487D"/>
    <w:rsid w:val="007F4EE3"/>
    <w:rsid w:val="007F508E"/>
    <w:rsid w:val="007F5A96"/>
    <w:rsid w:val="007F6B71"/>
    <w:rsid w:val="007F6F2C"/>
    <w:rsid w:val="007F70A6"/>
    <w:rsid w:val="007F74D0"/>
    <w:rsid w:val="007F74D9"/>
    <w:rsid w:val="00800158"/>
    <w:rsid w:val="008006E1"/>
    <w:rsid w:val="00800C48"/>
    <w:rsid w:val="00800DC2"/>
    <w:rsid w:val="00801A87"/>
    <w:rsid w:val="00802C7E"/>
    <w:rsid w:val="00805ACF"/>
    <w:rsid w:val="00806412"/>
    <w:rsid w:val="0080646B"/>
    <w:rsid w:val="00807684"/>
    <w:rsid w:val="00807882"/>
    <w:rsid w:val="008102BA"/>
    <w:rsid w:val="008106B9"/>
    <w:rsid w:val="00810931"/>
    <w:rsid w:val="00810EAA"/>
    <w:rsid w:val="0081108C"/>
    <w:rsid w:val="00811393"/>
    <w:rsid w:val="008115BB"/>
    <w:rsid w:val="008118DE"/>
    <w:rsid w:val="00811AD8"/>
    <w:rsid w:val="00812BB9"/>
    <w:rsid w:val="00812FA4"/>
    <w:rsid w:val="008130A1"/>
    <w:rsid w:val="008144AD"/>
    <w:rsid w:val="008145B3"/>
    <w:rsid w:val="0081469A"/>
    <w:rsid w:val="008147E9"/>
    <w:rsid w:val="00814881"/>
    <w:rsid w:val="008148CB"/>
    <w:rsid w:val="00814FAE"/>
    <w:rsid w:val="008151CA"/>
    <w:rsid w:val="00815982"/>
    <w:rsid w:val="00815DF4"/>
    <w:rsid w:val="008163A2"/>
    <w:rsid w:val="00816703"/>
    <w:rsid w:val="00817683"/>
    <w:rsid w:val="0081776A"/>
    <w:rsid w:val="008201CF"/>
    <w:rsid w:val="00820A08"/>
    <w:rsid w:val="008210BD"/>
    <w:rsid w:val="00821334"/>
    <w:rsid w:val="00821761"/>
    <w:rsid w:val="008218F9"/>
    <w:rsid w:val="00821A08"/>
    <w:rsid w:val="00821AF4"/>
    <w:rsid w:val="00821FD4"/>
    <w:rsid w:val="008222D5"/>
    <w:rsid w:val="00822DD5"/>
    <w:rsid w:val="008237BB"/>
    <w:rsid w:val="00823F76"/>
    <w:rsid w:val="00825165"/>
    <w:rsid w:val="0082551F"/>
    <w:rsid w:val="00825562"/>
    <w:rsid w:val="00825A39"/>
    <w:rsid w:val="008263B1"/>
    <w:rsid w:val="0082643E"/>
    <w:rsid w:val="008264E0"/>
    <w:rsid w:val="00826FAB"/>
    <w:rsid w:val="00827676"/>
    <w:rsid w:val="00827A23"/>
    <w:rsid w:val="00827B2C"/>
    <w:rsid w:val="00827F82"/>
    <w:rsid w:val="0083038E"/>
    <w:rsid w:val="008304E1"/>
    <w:rsid w:val="008309B1"/>
    <w:rsid w:val="008314B9"/>
    <w:rsid w:val="00831C7E"/>
    <w:rsid w:val="00832B02"/>
    <w:rsid w:val="00832EFA"/>
    <w:rsid w:val="00833378"/>
    <w:rsid w:val="008335D3"/>
    <w:rsid w:val="00833635"/>
    <w:rsid w:val="0083364B"/>
    <w:rsid w:val="00833EDE"/>
    <w:rsid w:val="00834778"/>
    <w:rsid w:val="00834FB0"/>
    <w:rsid w:val="008361BA"/>
    <w:rsid w:val="0083716E"/>
    <w:rsid w:val="00837486"/>
    <w:rsid w:val="0083765E"/>
    <w:rsid w:val="00841573"/>
    <w:rsid w:val="0084200A"/>
    <w:rsid w:val="00842FEC"/>
    <w:rsid w:val="00843038"/>
    <w:rsid w:val="00843B68"/>
    <w:rsid w:val="00843E45"/>
    <w:rsid w:val="008450D4"/>
    <w:rsid w:val="00847F42"/>
    <w:rsid w:val="00851032"/>
    <w:rsid w:val="00851369"/>
    <w:rsid w:val="00851EF1"/>
    <w:rsid w:val="0085205F"/>
    <w:rsid w:val="0085271A"/>
    <w:rsid w:val="00852A52"/>
    <w:rsid w:val="008537E1"/>
    <w:rsid w:val="00853E76"/>
    <w:rsid w:val="0085477F"/>
    <w:rsid w:val="0085549C"/>
    <w:rsid w:val="008555DE"/>
    <w:rsid w:val="008556C8"/>
    <w:rsid w:val="00855781"/>
    <w:rsid w:val="008559A9"/>
    <w:rsid w:val="00856690"/>
    <w:rsid w:val="00856E06"/>
    <w:rsid w:val="0085745B"/>
    <w:rsid w:val="00857C3D"/>
    <w:rsid w:val="00857C4C"/>
    <w:rsid w:val="00857ECC"/>
    <w:rsid w:val="00860055"/>
    <w:rsid w:val="0086097A"/>
    <w:rsid w:val="008611F0"/>
    <w:rsid w:val="008620BC"/>
    <w:rsid w:val="008622F2"/>
    <w:rsid w:val="00862700"/>
    <w:rsid w:val="008628C8"/>
    <w:rsid w:val="00862D8D"/>
    <w:rsid w:val="0086358D"/>
    <w:rsid w:val="00863801"/>
    <w:rsid w:val="00863C50"/>
    <w:rsid w:val="0086495D"/>
    <w:rsid w:val="00864BD3"/>
    <w:rsid w:val="00864FCA"/>
    <w:rsid w:val="008651CF"/>
    <w:rsid w:val="008656E6"/>
    <w:rsid w:val="008657DE"/>
    <w:rsid w:val="00865B5E"/>
    <w:rsid w:val="00866658"/>
    <w:rsid w:val="00867DFB"/>
    <w:rsid w:val="00870273"/>
    <w:rsid w:val="008716C8"/>
    <w:rsid w:val="00871BF8"/>
    <w:rsid w:val="00871F1D"/>
    <w:rsid w:val="00872839"/>
    <w:rsid w:val="0087405D"/>
    <w:rsid w:val="0087437A"/>
    <w:rsid w:val="00874720"/>
    <w:rsid w:val="00874B15"/>
    <w:rsid w:val="00874E4A"/>
    <w:rsid w:val="00874E8B"/>
    <w:rsid w:val="0087506B"/>
    <w:rsid w:val="00875A66"/>
    <w:rsid w:val="008766CD"/>
    <w:rsid w:val="00876BA5"/>
    <w:rsid w:val="008775A2"/>
    <w:rsid w:val="00877ED7"/>
    <w:rsid w:val="0088023E"/>
    <w:rsid w:val="00881029"/>
    <w:rsid w:val="008811D8"/>
    <w:rsid w:val="008812B5"/>
    <w:rsid w:val="00881718"/>
    <w:rsid w:val="00881C59"/>
    <w:rsid w:val="00881CBD"/>
    <w:rsid w:val="00881D23"/>
    <w:rsid w:val="008825F4"/>
    <w:rsid w:val="00882FD9"/>
    <w:rsid w:val="008832D4"/>
    <w:rsid w:val="00883988"/>
    <w:rsid w:val="00884549"/>
    <w:rsid w:val="008849CE"/>
    <w:rsid w:val="008850C4"/>
    <w:rsid w:val="00885269"/>
    <w:rsid w:val="00885E72"/>
    <w:rsid w:val="00886A24"/>
    <w:rsid w:val="00886ED5"/>
    <w:rsid w:val="008874C8"/>
    <w:rsid w:val="00891275"/>
    <w:rsid w:val="0089218D"/>
    <w:rsid w:val="00892B37"/>
    <w:rsid w:val="00892E0E"/>
    <w:rsid w:val="00893C94"/>
    <w:rsid w:val="0089435C"/>
    <w:rsid w:val="008947A7"/>
    <w:rsid w:val="00894A9F"/>
    <w:rsid w:val="00894C7E"/>
    <w:rsid w:val="008951DD"/>
    <w:rsid w:val="00895E5A"/>
    <w:rsid w:val="00897031"/>
    <w:rsid w:val="00897816"/>
    <w:rsid w:val="00897DFA"/>
    <w:rsid w:val="008A05E3"/>
    <w:rsid w:val="008A1639"/>
    <w:rsid w:val="008A1AAA"/>
    <w:rsid w:val="008A1E50"/>
    <w:rsid w:val="008A1F4D"/>
    <w:rsid w:val="008A23C7"/>
    <w:rsid w:val="008A579A"/>
    <w:rsid w:val="008A5858"/>
    <w:rsid w:val="008A5FDB"/>
    <w:rsid w:val="008A6146"/>
    <w:rsid w:val="008A69D4"/>
    <w:rsid w:val="008A729E"/>
    <w:rsid w:val="008A7BB0"/>
    <w:rsid w:val="008A7C3A"/>
    <w:rsid w:val="008B03C9"/>
    <w:rsid w:val="008B0FF3"/>
    <w:rsid w:val="008B1041"/>
    <w:rsid w:val="008B115B"/>
    <w:rsid w:val="008B138B"/>
    <w:rsid w:val="008B149D"/>
    <w:rsid w:val="008B1FD0"/>
    <w:rsid w:val="008B2510"/>
    <w:rsid w:val="008B25DA"/>
    <w:rsid w:val="008B281F"/>
    <w:rsid w:val="008B2B32"/>
    <w:rsid w:val="008B2FEC"/>
    <w:rsid w:val="008B31CD"/>
    <w:rsid w:val="008B3386"/>
    <w:rsid w:val="008B3A09"/>
    <w:rsid w:val="008B3B8E"/>
    <w:rsid w:val="008B3D97"/>
    <w:rsid w:val="008B3F1F"/>
    <w:rsid w:val="008B453F"/>
    <w:rsid w:val="008B4C83"/>
    <w:rsid w:val="008B4D27"/>
    <w:rsid w:val="008B50B4"/>
    <w:rsid w:val="008B5744"/>
    <w:rsid w:val="008B63D4"/>
    <w:rsid w:val="008B6A8D"/>
    <w:rsid w:val="008B6E6A"/>
    <w:rsid w:val="008B70B5"/>
    <w:rsid w:val="008B7949"/>
    <w:rsid w:val="008B7A71"/>
    <w:rsid w:val="008C0942"/>
    <w:rsid w:val="008C1331"/>
    <w:rsid w:val="008C1C5B"/>
    <w:rsid w:val="008C1E89"/>
    <w:rsid w:val="008C2115"/>
    <w:rsid w:val="008C2C72"/>
    <w:rsid w:val="008C2CC2"/>
    <w:rsid w:val="008C2CCA"/>
    <w:rsid w:val="008C2E78"/>
    <w:rsid w:val="008C310E"/>
    <w:rsid w:val="008C36B2"/>
    <w:rsid w:val="008C38F0"/>
    <w:rsid w:val="008C3D58"/>
    <w:rsid w:val="008C3EDB"/>
    <w:rsid w:val="008C3EEA"/>
    <w:rsid w:val="008C4946"/>
    <w:rsid w:val="008C5046"/>
    <w:rsid w:val="008C5219"/>
    <w:rsid w:val="008C55E8"/>
    <w:rsid w:val="008C78C0"/>
    <w:rsid w:val="008C7FA0"/>
    <w:rsid w:val="008D064B"/>
    <w:rsid w:val="008D0DEE"/>
    <w:rsid w:val="008D101E"/>
    <w:rsid w:val="008D14DF"/>
    <w:rsid w:val="008D15B7"/>
    <w:rsid w:val="008D1EA6"/>
    <w:rsid w:val="008D3486"/>
    <w:rsid w:val="008D406A"/>
    <w:rsid w:val="008D4FCA"/>
    <w:rsid w:val="008D4FE2"/>
    <w:rsid w:val="008D6260"/>
    <w:rsid w:val="008D6C6D"/>
    <w:rsid w:val="008D73F4"/>
    <w:rsid w:val="008E0372"/>
    <w:rsid w:val="008E0664"/>
    <w:rsid w:val="008E0B57"/>
    <w:rsid w:val="008E0BE9"/>
    <w:rsid w:val="008E0D11"/>
    <w:rsid w:val="008E0D46"/>
    <w:rsid w:val="008E160E"/>
    <w:rsid w:val="008E16B7"/>
    <w:rsid w:val="008E1970"/>
    <w:rsid w:val="008E1F02"/>
    <w:rsid w:val="008E224B"/>
    <w:rsid w:val="008E226C"/>
    <w:rsid w:val="008E2EEB"/>
    <w:rsid w:val="008E3B5B"/>
    <w:rsid w:val="008E3F54"/>
    <w:rsid w:val="008E4135"/>
    <w:rsid w:val="008E46C9"/>
    <w:rsid w:val="008E46CB"/>
    <w:rsid w:val="008E5C99"/>
    <w:rsid w:val="008E60AC"/>
    <w:rsid w:val="008E6840"/>
    <w:rsid w:val="008E6B25"/>
    <w:rsid w:val="008E6C87"/>
    <w:rsid w:val="008E6F99"/>
    <w:rsid w:val="008F0425"/>
    <w:rsid w:val="008F066F"/>
    <w:rsid w:val="008F0886"/>
    <w:rsid w:val="008F08A1"/>
    <w:rsid w:val="008F0A8E"/>
    <w:rsid w:val="008F11F7"/>
    <w:rsid w:val="008F144F"/>
    <w:rsid w:val="008F14FD"/>
    <w:rsid w:val="008F1A48"/>
    <w:rsid w:val="008F1E66"/>
    <w:rsid w:val="008F22FB"/>
    <w:rsid w:val="008F23A3"/>
    <w:rsid w:val="008F28C5"/>
    <w:rsid w:val="008F28DF"/>
    <w:rsid w:val="008F2F5B"/>
    <w:rsid w:val="008F3449"/>
    <w:rsid w:val="008F34F8"/>
    <w:rsid w:val="008F3557"/>
    <w:rsid w:val="008F3759"/>
    <w:rsid w:val="008F3CA8"/>
    <w:rsid w:val="008F5533"/>
    <w:rsid w:val="008F726C"/>
    <w:rsid w:val="00902D03"/>
    <w:rsid w:val="009031AB"/>
    <w:rsid w:val="009033F2"/>
    <w:rsid w:val="00903E6F"/>
    <w:rsid w:val="00903F79"/>
    <w:rsid w:val="00904296"/>
    <w:rsid w:val="009044A0"/>
    <w:rsid w:val="00904E93"/>
    <w:rsid w:val="00905707"/>
    <w:rsid w:val="009061C3"/>
    <w:rsid w:val="0090641A"/>
    <w:rsid w:val="00906BBE"/>
    <w:rsid w:val="00907831"/>
    <w:rsid w:val="00907A76"/>
    <w:rsid w:val="009122BF"/>
    <w:rsid w:val="00912430"/>
    <w:rsid w:val="00912FAF"/>
    <w:rsid w:val="00913F07"/>
    <w:rsid w:val="009142BA"/>
    <w:rsid w:val="00914B27"/>
    <w:rsid w:val="00914BC5"/>
    <w:rsid w:val="00915877"/>
    <w:rsid w:val="00915A71"/>
    <w:rsid w:val="00915C81"/>
    <w:rsid w:val="00915DE4"/>
    <w:rsid w:val="0091623A"/>
    <w:rsid w:val="009179D4"/>
    <w:rsid w:val="009200F8"/>
    <w:rsid w:val="009206DE"/>
    <w:rsid w:val="00920FC7"/>
    <w:rsid w:val="0092162E"/>
    <w:rsid w:val="00922337"/>
    <w:rsid w:val="0092260F"/>
    <w:rsid w:val="00922F8A"/>
    <w:rsid w:val="00923111"/>
    <w:rsid w:val="00923FE2"/>
    <w:rsid w:val="009242F1"/>
    <w:rsid w:val="00924382"/>
    <w:rsid w:val="009256FC"/>
    <w:rsid w:val="009259DE"/>
    <w:rsid w:val="009263BB"/>
    <w:rsid w:val="009265FC"/>
    <w:rsid w:val="00926EEB"/>
    <w:rsid w:val="009270CF"/>
    <w:rsid w:val="009279F5"/>
    <w:rsid w:val="00927ACA"/>
    <w:rsid w:val="00927C87"/>
    <w:rsid w:val="00930597"/>
    <w:rsid w:val="00930E45"/>
    <w:rsid w:val="00931308"/>
    <w:rsid w:val="00931F5F"/>
    <w:rsid w:val="00932340"/>
    <w:rsid w:val="00932ACF"/>
    <w:rsid w:val="0093367D"/>
    <w:rsid w:val="009339FF"/>
    <w:rsid w:val="00933EBF"/>
    <w:rsid w:val="00934234"/>
    <w:rsid w:val="00934C22"/>
    <w:rsid w:val="00934C45"/>
    <w:rsid w:val="00935E1D"/>
    <w:rsid w:val="00935E5B"/>
    <w:rsid w:val="00936240"/>
    <w:rsid w:val="00936674"/>
    <w:rsid w:val="00936D19"/>
    <w:rsid w:val="009370DD"/>
    <w:rsid w:val="0093734F"/>
    <w:rsid w:val="00937615"/>
    <w:rsid w:val="0093786C"/>
    <w:rsid w:val="00937983"/>
    <w:rsid w:val="00940AB4"/>
    <w:rsid w:val="00940C8F"/>
    <w:rsid w:val="00940DC4"/>
    <w:rsid w:val="009410CB"/>
    <w:rsid w:val="009416F5"/>
    <w:rsid w:val="00942015"/>
    <w:rsid w:val="0094221A"/>
    <w:rsid w:val="0094250B"/>
    <w:rsid w:val="00942583"/>
    <w:rsid w:val="00942BC9"/>
    <w:rsid w:val="009433F0"/>
    <w:rsid w:val="00943460"/>
    <w:rsid w:val="00943B16"/>
    <w:rsid w:val="0094466C"/>
    <w:rsid w:val="009447E8"/>
    <w:rsid w:val="00944C4B"/>
    <w:rsid w:val="0094567C"/>
    <w:rsid w:val="0094573C"/>
    <w:rsid w:val="00945991"/>
    <w:rsid w:val="009459E8"/>
    <w:rsid w:val="00945E2B"/>
    <w:rsid w:val="00946204"/>
    <w:rsid w:val="0094677C"/>
    <w:rsid w:val="00946B06"/>
    <w:rsid w:val="00946F25"/>
    <w:rsid w:val="0094732B"/>
    <w:rsid w:val="00947A3F"/>
    <w:rsid w:val="00947BBF"/>
    <w:rsid w:val="0095131A"/>
    <w:rsid w:val="009515A2"/>
    <w:rsid w:val="00951FF9"/>
    <w:rsid w:val="009538DC"/>
    <w:rsid w:val="0095391B"/>
    <w:rsid w:val="009539AA"/>
    <w:rsid w:val="00953A0E"/>
    <w:rsid w:val="00953D22"/>
    <w:rsid w:val="00954501"/>
    <w:rsid w:val="009549B1"/>
    <w:rsid w:val="00954E06"/>
    <w:rsid w:val="00956139"/>
    <w:rsid w:val="00956305"/>
    <w:rsid w:val="0095636F"/>
    <w:rsid w:val="009563C8"/>
    <w:rsid w:val="00957760"/>
    <w:rsid w:val="00957C66"/>
    <w:rsid w:val="00962121"/>
    <w:rsid w:val="00962332"/>
    <w:rsid w:val="009627DD"/>
    <w:rsid w:val="00962A75"/>
    <w:rsid w:val="0096316E"/>
    <w:rsid w:val="009636F2"/>
    <w:rsid w:val="00964EB9"/>
    <w:rsid w:val="009651B2"/>
    <w:rsid w:val="009652E6"/>
    <w:rsid w:val="00965F51"/>
    <w:rsid w:val="009665E4"/>
    <w:rsid w:val="00967330"/>
    <w:rsid w:val="0096783A"/>
    <w:rsid w:val="00967D44"/>
    <w:rsid w:val="00967F4B"/>
    <w:rsid w:val="009701BF"/>
    <w:rsid w:val="0097159B"/>
    <w:rsid w:val="0097194F"/>
    <w:rsid w:val="00971B52"/>
    <w:rsid w:val="00971BF8"/>
    <w:rsid w:val="00972B77"/>
    <w:rsid w:val="00972C0C"/>
    <w:rsid w:val="0097364C"/>
    <w:rsid w:val="0097365B"/>
    <w:rsid w:val="00973C11"/>
    <w:rsid w:val="00974233"/>
    <w:rsid w:val="00975DF4"/>
    <w:rsid w:val="009773A7"/>
    <w:rsid w:val="0097773A"/>
    <w:rsid w:val="00977A4F"/>
    <w:rsid w:val="009801F1"/>
    <w:rsid w:val="009802F9"/>
    <w:rsid w:val="00980A00"/>
    <w:rsid w:val="00980AE1"/>
    <w:rsid w:val="00981449"/>
    <w:rsid w:val="00982423"/>
    <w:rsid w:val="00983677"/>
    <w:rsid w:val="009837C3"/>
    <w:rsid w:val="009840C3"/>
    <w:rsid w:val="0098422F"/>
    <w:rsid w:val="00984374"/>
    <w:rsid w:val="0098466A"/>
    <w:rsid w:val="00985C48"/>
    <w:rsid w:val="00985EF6"/>
    <w:rsid w:val="009860D3"/>
    <w:rsid w:val="0098614D"/>
    <w:rsid w:val="0098701F"/>
    <w:rsid w:val="0098736E"/>
    <w:rsid w:val="0098759B"/>
    <w:rsid w:val="00987A73"/>
    <w:rsid w:val="00987AA8"/>
    <w:rsid w:val="00987B41"/>
    <w:rsid w:val="00990B2C"/>
    <w:rsid w:val="00990C27"/>
    <w:rsid w:val="0099114C"/>
    <w:rsid w:val="00991532"/>
    <w:rsid w:val="009915B9"/>
    <w:rsid w:val="00992970"/>
    <w:rsid w:val="00992AFF"/>
    <w:rsid w:val="00992D42"/>
    <w:rsid w:val="009936EC"/>
    <w:rsid w:val="009937CD"/>
    <w:rsid w:val="00993DD1"/>
    <w:rsid w:val="00994899"/>
    <w:rsid w:val="00995311"/>
    <w:rsid w:val="009957CC"/>
    <w:rsid w:val="009961DF"/>
    <w:rsid w:val="00997031"/>
    <w:rsid w:val="009977AB"/>
    <w:rsid w:val="00997CA3"/>
    <w:rsid w:val="009A0862"/>
    <w:rsid w:val="009A0E35"/>
    <w:rsid w:val="009A101C"/>
    <w:rsid w:val="009A1528"/>
    <w:rsid w:val="009A15EF"/>
    <w:rsid w:val="009A1CD9"/>
    <w:rsid w:val="009A1D8D"/>
    <w:rsid w:val="009A1DBE"/>
    <w:rsid w:val="009A2C69"/>
    <w:rsid w:val="009A2E1F"/>
    <w:rsid w:val="009A30D0"/>
    <w:rsid w:val="009A3330"/>
    <w:rsid w:val="009A378C"/>
    <w:rsid w:val="009A3B6F"/>
    <w:rsid w:val="009A42B4"/>
    <w:rsid w:val="009A4FE1"/>
    <w:rsid w:val="009A5243"/>
    <w:rsid w:val="009A5486"/>
    <w:rsid w:val="009A5814"/>
    <w:rsid w:val="009A605A"/>
    <w:rsid w:val="009A60ED"/>
    <w:rsid w:val="009A60FE"/>
    <w:rsid w:val="009A6E5E"/>
    <w:rsid w:val="009A71FB"/>
    <w:rsid w:val="009A77A4"/>
    <w:rsid w:val="009A78A0"/>
    <w:rsid w:val="009B0B6E"/>
    <w:rsid w:val="009B10BC"/>
    <w:rsid w:val="009B1422"/>
    <w:rsid w:val="009B1F61"/>
    <w:rsid w:val="009B2054"/>
    <w:rsid w:val="009B2A78"/>
    <w:rsid w:val="009B3648"/>
    <w:rsid w:val="009B407A"/>
    <w:rsid w:val="009B4A7F"/>
    <w:rsid w:val="009B4AEC"/>
    <w:rsid w:val="009B4BA0"/>
    <w:rsid w:val="009B5A2E"/>
    <w:rsid w:val="009B5DBF"/>
    <w:rsid w:val="009B689A"/>
    <w:rsid w:val="009B6990"/>
    <w:rsid w:val="009B6D4B"/>
    <w:rsid w:val="009B7125"/>
    <w:rsid w:val="009B7ED3"/>
    <w:rsid w:val="009C0521"/>
    <w:rsid w:val="009C0651"/>
    <w:rsid w:val="009C08AD"/>
    <w:rsid w:val="009C0EA7"/>
    <w:rsid w:val="009C12DF"/>
    <w:rsid w:val="009C141D"/>
    <w:rsid w:val="009C2877"/>
    <w:rsid w:val="009C39B5"/>
    <w:rsid w:val="009C46F6"/>
    <w:rsid w:val="009C488B"/>
    <w:rsid w:val="009C48CC"/>
    <w:rsid w:val="009C5D3D"/>
    <w:rsid w:val="009C6054"/>
    <w:rsid w:val="009C6DA2"/>
    <w:rsid w:val="009C7776"/>
    <w:rsid w:val="009C7962"/>
    <w:rsid w:val="009D0067"/>
    <w:rsid w:val="009D0DA5"/>
    <w:rsid w:val="009D1E6D"/>
    <w:rsid w:val="009D2339"/>
    <w:rsid w:val="009D268C"/>
    <w:rsid w:val="009D2E59"/>
    <w:rsid w:val="009D324A"/>
    <w:rsid w:val="009D40A5"/>
    <w:rsid w:val="009D422D"/>
    <w:rsid w:val="009D4AD2"/>
    <w:rsid w:val="009D62CF"/>
    <w:rsid w:val="009D6AB9"/>
    <w:rsid w:val="009D6B76"/>
    <w:rsid w:val="009D7457"/>
    <w:rsid w:val="009D7872"/>
    <w:rsid w:val="009D7B0D"/>
    <w:rsid w:val="009D7CA6"/>
    <w:rsid w:val="009E0A8C"/>
    <w:rsid w:val="009E125F"/>
    <w:rsid w:val="009E12A9"/>
    <w:rsid w:val="009E18BD"/>
    <w:rsid w:val="009E1EAC"/>
    <w:rsid w:val="009E28E1"/>
    <w:rsid w:val="009E2D0D"/>
    <w:rsid w:val="009E30E1"/>
    <w:rsid w:val="009E34B0"/>
    <w:rsid w:val="009E40B8"/>
    <w:rsid w:val="009E45BE"/>
    <w:rsid w:val="009E49C1"/>
    <w:rsid w:val="009E523E"/>
    <w:rsid w:val="009E52C7"/>
    <w:rsid w:val="009E5570"/>
    <w:rsid w:val="009E5C67"/>
    <w:rsid w:val="009E6933"/>
    <w:rsid w:val="009E694E"/>
    <w:rsid w:val="009E6985"/>
    <w:rsid w:val="009E6ACC"/>
    <w:rsid w:val="009E6AFB"/>
    <w:rsid w:val="009E7F01"/>
    <w:rsid w:val="009F04B4"/>
    <w:rsid w:val="009F0A1D"/>
    <w:rsid w:val="009F0A24"/>
    <w:rsid w:val="009F1BA5"/>
    <w:rsid w:val="009F1DFF"/>
    <w:rsid w:val="009F1E4F"/>
    <w:rsid w:val="009F2CCE"/>
    <w:rsid w:val="009F353D"/>
    <w:rsid w:val="009F42DE"/>
    <w:rsid w:val="009F4311"/>
    <w:rsid w:val="009F4D8B"/>
    <w:rsid w:val="009F53FD"/>
    <w:rsid w:val="009F5773"/>
    <w:rsid w:val="009F5EBE"/>
    <w:rsid w:val="009F602A"/>
    <w:rsid w:val="009F6F4E"/>
    <w:rsid w:val="009F70AF"/>
    <w:rsid w:val="009F77C7"/>
    <w:rsid w:val="009F7852"/>
    <w:rsid w:val="00A00467"/>
    <w:rsid w:val="00A00C0D"/>
    <w:rsid w:val="00A013B3"/>
    <w:rsid w:val="00A01F62"/>
    <w:rsid w:val="00A01FCC"/>
    <w:rsid w:val="00A03853"/>
    <w:rsid w:val="00A03D13"/>
    <w:rsid w:val="00A04595"/>
    <w:rsid w:val="00A04A58"/>
    <w:rsid w:val="00A054AB"/>
    <w:rsid w:val="00A06EAF"/>
    <w:rsid w:val="00A075EB"/>
    <w:rsid w:val="00A076F0"/>
    <w:rsid w:val="00A102E0"/>
    <w:rsid w:val="00A1091A"/>
    <w:rsid w:val="00A112E3"/>
    <w:rsid w:val="00A12150"/>
    <w:rsid w:val="00A12C10"/>
    <w:rsid w:val="00A13B1E"/>
    <w:rsid w:val="00A13D52"/>
    <w:rsid w:val="00A13E10"/>
    <w:rsid w:val="00A13E68"/>
    <w:rsid w:val="00A14C16"/>
    <w:rsid w:val="00A15A4C"/>
    <w:rsid w:val="00A1731F"/>
    <w:rsid w:val="00A1734A"/>
    <w:rsid w:val="00A20EA6"/>
    <w:rsid w:val="00A21C2B"/>
    <w:rsid w:val="00A231E0"/>
    <w:rsid w:val="00A2394B"/>
    <w:rsid w:val="00A23C06"/>
    <w:rsid w:val="00A23C41"/>
    <w:rsid w:val="00A24658"/>
    <w:rsid w:val="00A26519"/>
    <w:rsid w:val="00A26762"/>
    <w:rsid w:val="00A268BD"/>
    <w:rsid w:val="00A269E7"/>
    <w:rsid w:val="00A26D0C"/>
    <w:rsid w:val="00A27306"/>
    <w:rsid w:val="00A27F1F"/>
    <w:rsid w:val="00A30BFE"/>
    <w:rsid w:val="00A30D29"/>
    <w:rsid w:val="00A31031"/>
    <w:rsid w:val="00A316F5"/>
    <w:rsid w:val="00A31EA9"/>
    <w:rsid w:val="00A320D0"/>
    <w:rsid w:val="00A32827"/>
    <w:rsid w:val="00A32F56"/>
    <w:rsid w:val="00A3358D"/>
    <w:rsid w:val="00A339DC"/>
    <w:rsid w:val="00A33CFB"/>
    <w:rsid w:val="00A33E2F"/>
    <w:rsid w:val="00A34161"/>
    <w:rsid w:val="00A34683"/>
    <w:rsid w:val="00A3486C"/>
    <w:rsid w:val="00A34FE7"/>
    <w:rsid w:val="00A35026"/>
    <w:rsid w:val="00A35211"/>
    <w:rsid w:val="00A355B7"/>
    <w:rsid w:val="00A355EE"/>
    <w:rsid w:val="00A355FB"/>
    <w:rsid w:val="00A364F2"/>
    <w:rsid w:val="00A3703B"/>
    <w:rsid w:val="00A37270"/>
    <w:rsid w:val="00A372DB"/>
    <w:rsid w:val="00A378AD"/>
    <w:rsid w:val="00A37EF3"/>
    <w:rsid w:val="00A40AA5"/>
    <w:rsid w:val="00A40B7E"/>
    <w:rsid w:val="00A40B9B"/>
    <w:rsid w:val="00A4193A"/>
    <w:rsid w:val="00A41B7B"/>
    <w:rsid w:val="00A41EAF"/>
    <w:rsid w:val="00A42BE7"/>
    <w:rsid w:val="00A431CB"/>
    <w:rsid w:val="00A431FD"/>
    <w:rsid w:val="00A43D93"/>
    <w:rsid w:val="00A44C46"/>
    <w:rsid w:val="00A44CDA"/>
    <w:rsid w:val="00A4578E"/>
    <w:rsid w:val="00A4598E"/>
    <w:rsid w:val="00A459AB"/>
    <w:rsid w:val="00A46021"/>
    <w:rsid w:val="00A46175"/>
    <w:rsid w:val="00A461FE"/>
    <w:rsid w:val="00A46E46"/>
    <w:rsid w:val="00A47AEF"/>
    <w:rsid w:val="00A50E8B"/>
    <w:rsid w:val="00A519D0"/>
    <w:rsid w:val="00A52D26"/>
    <w:rsid w:val="00A53A82"/>
    <w:rsid w:val="00A53A85"/>
    <w:rsid w:val="00A53B30"/>
    <w:rsid w:val="00A53C14"/>
    <w:rsid w:val="00A53FAE"/>
    <w:rsid w:val="00A54348"/>
    <w:rsid w:val="00A54647"/>
    <w:rsid w:val="00A54B87"/>
    <w:rsid w:val="00A5635D"/>
    <w:rsid w:val="00A56611"/>
    <w:rsid w:val="00A56853"/>
    <w:rsid w:val="00A57EFA"/>
    <w:rsid w:val="00A60C25"/>
    <w:rsid w:val="00A60C7C"/>
    <w:rsid w:val="00A611F6"/>
    <w:rsid w:val="00A61AF1"/>
    <w:rsid w:val="00A61D6C"/>
    <w:rsid w:val="00A63334"/>
    <w:rsid w:val="00A63D89"/>
    <w:rsid w:val="00A649E5"/>
    <w:rsid w:val="00A6505D"/>
    <w:rsid w:val="00A65E8B"/>
    <w:rsid w:val="00A66665"/>
    <w:rsid w:val="00A66942"/>
    <w:rsid w:val="00A670AD"/>
    <w:rsid w:val="00A6763A"/>
    <w:rsid w:val="00A7062F"/>
    <w:rsid w:val="00A706F1"/>
    <w:rsid w:val="00A70C0A"/>
    <w:rsid w:val="00A70FDA"/>
    <w:rsid w:val="00A729D6"/>
    <w:rsid w:val="00A73140"/>
    <w:rsid w:val="00A7408E"/>
    <w:rsid w:val="00A7461E"/>
    <w:rsid w:val="00A74ED8"/>
    <w:rsid w:val="00A75281"/>
    <w:rsid w:val="00A75BD4"/>
    <w:rsid w:val="00A77643"/>
    <w:rsid w:val="00A778D6"/>
    <w:rsid w:val="00A800F3"/>
    <w:rsid w:val="00A801AB"/>
    <w:rsid w:val="00A809B8"/>
    <w:rsid w:val="00A80DD0"/>
    <w:rsid w:val="00A8151E"/>
    <w:rsid w:val="00A82202"/>
    <w:rsid w:val="00A82A01"/>
    <w:rsid w:val="00A82AD3"/>
    <w:rsid w:val="00A82C6B"/>
    <w:rsid w:val="00A82C8A"/>
    <w:rsid w:val="00A82FA3"/>
    <w:rsid w:val="00A82FFB"/>
    <w:rsid w:val="00A83155"/>
    <w:rsid w:val="00A8352E"/>
    <w:rsid w:val="00A8407E"/>
    <w:rsid w:val="00A8440A"/>
    <w:rsid w:val="00A84CAF"/>
    <w:rsid w:val="00A85495"/>
    <w:rsid w:val="00A85871"/>
    <w:rsid w:val="00A85C84"/>
    <w:rsid w:val="00A8661F"/>
    <w:rsid w:val="00A8697A"/>
    <w:rsid w:val="00A877FC"/>
    <w:rsid w:val="00A87D84"/>
    <w:rsid w:val="00A9004C"/>
    <w:rsid w:val="00A90AA6"/>
    <w:rsid w:val="00A90AEC"/>
    <w:rsid w:val="00A92284"/>
    <w:rsid w:val="00A9309A"/>
    <w:rsid w:val="00A93A7E"/>
    <w:rsid w:val="00A93C60"/>
    <w:rsid w:val="00A946A6"/>
    <w:rsid w:val="00A94C65"/>
    <w:rsid w:val="00A953CC"/>
    <w:rsid w:val="00A95A74"/>
    <w:rsid w:val="00A95ADB"/>
    <w:rsid w:val="00A9615B"/>
    <w:rsid w:val="00A9701B"/>
    <w:rsid w:val="00A97593"/>
    <w:rsid w:val="00A976D5"/>
    <w:rsid w:val="00A97B98"/>
    <w:rsid w:val="00AA0533"/>
    <w:rsid w:val="00AA0DB2"/>
    <w:rsid w:val="00AA1756"/>
    <w:rsid w:val="00AA1779"/>
    <w:rsid w:val="00AA213D"/>
    <w:rsid w:val="00AA3740"/>
    <w:rsid w:val="00AA4032"/>
    <w:rsid w:val="00AA40D7"/>
    <w:rsid w:val="00AA4214"/>
    <w:rsid w:val="00AA44E3"/>
    <w:rsid w:val="00AA4A10"/>
    <w:rsid w:val="00AA4C4E"/>
    <w:rsid w:val="00AA4E52"/>
    <w:rsid w:val="00AA5D3E"/>
    <w:rsid w:val="00AA6A5C"/>
    <w:rsid w:val="00AA7560"/>
    <w:rsid w:val="00AA7AB3"/>
    <w:rsid w:val="00AB0D21"/>
    <w:rsid w:val="00AB15CB"/>
    <w:rsid w:val="00AB167E"/>
    <w:rsid w:val="00AB2105"/>
    <w:rsid w:val="00AB2682"/>
    <w:rsid w:val="00AB31A0"/>
    <w:rsid w:val="00AB3D99"/>
    <w:rsid w:val="00AB4B72"/>
    <w:rsid w:val="00AB535B"/>
    <w:rsid w:val="00AB580C"/>
    <w:rsid w:val="00AB5A75"/>
    <w:rsid w:val="00AB5B6B"/>
    <w:rsid w:val="00AB6535"/>
    <w:rsid w:val="00AB716E"/>
    <w:rsid w:val="00AB72F1"/>
    <w:rsid w:val="00AB7E4B"/>
    <w:rsid w:val="00AC01EC"/>
    <w:rsid w:val="00AC05CD"/>
    <w:rsid w:val="00AC13EB"/>
    <w:rsid w:val="00AC1464"/>
    <w:rsid w:val="00AC18E1"/>
    <w:rsid w:val="00AC1B49"/>
    <w:rsid w:val="00AC27EB"/>
    <w:rsid w:val="00AC3022"/>
    <w:rsid w:val="00AC313E"/>
    <w:rsid w:val="00AC4081"/>
    <w:rsid w:val="00AC4263"/>
    <w:rsid w:val="00AC4CE2"/>
    <w:rsid w:val="00AC5061"/>
    <w:rsid w:val="00AC5458"/>
    <w:rsid w:val="00AC6205"/>
    <w:rsid w:val="00AC6754"/>
    <w:rsid w:val="00AC6CDA"/>
    <w:rsid w:val="00AC6E56"/>
    <w:rsid w:val="00AC716A"/>
    <w:rsid w:val="00AD03F0"/>
    <w:rsid w:val="00AD0814"/>
    <w:rsid w:val="00AD0F5C"/>
    <w:rsid w:val="00AD0FF6"/>
    <w:rsid w:val="00AD13A9"/>
    <w:rsid w:val="00AD1B89"/>
    <w:rsid w:val="00AD1C3A"/>
    <w:rsid w:val="00AD1F14"/>
    <w:rsid w:val="00AD2206"/>
    <w:rsid w:val="00AD2555"/>
    <w:rsid w:val="00AD323D"/>
    <w:rsid w:val="00AD360A"/>
    <w:rsid w:val="00AD3822"/>
    <w:rsid w:val="00AD3A2D"/>
    <w:rsid w:val="00AD3C29"/>
    <w:rsid w:val="00AD4CEC"/>
    <w:rsid w:val="00AD5499"/>
    <w:rsid w:val="00AD5505"/>
    <w:rsid w:val="00AD597D"/>
    <w:rsid w:val="00AD598C"/>
    <w:rsid w:val="00AD60B0"/>
    <w:rsid w:val="00AD6377"/>
    <w:rsid w:val="00AD6E93"/>
    <w:rsid w:val="00AD7104"/>
    <w:rsid w:val="00AD711F"/>
    <w:rsid w:val="00AD713A"/>
    <w:rsid w:val="00AE05B3"/>
    <w:rsid w:val="00AE0A15"/>
    <w:rsid w:val="00AE1E53"/>
    <w:rsid w:val="00AE22E3"/>
    <w:rsid w:val="00AE247A"/>
    <w:rsid w:val="00AE373E"/>
    <w:rsid w:val="00AE3894"/>
    <w:rsid w:val="00AE3B54"/>
    <w:rsid w:val="00AE3E22"/>
    <w:rsid w:val="00AE3F3E"/>
    <w:rsid w:val="00AE4665"/>
    <w:rsid w:val="00AE4AF5"/>
    <w:rsid w:val="00AE5E68"/>
    <w:rsid w:val="00AE624E"/>
    <w:rsid w:val="00AE6645"/>
    <w:rsid w:val="00AE6999"/>
    <w:rsid w:val="00AE6D33"/>
    <w:rsid w:val="00AE73A9"/>
    <w:rsid w:val="00AF02DA"/>
    <w:rsid w:val="00AF038D"/>
    <w:rsid w:val="00AF0BB2"/>
    <w:rsid w:val="00AF0C55"/>
    <w:rsid w:val="00AF1AAF"/>
    <w:rsid w:val="00AF1D03"/>
    <w:rsid w:val="00AF2719"/>
    <w:rsid w:val="00AF29DD"/>
    <w:rsid w:val="00AF3B1B"/>
    <w:rsid w:val="00AF3E00"/>
    <w:rsid w:val="00AF4A42"/>
    <w:rsid w:val="00AF513F"/>
    <w:rsid w:val="00AF5543"/>
    <w:rsid w:val="00AF5A5F"/>
    <w:rsid w:val="00AF5DA2"/>
    <w:rsid w:val="00AF62A3"/>
    <w:rsid w:val="00AF7043"/>
    <w:rsid w:val="00AF72E8"/>
    <w:rsid w:val="00AF7383"/>
    <w:rsid w:val="00B008FD"/>
    <w:rsid w:val="00B00F17"/>
    <w:rsid w:val="00B00F5E"/>
    <w:rsid w:val="00B014C1"/>
    <w:rsid w:val="00B02554"/>
    <w:rsid w:val="00B02DE9"/>
    <w:rsid w:val="00B034AA"/>
    <w:rsid w:val="00B03B4C"/>
    <w:rsid w:val="00B042D6"/>
    <w:rsid w:val="00B05229"/>
    <w:rsid w:val="00B0577F"/>
    <w:rsid w:val="00B0582D"/>
    <w:rsid w:val="00B0709D"/>
    <w:rsid w:val="00B071D6"/>
    <w:rsid w:val="00B0722A"/>
    <w:rsid w:val="00B075C3"/>
    <w:rsid w:val="00B0761A"/>
    <w:rsid w:val="00B07B77"/>
    <w:rsid w:val="00B103D7"/>
    <w:rsid w:val="00B10929"/>
    <w:rsid w:val="00B1100A"/>
    <w:rsid w:val="00B1130A"/>
    <w:rsid w:val="00B117C7"/>
    <w:rsid w:val="00B1251E"/>
    <w:rsid w:val="00B125C6"/>
    <w:rsid w:val="00B12A70"/>
    <w:rsid w:val="00B1356C"/>
    <w:rsid w:val="00B13A79"/>
    <w:rsid w:val="00B13F17"/>
    <w:rsid w:val="00B14102"/>
    <w:rsid w:val="00B149CD"/>
    <w:rsid w:val="00B167A3"/>
    <w:rsid w:val="00B16D4F"/>
    <w:rsid w:val="00B178EA"/>
    <w:rsid w:val="00B17A96"/>
    <w:rsid w:val="00B206D8"/>
    <w:rsid w:val="00B20B32"/>
    <w:rsid w:val="00B21275"/>
    <w:rsid w:val="00B21536"/>
    <w:rsid w:val="00B21F27"/>
    <w:rsid w:val="00B22205"/>
    <w:rsid w:val="00B226DF"/>
    <w:rsid w:val="00B22C17"/>
    <w:rsid w:val="00B23204"/>
    <w:rsid w:val="00B23269"/>
    <w:rsid w:val="00B23ADF"/>
    <w:rsid w:val="00B246EE"/>
    <w:rsid w:val="00B24A65"/>
    <w:rsid w:val="00B25021"/>
    <w:rsid w:val="00B25AF5"/>
    <w:rsid w:val="00B26262"/>
    <w:rsid w:val="00B26C77"/>
    <w:rsid w:val="00B26FA1"/>
    <w:rsid w:val="00B27ECA"/>
    <w:rsid w:val="00B30A1E"/>
    <w:rsid w:val="00B30F06"/>
    <w:rsid w:val="00B31610"/>
    <w:rsid w:val="00B3173F"/>
    <w:rsid w:val="00B32183"/>
    <w:rsid w:val="00B32D03"/>
    <w:rsid w:val="00B33027"/>
    <w:rsid w:val="00B33769"/>
    <w:rsid w:val="00B34592"/>
    <w:rsid w:val="00B35033"/>
    <w:rsid w:val="00B358C0"/>
    <w:rsid w:val="00B363E6"/>
    <w:rsid w:val="00B36747"/>
    <w:rsid w:val="00B36D56"/>
    <w:rsid w:val="00B37116"/>
    <w:rsid w:val="00B378CF"/>
    <w:rsid w:val="00B378E3"/>
    <w:rsid w:val="00B37BEB"/>
    <w:rsid w:val="00B40055"/>
    <w:rsid w:val="00B401F4"/>
    <w:rsid w:val="00B4063C"/>
    <w:rsid w:val="00B408D0"/>
    <w:rsid w:val="00B4125D"/>
    <w:rsid w:val="00B41405"/>
    <w:rsid w:val="00B41BDE"/>
    <w:rsid w:val="00B41C5E"/>
    <w:rsid w:val="00B42194"/>
    <w:rsid w:val="00B42253"/>
    <w:rsid w:val="00B4260C"/>
    <w:rsid w:val="00B42B13"/>
    <w:rsid w:val="00B43201"/>
    <w:rsid w:val="00B43278"/>
    <w:rsid w:val="00B4398D"/>
    <w:rsid w:val="00B441B6"/>
    <w:rsid w:val="00B45149"/>
    <w:rsid w:val="00B451C7"/>
    <w:rsid w:val="00B45AA9"/>
    <w:rsid w:val="00B45ED9"/>
    <w:rsid w:val="00B46135"/>
    <w:rsid w:val="00B4652F"/>
    <w:rsid w:val="00B503CF"/>
    <w:rsid w:val="00B508E1"/>
    <w:rsid w:val="00B50B1A"/>
    <w:rsid w:val="00B50DB7"/>
    <w:rsid w:val="00B513B5"/>
    <w:rsid w:val="00B514E5"/>
    <w:rsid w:val="00B51828"/>
    <w:rsid w:val="00B521FF"/>
    <w:rsid w:val="00B5228F"/>
    <w:rsid w:val="00B52ADD"/>
    <w:rsid w:val="00B53D9A"/>
    <w:rsid w:val="00B5406F"/>
    <w:rsid w:val="00B540DC"/>
    <w:rsid w:val="00B54CEF"/>
    <w:rsid w:val="00B5506B"/>
    <w:rsid w:val="00B55821"/>
    <w:rsid w:val="00B55D0C"/>
    <w:rsid w:val="00B5634F"/>
    <w:rsid w:val="00B57283"/>
    <w:rsid w:val="00B579E0"/>
    <w:rsid w:val="00B57BEE"/>
    <w:rsid w:val="00B57D70"/>
    <w:rsid w:val="00B60566"/>
    <w:rsid w:val="00B60B1C"/>
    <w:rsid w:val="00B6159E"/>
    <w:rsid w:val="00B61B6A"/>
    <w:rsid w:val="00B627C9"/>
    <w:rsid w:val="00B62DB1"/>
    <w:rsid w:val="00B63D50"/>
    <w:rsid w:val="00B642C0"/>
    <w:rsid w:val="00B64507"/>
    <w:rsid w:val="00B645D5"/>
    <w:rsid w:val="00B6487F"/>
    <w:rsid w:val="00B6499E"/>
    <w:rsid w:val="00B66391"/>
    <w:rsid w:val="00B6667B"/>
    <w:rsid w:val="00B6697B"/>
    <w:rsid w:val="00B67784"/>
    <w:rsid w:val="00B70934"/>
    <w:rsid w:val="00B70B37"/>
    <w:rsid w:val="00B70D67"/>
    <w:rsid w:val="00B7124C"/>
    <w:rsid w:val="00B72044"/>
    <w:rsid w:val="00B72D50"/>
    <w:rsid w:val="00B73056"/>
    <w:rsid w:val="00B7341A"/>
    <w:rsid w:val="00B7351F"/>
    <w:rsid w:val="00B75038"/>
    <w:rsid w:val="00B75043"/>
    <w:rsid w:val="00B751DE"/>
    <w:rsid w:val="00B75522"/>
    <w:rsid w:val="00B75C19"/>
    <w:rsid w:val="00B76945"/>
    <w:rsid w:val="00B770C1"/>
    <w:rsid w:val="00B77244"/>
    <w:rsid w:val="00B804B6"/>
    <w:rsid w:val="00B80EF2"/>
    <w:rsid w:val="00B8104A"/>
    <w:rsid w:val="00B813A3"/>
    <w:rsid w:val="00B81610"/>
    <w:rsid w:val="00B8166D"/>
    <w:rsid w:val="00B81A43"/>
    <w:rsid w:val="00B81B0B"/>
    <w:rsid w:val="00B831CA"/>
    <w:rsid w:val="00B835CB"/>
    <w:rsid w:val="00B85108"/>
    <w:rsid w:val="00B85331"/>
    <w:rsid w:val="00B8585C"/>
    <w:rsid w:val="00B860EA"/>
    <w:rsid w:val="00B8712F"/>
    <w:rsid w:val="00B872BE"/>
    <w:rsid w:val="00B8749A"/>
    <w:rsid w:val="00B874D1"/>
    <w:rsid w:val="00B877D0"/>
    <w:rsid w:val="00B87ECE"/>
    <w:rsid w:val="00B90A29"/>
    <w:rsid w:val="00B90F48"/>
    <w:rsid w:val="00B917B4"/>
    <w:rsid w:val="00B9191B"/>
    <w:rsid w:val="00B92E89"/>
    <w:rsid w:val="00B93396"/>
    <w:rsid w:val="00B9367C"/>
    <w:rsid w:val="00B93681"/>
    <w:rsid w:val="00B9370D"/>
    <w:rsid w:val="00B93CF5"/>
    <w:rsid w:val="00B93EFC"/>
    <w:rsid w:val="00B9403E"/>
    <w:rsid w:val="00B9583F"/>
    <w:rsid w:val="00B95D54"/>
    <w:rsid w:val="00B96369"/>
    <w:rsid w:val="00B96711"/>
    <w:rsid w:val="00B96A2B"/>
    <w:rsid w:val="00B96B1B"/>
    <w:rsid w:val="00B9703B"/>
    <w:rsid w:val="00B97068"/>
    <w:rsid w:val="00BA09DA"/>
    <w:rsid w:val="00BA14EC"/>
    <w:rsid w:val="00BA1995"/>
    <w:rsid w:val="00BA255E"/>
    <w:rsid w:val="00BA2ADA"/>
    <w:rsid w:val="00BA2B72"/>
    <w:rsid w:val="00BA32BF"/>
    <w:rsid w:val="00BA38A7"/>
    <w:rsid w:val="00BA4C8F"/>
    <w:rsid w:val="00BA4DD1"/>
    <w:rsid w:val="00BA62E7"/>
    <w:rsid w:val="00BA650A"/>
    <w:rsid w:val="00BA7630"/>
    <w:rsid w:val="00BB01D4"/>
    <w:rsid w:val="00BB101B"/>
    <w:rsid w:val="00BB1816"/>
    <w:rsid w:val="00BB2459"/>
    <w:rsid w:val="00BB28F7"/>
    <w:rsid w:val="00BB2C51"/>
    <w:rsid w:val="00BB30C2"/>
    <w:rsid w:val="00BB3197"/>
    <w:rsid w:val="00BB3EA0"/>
    <w:rsid w:val="00BB40AE"/>
    <w:rsid w:val="00BB4D1D"/>
    <w:rsid w:val="00BB4EE8"/>
    <w:rsid w:val="00BB4FF1"/>
    <w:rsid w:val="00BB517B"/>
    <w:rsid w:val="00BB5723"/>
    <w:rsid w:val="00BB60BF"/>
    <w:rsid w:val="00BB7999"/>
    <w:rsid w:val="00BB7A69"/>
    <w:rsid w:val="00BC04F4"/>
    <w:rsid w:val="00BC0548"/>
    <w:rsid w:val="00BC0A36"/>
    <w:rsid w:val="00BC1622"/>
    <w:rsid w:val="00BC22B1"/>
    <w:rsid w:val="00BC25AB"/>
    <w:rsid w:val="00BC352D"/>
    <w:rsid w:val="00BC3E69"/>
    <w:rsid w:val="00BC4280"/>
    <w:rsid w:val="00BC42A3"/>
    <w:rsid w:val="00BC4B78"/>
    <w:rsid w:val="00BC4BD7"/>
    <w:rsid w:val="00BC4BDA"/>
    <w:rsid w:val="00BC51CB"/>
    <w:rsid w:val="00BC5757"/>
    <w:rsid w:val="00BC5960"/>
    <w:rsid w:val="00BC5C5C"/>
    <w:rsid w:val="00BC61DD"/>
    <w:rsid w:val="00BC6C57"/>
    <w:rsid w:val="00BC6EFF"/>
    <w:rsid w:val="00BC6F54"/>
    <w:rsid w:val="00BC7ECF"/>
    <w:rsid w:val="00BD07F4"/>
    <w:rsid w:val="00BD2765"/>
    <w:rsid w:val="00BD3172"/>
    <w:rsid w:val="00BD37CC"/>
    <w:rsid w:val="00BD4755"/>
    <w:rsid w:val="00BD4761"/>
    <w:rsid w:val="00BD4A63"/>
    <w:rsid w:val="00BD4AFD"/>
    <w:rsid w:val="00BD4F09"/>
    <w:rsid w:val="00BD5544"/>
    <w:rsid w:val="00BD564A"/>
    <w:rsid w:val="00BD587D"/>
    <w:rsid w:val="00BD594A"/>
    <w:rsid w:val="00BD5C5A"/>
    <w:rsid w:val="00BD5E67"/>
    <w:rsid w:val="00BD6206"/>
    <w:rsid w:val="00BD6925"/>
    <w:rsid w:val="00BD6DFA"/>
    <w:rsid w:val="00BD794A"/>
    <w:rsid w:val="00BD7AEA"/>
    <w:rsid w:val="00BE0495"/>
    <w:rsid w:val="00BE070C"/>
    <w:rsid w:val="00BE0AF3"/>
    <w:rsid w:val="00BE1224"/>
    <w:rsid w:val="00BE12D4"/>
    <w:rsid w:val="00BE1D86"/>
    <w:rsid w:val="00BE1EE7"/>
    <w:rsid w:val="00BE2027"/>
    <w:rsid w:val="00BE2B0B"/>
    <w:rsid w:val="00BE332C"/>
    <w:rsid w:val="00BE36B6"/>
    <w:rsid w:val="00BE3EFF"/>
    <w:rsid w:val="00BE5027"/>
    <w:rsid w:val="00BE53B8"/>
    <w:rsid w:val="00BE5877"/>
    <w:rsid w:val="00BE5B40"/>
    <w:rsid w:val="00BE679F"/>
    <w:rsid w:val="00BE799B"/>
    <w:rsid w:val="00BF0557"/>
    <w:rsid w:val="00BF0B44"/>
    <w:rsid w:val="00BF0E49"/>
    <w:rsid w:val="00BF131F"/>
    <w:rsid w:val="00BF21F5"/>
    <w:rsid w:val="00BF2243"/>
    <w:rsid w:val="00BF2584"/>
    <w:rsid w:val="00BF25CD"/>
    <w:rsid w:val="00BF32F5"/>
    <w:rsid w:val="00BF36AB"/>
    <w:rsid w:val="00BF506F"/>
    <w:rsid w:val="00BF51A5"/>
    <w:rsid w:val="00BF5669"/>
    <w:rsid w:val="00BF7068"/>
    <w:rsid w:val="00BF71E1"/>
    <w:rsid w:val="00BF76DC"/>
    <w:rsid w:val="00BF7FB8"/>
    <w:rsid w:val="00C00200"/>
    <w:rsid w:val="00C0082A"/>
    <w:rsid w:val="00C0083E"/>
    <w:rsid w:val="00C010F4"/>
    <w:rsid w:val="00C02254"/>
    <w:rsid w:val="00C0226A"/>
    <w:rsid w:val="00C0272D"/>
    <w:rsid w:val="00C0289F"/>
    <w:rsid w:val="00C02F67"/>
    <w:rsid w:val="00C030AC"/>
    <w:rsid w:val="00C035AE"/>
    <w:rsid w:val="00C03B81"/>
    <w:rsid w:val="00C0409F"/>
    <w:rsid w:val="00C04606"/>
    <w:rsid w:val="00C04823"/>
    <w:rsid w:val="00C04C60"/>
    <w:rsid w:val="00C05721"/>
    <w:rsid w:val="00C05CCF"/>
    <w:rsid w:val="00C05D44"/>
    <w:rsid w:val="00C06D31"/>
    <w:rsid w:val="00C06F73"/>
    <w:rsid w:val="00C07CB6"/>
    <w:rsid w:val="00C108C9"/>
    <w:rsid w:val="00C10A6D"/>
    <w:rsid w:val="00C10B31"/>
    <w:rsid w:val="00C11566"/>
    <w:rsid w:val="00C11727"/>
    <w:rsid w:val="00C11752"/>
    <w:rsid w:val="00C1208E"/>
    <w:rsid w:val="00C12140"/>
    <w:rsid w:val="00C12A1C"/>
    <w:rsid w:val="00C12D80"/>
    <w:rsid w:val="00C12DEE"/>
    <w:rsid w:val="00C12E1B"/>
    <w:rsid w:val="00C1543F"/>
    <w:rsid w:val="00C15607"/>
    <w:rsid w:val="00C15758"/>
    <w:rsid w:val="00C15952"/>
    <w:rsid w:val="00C164B4"/>
    <w:rsid w:val="00C16658"/>
    <w:rsid w:val="00C16ED3"/>
    <w:rsid w:val="00C20024"/>
    <w:rsid w:val="00C20CEB"/>
    <w:rsid w:val="00C21438"/>
    <w:rsid w:val="00C21578"/>
    <w:rsid w:val="00C21AEE"/>
    <w:rsid w:val="00C21B81"/>
    <w:rsid w:val="00C220F6"/>
    <w:rsid w:val="00C22369"/>
    <w:rsid w:val="00C2282C"/>
    <w:rsid w:val="00C2286E"/>
    <w:rsid w:val="00C236E5"/>
    <w:rsid w:val="00C2428D"/>
    <w:rsid w:val="00C24A92"/>
    <w:rsid w:val="00C25695"/>
    <w:rsid w:val="00C25B7A"/>
    <w:rsid w:val="00C25E6E"/>
    <w:rsid w:val="00C25F7F"/>
    <w:rsid w:val="00C266A6"/>
    <w:rsid w:val="00C26918"/>
    <w:rsid w:val="00C26BFF"/>
    <w:rsid w:val="00C26DB9"/>
    <w:rsid w:val="00C271C0"/>
    <w:rsid w:val="00C30294"/>
    <w:rsid w:val="00C31893"/>
    <w:rsid w:val="00C31A6C"/>
    <w:rsid w:val="00C32593"/>
    <w:rsid w:val="00C33542"/>
    <w:rsid w:val="00C33901"/>
    <w:rsid w:val="00C344FF"/>
    <w:rsid w:val="00C34A8A"/>
    <w:rsid w:val="00C34E76"/>
    <w:rsid w:val="00C36363"/>
    <w:rsid w:val="00C365C2"/>
    <w:rsid w:val="00C3684E"/>
    <w:rsid w:val="00C36FFE"/>
    <w:rsid w:val="00C40086"/>
    <w:rsid w:val="00C409CC"/>
    <w:rsid w:val="00C40F11"/>
    <w:rsid w:val="00C41268"/>
    <w:rsid w:val="00C41700"/>
    <w:rsid w:val="00C420E6"/>
    <w:rsid w:val="00C42269"/>
    <w:rsid w:val="00C42C80"/>
    <w:rsid w:val="00C434B7"/>
    <w:rsid w:val="00C4457A"/>
    <w:rsid w:val="00C449F1"/>
    <w:rsid w:val="00C44E2D"/>
    <w:rsid w:val="00C44FEC"/>
    <w:rsid w:val="00C4547A"/>
    <w:rsid w:val="00C45B59"/>
    <w:rsid w:val="00C4660E"/>
    <w:rsid w:val="00C47747"/>
    <w:rsid w:val="00C477F1"/>
    <w:rsid w:val="00C47831"/>
    <w:rsid w:val="00C47F3F"/>
    <w:rsid w:val="00C50A9E"/>
    <w:rsid w:val="00C51295"/>
    <w:rsid w:val="00C51C30"/>
    <w:rsid w:val="00C52007"/>
    <w:rsid w:val="00C522AB"/>
    <w:rsid w:val="00C52570"/>
    <w:rsid w:val="00C540D4"/>
    <w:rsid w:val="00C541D2"/>
    <w:rsid w:val="00C54DDF"/>
    <w:rsid w:val="00C54FE2"/>
    <w:rsid w:val="00C5532A"/>
    <w:rsid w:val="00C553E0"/>
    <w:rsid w:val="00C55CE6"/>
    <w:rsid w:val="00C56920"/>
    <w:rsid w:val="00C56DE5"/>
    <w:rsid w:val="00C61176"/>
    <w:rsid w:val="00C61246"/>
    <w:rsid w:val="00C61893"/>
    <w:rsid w:val="00C61A99"/>
    <w:rsid w:val="00C62603"/>
    <w:rsid w:val="00C6273F"/>
    <w:rsid w:val="00C627F1"/>
    <w:rsid w:val="00C6336A"/>
    <w:rsid w:val="00C63A02"/>
    <w:rsid w:val="00C64207"/>
    <w:rsid w:val="00C64F68"/>
    <w:rsid w:val="00C66A3A"/>
    <w:rsid w:val="00C66BB8"/>
    <w:rsid w:val="00C670A9"/>
    <w:rsid w:val="00C675E8"/>
    <w:rsid w:val="00C70453"/>
    <w:rsid w:val="00C7124B"/>
    <w:rsid w:val="00C714F4"/>
    <w:rsid w:val="00C71FC8"/>
    <w:rsid w:val="00C73964"/>
    <w:rsid w:val="00C74B29"/>
    <w:rsid w:val="00C75322"/>
    <w:rsid w:val="00C75D38"/>
    <w:rsid w:val="00C76518"/>
    <w:rsid w:val="00C775D4"/>
    <w:rsid w:val="00C7765F"/>
    <w:rsid w:val="00C801FD"/>
    <w:rsid w:val="00C80D80"/>
    <w:rsid w:val="00C80F58"/>
    <w:rsid w:val="00C81199"/>
    <w:rsid w:val="00C81352"/>
    <w:rsid w:val="00C81820"/>
    <w:rsid w:val="00C8198C"/>
    <w:rsid w:val="00C81E53"/>
    <w:rsid w:val="00C82381"/>
    <w:rsid w:val="00C82BB2"/>
    <w:rsid w:val="00C82C5E"/>
    <w:rsid w:val="00C82F00"/>
    <w:rsid w:val="00C82FA9"/>
    <w:rsid w:val="00C837A2"/>
    <w:rsid w:val="00C837D4"/>
    <w:rsid w:val="00C83FBE"/>
    <w:rsid w:val="00C846AA"/>
    <w:rsid w:val="00C86951"/>
    <w:rsid w:val="00C86FE7"/>
    <w:rsid w:val="00C8794E"/>
    <w:rsid w:val="00C901FF"/>
    <w:rsid w:val="00C90A1B"/>
    <w:rsid w:val="00C9163E"/>
    <w:rsid w:val="00C93496"/>
    <w:rsid w:val="00C93A6D"/>
    <w:rsid w:val="00C93BAB"/>
    <w:rsid w:val="00C93E9D"/>
    <w:rsid w:val="00C9401C"/>
    <w:rsid w:val="00C941C9"/>
    <w:rsid w:val="00C947B8"/>
    <w:rsid w:val="00C95597"/>
    <w:rsid w:val="00C9654B"/>
    <w:rsid w:val="00C9656F"/>
    <w:rsid w:val="00C9690F"/>
    <w:rsid w:val="00C96C3A"/>
    <w:rsid w:val="00C9702B"/>
    <w:rsid w:val="00C97290"/>
    <w:rsid w:val="00C9767F"/>
    <w:rsid w:val="00C97FFC"/>
    <w:rsid w:val="00CA05C1"/>
    <w:rsid w:val="00CA08AB"/>
    <w:rsid w:val="00CA221D"/>
    <w:rsid w:val="00CA2EE0"/>
    <w:rsid w:val="00CA2FC1"/>
    <w:rsid w:val="00CA3767"/>
    <w:rsid w:val="00CA3ABB"/>
    <w:rsid w:val="00CA3E00"/>
    <w:rsid w:val="00CA421B"/>
    <w:rsid w:val="00CA43A1"/>
    <w:rsid w:val="00CA4978"/>
    <w:rsid w:val="00CA4CE4"/>
    <w:rsid w:val="00CA4DC6"/>
    <w:rsid w:val="00CA50C7"/>
    <w:rsid w:val="00CA5349"/>
    <w:rsid w:val="00CA5407"/>
    <w:rsid w:val="00CA5821"/>
    <w:rsid w:val="00CA5C26"/>
    <w:rsid w:val="00CA639A"/>
    <w:rsid w:val="00CA732D"/>
    <w:rsid w:val="00CB03EB"/>
    <w:rsid w:val="00CB08D2"/>
    <w:rsid w:val="00CB11EA"/>
    <w:rsid w:val="00CB28EC"/>
    <w:rsid w:val="00CB297C"/>
    <w:rsid w:val="00CB2A08"/>
    <w:rsid w:val="00CB2D29"/>
    <w:rsid w:val="00CB2FA7"/>
    <w:rsid w:val="00CB3183"/>
    <w:rsid w:val="00CB4336"/>
    <w:rsid w:val="00CB4352"/>
    <w:rsid w:val="00CB4AED"/>
    <w:rsid w:val="00CB5308"/>
    <w:rsid w:val="00CB547D"/>
    <w:rsid w:val="00CB591E"/>
    <w:rsid w:val="00CB5E80"/>
    <w:rsid w:val="00CB6E2E"/>
    <w:rsid w:val="00CB7167"/>
    <w:rsid w:val="00CB71EF"/>
    <w:rsid w:val="00CB721A"/>
    <w:rsid w:val="00CB78ED"/>
    <w:rsid w:val="00CC09C7"/>
    <w:rsid w:val="00CC0AA3"/>
    <w:rsid w:val="00CC1961"/>
    <w:rsid w:val="00CC1DEA"/>
    <w:rsid w:val="00CC2CB3"/>
    <w:rsid w:val="00CC525C"/>
    <w:rsid w:val="00CC55C4"/>
    <w:rsid w:val="00CC6BE3"/>
    <w:rsid w:val="00CC7360"/>
    <w:rsid w:val="00CC74E3"/>
    <w:rsid w:val="00CC7658"/>
    <w:rsid w:val="00CC769E"/>
    <w:rsid w:val="00CD0BAA"/>
    <w:rsid w:val="00CD1451"/>
    <w:rsid w:val="00CD1A89"/>
    <w:rsid w:val="00CD2654"/>
    <w:rsid w:val="00CD2950"/>
    <w:rsid w:val="00CD2A6A"/>
    <w:rsid w:val="00CD31E5"/>
    <w:rsid w:val="00CD3696"/>
    <w:rsid w:val="00CD4494"/>
    <w:rsid w:val="00CD4B99"/>
    <w:rsid w:val="00CD578B"/>
    <w:rsid w:val="00CD5AA7"/>
    <w:rsid w:val="00CD5DA0"/>
    <w:rsid w:val="00CD5DF5"/>
    <w:rsid w:val="00CD7333"/>
    <w:rsid w:val="00CD7D69"/>
    <w:rsid w:val="00CE0F99"/>
    <w:rsid w:val="00CE110E"/>
    <w:rsid w:val="00CE20C3"/>
    <w:rsid w:val="00CE280F"/>
    <w:rsid w:val="00CE30C9"/>
    <w:rsid w:val="00CE391C"/>
    <w:rsid w:val="00CE407D"/>
    <w:rsid w:val="00CE52CE"/>
    <w:rsid w:val="00CE5564"/>
    <w:rsid w:val="00CE5638"/>
    <w:rsid w:val="00CE5B20"/>
    <w:rsid w:val="00CE5CF9"/>
    <w:rsid w:val="00CE6405"/>
    <w:rsid w:val="00CE6906"/>
    <w:rsid w:val="00CE7118"/>
    <w:rsid w:val="00CE718F"/>
    <w:rsid w:val="00CF1937"/>
    <w:rsid w:val="00CF2125"/>
    <w:rsid w:val="00CF394A"/>
    <w:rsid w:val="00CF3CC8"/>
    <w:rsid w:val="00CF3FE8"/>
    <w:rsid w:val="00CF48C5"/>
    <w:rsid w:val="00CF4C68"/>
    <w:rsid w:val="00CF5732"/>
    <w:rsid w:val="00CF5950"/>
    <w:rsid w:val="00CF5D4A"/>
    <w:rsid w:val="00CF5F79"/>
    <w:rsid w:val="00CF7E08"/>
    <w:rsid w:val="00D012C0"/>
    <w:rsid w:val="00D01685"/>
    <w:rsid w:val="00D034F8"/>
    <w:rsid w:val="00D03B7B"/>
    <w:rsid w:val="00D03E69"/>
    <w:rsid w:val="00D04689"/>
    <w:rsid w:val="00D04D7D"/>
    <w:rsid w:val="00D04F57"/>
    <w:rsid w:val="00D04FB4"/>
    <w:rsid w:val="00D05516"/>
    <w:rsid w:val="00D05547"/>
    <w:rsid w:val="00D05D61"/>
    <w:rsid w:val="00D0622E"/>
    <w:rsid w:val="00D0643D"/>
    <w:rsid w:val="00D0679B"/>
    <w:rsid w:val="00D072B7"/>
    <w:rsid w:val="00D07462"/>
    <w:rsid w:val="00D0777E"/>
    <w:rsid w:val="00D07BC4"/>
    <w:rsid w:val="00D07D67"/>
    <w:rsid w:val="00D10FCD"/>
    <w:rsid w:val="00D116F8"/>
    <w:rsid w:val="00D11735"/>
    <w:rsid w:val="00D122B6"/>
    <w:rsid w:val="00D12F34"/>
    <w:rsid w:val="00D12FC8"/>
    <w:rsid w:val="00D130C8"/>
    <w:rsid w:val="00D133AF"/>
    <w:rsid w:val="00D13AF2"/>
    <w:rsid w:val="00D13DD2"/>
    <w:rsid w:val="00D14900"/>
    <w:rsid w:val="00D14CD2"/>
    <w:rsid w:val="00D1505A"/>
    <w:rsid w:val="00D159C3"/>
    <w:rsid w:val="00D15CBE"/>
    <w:rsid w:val="00D16EEE"/>
    <w:rsid w:val="00D17350"/>
    <w:rsid w:val="00D175EC"/>
    <w:rsid w:val="00D1771A"/>
    <w:rsid w:val="00D17A96"/>
    <w:rsid w:val="00D17C7F"/>
    <w:rsid w:val="00D17CD7"/>
    <w:rsid w:val="00D2021F"/>
    <w:rsid w:val="00D20376"/>
    <w:rsid w:val="00D20793"/>
    <w:rsid w:val="00D20A6A"/>
    <w:rsid w:val="00D212F8"/>
    <w:rsid w:val="00D21555"/>
    <w:rsid w:val="00D21AE2"/>
    <w:rsid w:val="00D227A0"/>
    <w:rsid w:val="00D22872"/>
    <w:rsid w:val="00D23B3C"/>
    <w:rsid w:val="00D242FD"/>
    <w:rsid w:val="00D244DB"/>
    <w:rsid w:val="00D24DF6"/>
    <w:rsid w:val="00D25988"/>
    <w:rsid w:val="00D25A1E"/>
    <w:rsid w:val="00D26889"/>
    <w:rsid w:val="00D26BD1"/>
    <w:rsid w:val="00D26DAB"/>
    <w:rsid w:val="00D2774D"/>
    <w:rsid w:val="00D279B2"/>
    <w:rsid w:val="00D27D55"/>
    <w:rsid w:val="00D3007E"/>
    <w:rsid w:val="00D30F1C"/>
    <w:rsid w:val="00D31D73"/>
    <w:rsid w:val="00D32B57"/>
    <w:rsid w:val="00D32EB0"/>
    <w:rsid w:val="00D3311D"/>
    <w:rsid w:val="00D33289"/>
    <w:rsid w:val="00D332A5"/>
    <w:rsid w:val="00D333A4"/>
    <w:rsid w:val="00D337FF"/>
    <w:rsid w:val="00D33A3F"/>
    <w:rsid w:val="00D3452F"/>
    <w:rsid w:val="00D3499F"/>
    <w:rsid w:val="00D34DF9"/>
    <w:rsid w:val="00D35B51"/>
    <w:rsid w:val="00D36FFD"/>
    <w:rsid w:val="00D377E6"/>
    <w:rsid w:val="00D3797C"/>
    <w:rsid w:val="00D401E7"/>
    <w:rsid w:val="00D406D5"/>
    <w:rsid w:val="00D4154D"/>
    <w:rsid w:val="00D41D79"/>
    <w:rsid w:val="00D41EC9"/>
    <w:rsid w:val="00D41EDD"/>
    <w:rsid w:val="00D425C6"/>
    <w:rsid w:val="00D431BF"/>
    <w:rsid w:val="00D43255"/>
    <w:rsid w:val="00D43F2E"/>
    <w:rsid w:val="00D444D2"/>
    <w:rsid w:val="00D4482B"/>
    <w:rsid w:val="00D44A9A"/>
    <w:rsid w:val="00D44EAB"/>
    <w:rsid w:val="00D44F52"/>
    <w:rsid w:val="00D44F57"/>
    <w:rsid w:val="00D46236"/>
    <w:rsid w:val="00D463E7"/>
    <w:rsid w:val="00D46A5E"/>
    <w:rsid w:val="00D470A2"/>
    <w:rsid w:val="00D470C0"/>
    <w:rsid w:val="00D47604"/>
    <w:rsid w:val="00D479D5"/>
    <w:rsid w:val="00D47C0F"/>
    <w:rsid w:val="00D5025A"/>
    <w:rsid w:val="00D504E2"/>
    <w:rsid w:val="00D510E8"/>
    <w:rsid w:val="00D51328"/>
    <w:rsid w:val="00D5197B"/>
    <w:rsid w:val="00D5198A"/>
    <w:rsid w:val="00D51A37"/>
    <w:rsid w:val="00D52108"/>
    <w:rsid w:val="00D52B2F"/>
    <w:rsid w:val="00D535C2"/>
    <w:rsid w:val="00D53DB5"/>
    <w:rsid w:val="00D54DF4"/>
    <w:rsid w:val="00D550ED"/>
    <w:rsid w:val="00D55F4B"/>
    <w:rsid w:val="00D560CD"/>
    <w:rsid w:val="00D56443"/>
    <w:rsid w:val="00D56458"/>
    <w:rsid w:val="00D564AA"/>
    <w:rsid w:val="00D569BF"/>
    <w:rsid w:val="00D575AC"/>
    <w:rsid w:val="00D57E96"/>
    <w:rsid w:val="00D60C61"/>
    <w:rsid w:val="00D60C75"/>
    <w:rsid w:val="00D61D37"/>
    <w:rsid w:val="00D6224C"/>
    <w:rsid w:val="00D6277D"/>
    <w:rsid w:val="00D62F2D"/>
    <w:rsid w:val="00D62F7A"/>
    <w:rsid w:val="00D6345A"/>
    <w:rsid w:val="00D638CB"/>
    <w:rsid w:val="00D6499F"/>
    <w:rsid w:val="00D65089"/>
    <w:rsid w:val="00D654D2"/>
    <w:rsid w:val="00D6596C"/>
    <w:rsid w:val="00D65EAE"/>
    <w:rsid w:val="00D65EE0"/>
    <w:rsid w:val="00D65F07"/>
    <w:rsid w:val="00D66E6A"/>
    <w:rsid w:val="00D67463"/>
    <w:rsid w:val="00D67BD6"/>
    <w:rsid w:val="00D70D46"/>
    <w:rsid w:val="00D712F3"/>
    <w:rsid w:val="00D7139E"/>
    <w:rsid w:val="00D7176C"/>
    <w:rsid w:val="00D72164"/>
    <w:rsid w:val="00D731C5"/>
    <w:rsid w:val="00D735DB"/>
    <w:rsid w:val="00D73A59"/>
    <w:rsid w:val="00D73F06"/>
    <w:rsid w:val="00D7484C"/>
    <w:rsid w:val="00D74DE0"/>
    <w:rsid w:val="00D752F2"/>
    <w:rsid w:val="00D7540C"/>
    <w:rsid w:val="00D76111"/>
    <w:rsid w:val="00D7683E"/>
    <w:rsid w:val="00D7693E"/>
    <w:rsid w:val="00D76F44"/>
    <w:rsid w:val="00D77EB3"/>
    <w:rsid w:val="00D77F55"/>
    <w:rsid w:val="00D807C8"/>
    <w:rsid w:val="00D8098B"/>
    <w:rsid w:val="00D819F1"/>
    <w:rsid w:val="00D81B67"/>
    <w:rsid w:val="00D822F0"/>
    <w:rsid w:val="00D82DF9"/>
    <w:rsid w:val="00D83CC1"/>
    <w:rsid w:val="00D83EE4"/>
    <w:rsid w:val="00D83FD2"/>
    <w:rsid w:val="00D84A9D"/>
    <w:rsid w:val="00D84E9C"/>
    <w:rsid w:val="00D8523D"/>
    <w:rsid w:val="00D8570C"/>
    <w:rsid w:val="00D85C01"/>
    <w:rsid w:val="00D85F34"/>
    <w:rsid w:val="00D8683A"/>
    <w:rsid w:val="00D9002D"/>
    <w:rsid w:val="00D9099C"/>
    <w:rsid w:val="00D911DC"/>
    <w:rsid w:val="00D91709"/>
    <w:rsid w:val="00D92C3D"/>
    <w:rsid w:val="00D933B9"/>
    <w:rsid w:val="00D9434D"/>
    <w:rsid w:val="00D9459A"/>
    <w:rsid w:val="00D945DC"/>
    <w:rsid w:val="00D94704"/>
    <w:rsid w:val="00D9479A"/>
    <w:rsid w:val="00D948AA"/>
    <w:rsid w:val="00D94CC4"/>
    <w:rsid w:val="00D953B2"/>
    <w:rsid w:val="00D96C72"/>
    <w:rsid w:val="00D97E25"/>
    <w:rsid w:val="00DA0BCA"/>
    <w:rsid w:val="00DA0DE3"/>
    <w:rsid w:val="00DA1709"/>
    <w:rsid w:val="00DA183E"/>
    <w:rsid w:val="00DA2826"/>
    <w:rsid w:val="00DA28E2"/>
    <w:rsid w:val="00DA2905"/>
    <w:rsid w:val="00DA2A07"/>
    <w:rsid w:val="00DA3DA6"/>
    <w:rsid w:val="00DA419D"/>
    <w:rsid w:val="00DA4D85"/>
    <w:rsid w:val="00DA51EA"/>
    <w:rsid w:val="00DA5BFE"/>
    <w:rsid w:val="00DA6975"/>
    <w:rsid w:val="00DA6ADD"/>
    <w:rsid w:val="00DA6DFA"/>
    <w:rsid w:val="00DB0823"/>
    <w:rsid w:val="00DB090B"/>
    <w:rsid w:val="00DB112C"/>
    <w:rsid w:val="00DB12D1"/>
    <w:rsid w:val="00DB137B"/>
    <w:rsid w:val="00DB1557"/>
    <w:rsid w:val="00DB1BA1"/>
    <w:rsid w:val="00DB3903"/>
    <w:rsid w:val="00DB3954"/>
    <w:rsid w:val="00DB3ECA"/>
    <w:rsid w:val="00DB4466"/>
    <w:rsid w:val="00DB4589"/>
    <w:rsid w:val="00DB476D"/>
    <w:rsid w:val="00DB4CAA"/>
    <w:rsid w:val="00DB54E5"/>
    <w:rsid w:val="00DB570F"/>
    <w:rsid w:val="00DB5B22"/>
    <w:rsid w:val="00DB5FA8"/>
    <w:rsid w:val="00DB6124"/>
    <w:rsid w:val="00DB6392"/>
    <w:rsid w:val="00DB642B"/>
    <w:rsid w:val="00DB6759"/>
    <w:rsid w:val="00DB6A96"/>
    <w:rsid w:val="00DB6AAA"/>
    <w:rsid w:val="00DB6AE1"/>
    <w:rsid w:val="00DB6C84"/>
    <w:rsid w:val="00DB6F1C"/>
    <w:rsid w:val="00DB7B78"/>
    <w:rsid w:val="00DC0538"/>
    <w:rsid w:val="00DC0CC0"/>
    <w:rsid w:val="00DC14C1"/>
    <w:rsid w:val="00DC14D6"/>
    <w:rsid w:val="00DC1526"/>
    <w:rsid w:val="00DC18C3"/>
    <w:rsid w:val="00DC21BC"/>
    <w:rsid w:val="00DC23FA"/>
    <w:rsid w:val="00DC4280"/>
    <w:rsid w:val="00DC4C37"/>
    <w:rsid w:val="00DC4D80"/>
    <w:rsid w:val="00DC5758"/>
    <w:rsid w:val="00DC5CC4"/>
    <w:rsid w:val="00DC5F23"/>
    <w:rsid w:val="00DC622B"/>
    <w:rsid w:val="00DC70A2"/>
    <w:rsid w:val="00DC7404"/>
    <w:rsid w:val="00DC7A1E"/>
    <w:rsid w:val="00DC7B63"/>
    <w:rsid w:val="00DD0AB1"/>
    <w:rsid w:val="00DD0F41"/>
    <w:rsid w:val="00DD19E4"/>
    <w:rsid w:val="00DD1C49"/>
    <w:rsid w:val="00DD1E79"/>
    <w:rsid w:val="00DD2071"/>
    <w:rsid w:val="00DD2153"/>
    <w:rsid w:val="00DD2307"/>
    <w:rsid w:val="00DD2C08"/>
    <w:rsid w:val="00DD3273"/>
    <w:rsid w:val="00DD3289"/>
    <w:rsid w:val="00DD4A94"/>
    <w:rsid w:val="00DD544E"/>
    <w:rsid w:val="00DD57AB"/>
    <w:rsid w:val="00DD5F64"/>
    <w:rsid w:val="00DD6A9D"/>
    <w:rsid w:val="00DD7620"/>
    <w:rsid w:val="00DD7971"/>
    <w:rsid w:val="00DD7CBE"/>
    <w:rsid w:val="00DE0A65"/>
    <w:rsid w:val="00DE0B0F"/>
    <w:rsid w:val="00DE1178"/>
    <w:rsid w:val="00DE1260"/>
    <w:rsid w:val="00DE13AE"/>
    <w:rsid w:val="00DE19D2"/>
    <w:rsid w:val="00DE1E8D"/>
    <w:rsid w:val="00DE2101"/>
    <w:rsid w:val="00DE2D66"/>
    <w:rsid w:val="00DE3005"/>
    <w:rsid w:val="00DE3461"/>
    <w:rsid w:val="00DE39F7"/>
    <w:rsid w:val="00DE470F"/>
    <w:rsid w:val="00DE55EB"/>
    <w:rsid w:val="00DE6381"/>
    <w:rsid w:val="00DE638D"/>
    <w:rsid w:val="00DE6407"/>
    <w:rsid w:val="00DE6672"/>
    <w:rsid w:val="00DE728C"/>
    <w:rsid w:val="00DE7367"/>
    <w:rsid w:val="00DF0CC4"/>
    <w:rsid w:val="00DF13FA"/>
    <w:rsid w:val="00DF151B"/>
    <w:rsid w:val="00DF1646"/>
    <w:rsid w:val="00DF1CA1"/>
    <w:rsid w:val="00DF2051"/>
    <w:rsid w:val="00DF2A05"/>
    <w:rsid w:val="00DF2F7B"/>
    <w:rsid w:val="00DF36BC"/>
    <w:rsid w:val="00DF37BB"/>
    <w:rsid w:val="00DF47F7"/>
    <w:rsid w:val="00DF4CC3"/>
    <w:rsid w:val="00DF4E66"/>
    <w:rsid w:val="00DF5054"/>
    <w:rsid w:val="00DF5B34"/>
    <w:rsid w:val="00DF5DA0"/>
    <w:rsid w:val="00DF5E99"/>
    <w:rsid w:val="00DF60EE"/>
    <w:rsid w:val="00DF64B6"/>
    <w:rsid w:val="00DF6782"/>
    <w:rsid w:val="00DF680C"/>
    <w:rsid w:val="00DF6A13"/>
    <w:rsid w:val="00DF6AD1"/>
    <w:rsid w:val="00DF6EB9"/>
    <w:rsid w:val="00DF74FD"/>
    <w:rsid w:val="00DF76B4"/>
    <w:rsid w:val="00E0097F"/>
    <w:rsid w:val="00E014D9"/>
    <w:rsid w:val="00E01501"/>
    <w:rsid w:val="00E0185C"/>
    <w:rsid w:val="00E022E7"/>
    <w:rsid w:val="00E02412"/>
    <w:rsid w:val="00E02DE7"/>
    <w:rsid w:val="00E03128"/>
    <w:rsid w:val="00E04336"/>
    <w:rsid w:val="00E04ADF"/>
    <w:rsid w:val="00E04F2D"/>
    <w:rsid w:val="00E05121"/>
    <w:rsid w:val="00E05739"/>
    <w:rsid w:val="00E06644"/>
    <w:rsid w:val="00E06A85"/>
    <w:rsid w:val="00E06B7B"/>
    <w:rsid w:val="00E06CBB"/>
    <w:rsid w:val="00E108D5"/>
    <w:rsid w:val="00E10F10"/>
    <w:rsid w:val="00E11195"/>
    <w:rsid w:val="00E11B57"/>
    <w:rsid w:val="00E11F73"/>
    <w:rsid w:val="00E1244F"/>
    <w:rsid w:val="00E13A7D"/>
    <w:rsid w:val="00E14157"/>
    <w:rsid w:val="00E1420A"/>
    <w:rsid w:val="00E14936"/>
    <w:rsid w:val="00E14B34"/>
    <w:rsid w:val="00E152D1"/>
    <w:rsid w:val="00E15387"/>
    <w:rsid w:val="00E156AB"/>
    <w:rsid w:val="00E16001"/>
    <w:rsid w:val="00E164A9"/>
    <w:rsid w:val="00E1659A"/>
    <w:rsid w:val="00E20B2A"/>
    <w:rsid w:val="00E20DC7"/>
    <w:rsid w:val="00E21484"/>
    <w:rsid w:val="00E22FE5"/>
    <w:rsid w:val="00E232E6"/>
    <w:rsid w:val="00E233FC"/>
    <w:rsid w:val="00E235C2"/>
    <w:rsid w:val="00E236F5"/>
    <w:rsid w:val="00E23E56"/>
    <w:rsid w:val="00E23E6D"/>
    <w:rsid w:val="00E23EB4"/>
    <w:rsid w:val="00E23EC4"/>
    <w:rsid w:val="00E244AD"/>
    <w:rsid w:val="00E24819"/>
    <w:rsid w:val="00E25281"/>
    <w:rsid w:val="00E2536C"/>
    <w:rsid w:val="00E25617"/>
    <w:rsid w:val="00E27FF7"/>
    <w:rsid w:val="00E309F3"/>
    <w:rsid w:val="00E30AFE"/>
    <w:rsid w:val="00E30BA0"/>
    <w:rsid w:val="00E31BB0"/>
    <w:rsid w:val="00E33CBF"/>
    <w:rsid w:val="00E33F97"/>
    <w:rsid w:val="00E34E9A"/>
    <w:rsid w:val="00E35ECB"/>
    <w:rsid w:val="00E3638C"/>
    <w:rsid w:val="00E3699D"/>
    <w:rsid w:val="00E3699E"/>
    <w:rsid w:val="00E3758B"/>
    <w:rsid w:val="00E37EFB"/>
    <w:rsid w:val="00E40941"/>
    <w:rsid w:val="00E42DC4"/>
    <w:rsid w:val="00E4435F"/>
    <w:rsid w:val="00E4440E"/>
    <w:rsid w:val="00E45C98"/>
    <w:rsid w:val="00E45E79"/>
    <w:rsid w:val="00E46029"/>
    <w:rsid w:val="00E46233"/>
    <w:rsid w:val="00E46498"/>
    <w:rsid w:val="00E47670"/>
    <w:rsid w:val="00E47993"/>
    <w:rsid w:val="00E479BE"/>
    <w:rsid w:val="00E50430"/>
    <w:rsid w:val="00E50FA3"/>
    <w:rsid w:val="00E51937"/>
    <w:rsid w:val="00E51B38"/>
    <w:rsid w:val="00E52177"/>
    <w:rsid w:val="00E52AAE"/>
    <w:rsid w:val="00E52B84"/>
    <w:rsid w:val="00E52E78"/>
    <w:rsid w:val="00E52F27"/>
    <w:rsid w:val="00E53A36"/>
    <w:rsid w:val="00E54EB7"/>
    <w:rsid w:val="00E54FEA"/>
    <w:rsid w:val="00E552E4"/>
    <w:rsid w:val="00E55305"/>
    <w:rsid w:val="00E56281"/>
    <w:rsid w:val="00E56BC2"/>
    <w:rsid w:val="00E56C5A"/>
    <w:rsid w:val="00E574A8"/>
    <w:rsid w:val="00E6035E"/>
    <w:rsid w:val="00E60404"/>
    <w:rsid w:val="00E60A99"/>
    <w:rsid w:val="00E60BAF"/>
    <w:rsid w:val="00E639C0"/>
    <w:rsid w:val="00E63E0A"/>
    <w:rsid w:val="00E645EA"/>
    <w:rsid w:val="00E64E72"/>
    <w:rsid w:val="00E652CD"/>
    <w:rsid w:val="00E6562A"/>
    <w:rsid w:val="00E65653"/>
    <w:rsid w:val="00E667E8"/>
    <w:rsid w:val="00E668E8"/>
    <w:rsid w:val="00E66D97"/>
    <w:rsid w:val="00E67C74"/>
    <w:rsid w:val="00E704E4"/>
    <w:rsid w:val="00E70BFA"/>
    <w:rsid w:val="00E70C65"/>
    <w:rsid w:val="00E71875"/>
    <w:rsid w:val="00E7221F"/>
    <w:rsid w:val="00E72304"/>
    <w:rsid w:val="00E727B9"/>
    <w:rsid w:val="00E73245"/>
    <w:rsid w:val="00E73BEE"/>
    <w:rsid w:val="00E74971"/>
    <w:rsid w:val="00E75041"/>
    <w:rsid w:val="00E75A8D"/>
    <w:rsid w:val="00E75E11"/>
    <w:rsid w:val="00E76106"/>
    <w:rsid w:val="00E7623D"/>
    <w:rsid w:val="00E764C3"/>
    <w:rsid w:val="00E765A9"/>
    <w:rsid w:val="00E7661E"/>
    <w:rsid w:val="00E769A9"/>
    <w:rsid w:val="00E76E61"/>
    <w:rsid w:val="00E77485"/>
    <w:rsid w:val="00E7757F"/>
    <w:rsid w:val="00E810BD"/>
    <w:rsid w:val="00E81B8A"/>
    <w:rsid w:val="00E820C9"/>
    <w:rsid w:val="00E82CF0"/>
    <w:rsid w:val="00E83568"/>
    <w:rsid w:val="00E83A00"/>
    <w:rsid w:val="00E8427E"/>
    <w:rsid w:val="00E8492C"/>
    <w:rsid w:val="00E84B2C"/>
    <w:rsid w:val="00E84BF2"/>
    <w:rsid w:val="00E8612B"/>
    <w:rsid w:val="00E867BD"/>
    <w:rsid w:val="00E869B7"/>
    <w:rsid w:val="00E86A0E"/>
    <w:rsid w:val="00E87215"/>
    <w:rsid w:val="00E874C7"/>
    <w:rsid w:val="00E908A2"/>
    <w:rsid w:val="00E90D06"/>
    <w:rsid w:val="00E9120E"/>
    <w:rsid w:val="00E918BA"/>
    <w:rsid w:val="00E91B03"/>
    <w:rsid w:val="00E91B5D"/>
    <w:rsid w:val="00E9201F"/>
    <w:rsid w:val="00E925CE"/>
    <w:rsid w:val="00E937EC"/>
    <w:rsid w:val="00E93F41"/>
    <w:rsid w:val="00E94CEA"/>
    <w:rsid w:val="00E953A1"/>
    <w:rsid w:val="00E95521"/>
    <w:rsid w:val="00E95AE5"/>
    <w:rsid w:val="00E95DA1"/>
    <w:rsid w:val="00E9654A"/>
    <w:rsid w:val="00E96599"/>
    <w:rsid w:val="00E969EE"/>
    <w:rsid w:val="00EA019B"/>
    <w:rsid w:val="00EA01E7"/>
    <w:rsid w:val="00EA0B94"/>
    <w:rsid w:val="00EA0C92"/>
    <w:rsid w:val="00EA0CE5"/>
    <w:rsid w:val="00EA12F1"/>
    <w:rsid w:val="00EA14A0"/>
    <w:rsid w:val="00EA167C"/>
    <w:rsid w:val="00EA18EB"/>
    <w:rsid w:val="00EA1C11"/>
    <w:rsid w:val="00EA1C88"/>
    <w:rsid w:val="00EA26FD"/>
    <w:rsid w:val="00EA29D5"/>
    <w:rsid w:val="00EA2AA1"/>
    <w:rsid w:val="00EA34EF"/>
    <w:rsid w:val="00EA382E"/>
    <w:rsid w:val="00EA3D80"/>
    <w:rsid w:val="00EA40F7"/>
    <w:rsid w:val="00EA42B8"/>
    <w:rsid w:val="00EA45ED"/>
    <w:rsid w:val="00EA47B2"/>
    <w:rsid w:val="00EA49C1"/>
    <w:rsid w:val="00EA548A"/>
    <w:rsid w:val="00EA575D"/>
    <w:rsid w:val="00EA623E"/>
    <w:rsid w:val="00EA693B"/>
    <w:rsid w:val="00EA7100"/>
    <w:rsid w:val="00EA756A"/>
    <w:rsid w:val="00EA7B5E"/>
    <w:rsid w:val="00EA7FD4"/>
    <w:rsid w:val="00EB0675"/>
    <w:rsid w:val="00EB0932"/>
    <w:rsid w:val="00EB0D86"/>
    <w:rsid w:val="00EB15EB"/>
    <w:rsid w:val="00EB190A"/>
    <w:rsid w:val="00EB1C80"/>
    <w:rsid w:val="00EB27F2"/>
    <w:rsid w:val="00EB2897"/>
    <w:rsid w:val="00EB2F1E"/>
    <w:rsid w:val="00EB3067"/>
    <w:rsid w:val="00EB427D"/>
    <w:rsid w:val="00EB42DB"/>
    <w:rsid w:val="00EB4AB5"/>
    <w:rsid w:val="00EB4ACF"/>
    <w:rsid w:val="00EB4B5A"/>
    <w:rsid w:val="00EB63A1"/>
    <w:rsid w:val="00EB6A8B"/>
    <w:rsid w:val="00EB729A"/>
    <w:rsid w:val="00EB77E9"/>
    <w:rsid w:val="00EB79FF"/>
    <w:rsid w:val="00EC0ABD"/>
    <w:rsid w:val="00EC1261"/>
    <w:rsid w:val="00EC239F"/>
    <w:rsid w:val="00EC2592"/>
    <w:rsid w:val="00EC276A"/>
    <w:rsid w:val="00EC286E"/>
    <w:rsid w:val="00EC2F78"/>
    <w:rsid w:val="00EC30D3"/>
    <w:rsid w:val="00EC36E8"/>
    <w:rsid w:val="00EC3854"/>
    <w:rsid w:val="00EC42FA"/>
    <w:rsid w:val="00EC4703"/>
    <w:rsid w:val="00EC4E6A"/>
    <w:rsid w:val="00EC500C"/>
    <w:rsid w:val="00EC5538"/>
    <w:rsid w:val="00EC5FAC"/>
    <w:rsid w:val="00EC6187"/>
    <w:rsid w:val="00EC63EB"/>
    <w:rsid w:val="00EC685E"/>
    <w:rsid w:val="00EC6BE5"/>
    <w:rsid w:val="00EC6EEE"/>
    <w:rsid w:val="00EC6FC5"/>
    <w:rsid w:val="00EC730D"/>
    <w:rsid w:val="00ED061B"/>
    <w:rsid w:val="00ED0766"/>
    <w:rsid w:val="00ED083B"/>
    <w:rsid w:val="00ED0A31"/>
    <w:rsid w:val="00ED0C94"/>
    <w:rsid w:val="00ED0FCA"/>
    <w:rsid w:val="00ED1D02"/>
    <w:rsid w:val="00ED22E0"/>
    <w:rsid w:val="00ED28E3"/>
    <w:rsid w:val="00ED38EA"/>
    <w:rsid w:val="00ED4395"/>
    <w:rsid w:val="00ED43F3"/>
    <w:rsid w:val="00ED4674"/>
    <w:rsid w:val="00ED495C"/>
    <w:rsid w:val="00ED504E"/>
    <w:rsid w:val="00ED50E4"/>
    <w:rsid w:val="00ED5147"/>
    <w:rsid w:val="00ED5921"/>
    <w:rsid w:val="00ED5BAD"/>
    <w:rsid w:val="00ED629F"/>
    <w:rsid w:val="00ED6A9F"/>
    <w:rsid w:val="00ED6C09"/>
    <w:rsid w:val="00EE0974"/>
    <w:rsid w:val="00EE0F2B"/>
    <w:rsid w:val="00EE26D6"/>
    <w:rsid w:val="00EE29C6"/>
    <w:rsid w:val="00EE35C0"/>
    <w:rsid w:val="00EE491D"/>
    <w:rsid w:val="00EE5785"/>
    <w:rsid w:val="00EE61D9"/>
    <w:rsid w:val="00EE6568"/>
    <w:rsid w:val="00EE6B10"/>
    <w:rsid w:val="00EE6B6F"/>
    <w:rsid w:val="00EE7E5B"/>
    <w:rsid w:val="00EF00BD"/>
    <w:rsid w:val="00EF0C3B"/>
    <w:rsid w:val="00EF0CB7"/>
    <w:rsid w:val="00EF354F"/>
    <w:rsid w:val="00EF36ED"/>
    <w:rsid w:val="00EF3AE1"/>
    <w:rsid w:val="00EF3F10"/>
    <w:rsid w:val="00EF3F20"/>
    <w:rsid w:val="00EF502B"/>
    <w:rsid w:val="00EF5070"/>
    <w:rsid w:val="00EF539F"/>
    <w:rsid w:val="00EF5FB6"/>
    <w:rsid w:val="00EF7531"/>
    <w:rsid w:val="00EF7969"/>
    <w:rsid w:val="00EF7F60"/>
    <w:rsid w:val="00F00CE6"/>
    <w:rsid w:val="00F01291"/>
    <w:rsid w:val="00F01D5D"/>
    <w:rsid w:val="00F02137"/>
    <w:rsid w:val="00F024F7"/>
    <w:rsid w:val="00F02B49"/>
    <w:rsid w:val="00F031D9"/>
    <w:rsid w:val="00F0351F"/>
    <w:rsid w:val="00F04196"/>
    <w:rsid w:val="00F04255"/>
    <w:rsid w:val="00F04A88"/>
    <w:rsid w:val="00F04DDA"/>
    <w:rsid w:val="00F04DE0"/>
    <w:rsid w:val="00F0526D"/>
    <w:rsid w:val="00F05483"/>
    <w:rsid w:val="00F05969"/>
    <w:rsid w:val="00F062C3"/>
    <w:rsid w:val="00F066C1"/>
    <w:rsid w:val="00F072BC"/>
    <w:rsid w:val="00F0749D"/>
    <w:rsid w:val="00F07761"/>
    <w:rsid w:val="00F077D3"/>
    <w:rsid w:val="00F078D2"/>
    <w:rsid w:val="00F07ABC"/>
    <w:rsid w:val="00F07F6E"/>
    <w:rsid w:val="00F1021C"/>
    <w:rsid w:val="00F109AD"/>
    <w:rsid w:val="00F115C0"/>
    <w:rsid w:val="00F1187E"/>
    <w:rsid w:val="00F119AA"/>
    <w:rsid w:val="00F11ECE"/>
    <w:rsid w:val="00F1223D"/>
    <w:rsid w:val="00F1234F"/>
    <w:rsid w:val="00F12CDD"/>
    <w:rsid w:val="00F132A8"/>
    <w:rsid w:val="00F14144"/>
    <w:rsid w:val="00F14572"/>
    <w:rsid w:val="00F14EE4"/>
    <w:rsid w:val="00F15173"/>
    <w:rsid w:val="00F155B7"/>
    <w:rsid w:val="00F15A39"/>
    <w:rsid w:val="00F169EB"/>
    <w:rsid w:val="00F16B89"/>
    <w:rsid w:val="00F16DCF"/>
    <w:rsid w:val="00F17861"/>
    <w:rsid w:val="00F17BE0"/>
    <w:rsid w:val="00F17E8E"/>
    <w:rsid w:val="00F20B16"/>
    <w:rsid w:val="00F213E4"/>
    <w:rsid w:val="00F21A63"/>
    <w:rsid w:val="00F21E0A"/>
    <w:rsid w:val="00F227CD"/>
    <w:rsid w:val="00F22C26"/>
    <w:rsid w:val="00F22F99"/>
    <w:rsid w:val="00F23062"/>
    <w:rsid w:val="00F24056"/>
    <w:rsid w:val="00F240EE"/>
    <w:rsid w:val="00F244FC"/>
    <w:rsid w:val="00F2523B"/>
    <w:rsid w:val="00F25795"/>
    <w:rsid w:val="00F263D2"/>
    <w:rsid w:val="00F269A0"/>
    <w:rsid w:val="00F26CBE"/>
    <w:rsid w:val="00F3082F"/>
    <w:rsid w:val="00F3094C"/>
    <w:rsid w:val="00F31011"/>
    <w:rsid w:val="00F31DB7"/>
    <w:rsid w:val="00F320FB"/>
    <w:rsid w:val="00F327B9"/>
    <w:rsid w:val="00F32833"/>
    <w:rsid w:val="00F3297F"/>
    <w:rsid w:val="00F32A2A"/>
    <w:rsid w:val="00F32FD9"/>
    <w:rsid w:val="00F33110"/>
    <w:rsid w:val="00F34474"/>
    <w:rsid w:val="00F3447E"/>
    <w:rsid w:val="00F346A7"/>
    <w:rsid w:val="00F3513C"/>
    <w:rsid w:val="00F3648F"/>
    <w:rsid w:val="00F36986"/>
    <w:rsid w:val="00F37149"/>
    <w:rsid w:val="00F37298"/>
    <w:rsid w:val="00F37461"/>
    <w:rsid w:val="00F379BE"/>
    <w:rsid w:val="00F4091B"/>
    <w:rsid w:val="00F409D3"/>
    <w:rsid w:val="00F40B3C"/>
    <w:rsid w:val="00F40DB8"/>
    <w:rsid w:val="00F40FC9"/>
    <w:rsid w:val="00F41116"/>
    <w:rsid w:val="00F41881"/>
    <w:rsid w:val="00F41C1B"/>
    <w:rsid w:val="00F41E6F"/>
    <w:rsid w:val="00F4243C"/>
    <w:rsid w:val="00F42472"/>
    <w:rsid w:val="00F43E70"/>
    <w:rsid w:val="00F45E34"/>
    <w:rsid w:val="00F45E4F"/>
    <w:rsid w:val="00F465A3"/>
    <w:rsid w:val="00F46666"/>
    <w:rsid w:val="00F47292"/>
    <w:rsid w:val="00F47295"/>
    <w:rsid w:val="00F472CA"/>
    <w:rsid w:val="00F47685"/>
    <w:rsid w:val="00F47A00"/>
    <w:rsid w:val="00F515BA"/>
    <w:rsid w:val="00F51B88"/>
    <w:rsid w:val="00F5279E"/>
    <w:rsid w:val="00F52F82"/>
    <w:rsid w:val="00F53A63"/>
    <w:rsid w:val="00F54EFE"/>
    <w:rsid w:val="00F55244"/>
    <w:rsid w:val="00F55354"/>
    <w:rsid w:val="00F5559A"/>
    <w:rsid w:val="00F5577B"/>
    <w:rsid w:val="00F5587D"/>
    <w:rsid w:val="00F558C1"/>
    <w:rsid w:val="00F55C92"/>
    <w:rsid w:val="00F56009"/>
    <w:rsid w:val="00F560A6"/>
    <w:rsid w:val="00F56274"/>
    <w:rsid w:val="00F56960"/>
    <w:rsid w:val="00F57515"/>
    <w:rsid w:val="00F577E0"/>
    <w:rsid w:val="00F579EA"/>
    <w:rsid w:val="00F6013C"/>
    <w:rsid w:val="00F61784"/>
    <w:rsid w:val="00F61D1E"/>
    <w:rsid w:val="00F62209"/>
    <w:rsid w:val="00F6236A"/>
    <w:rsid w:val="00F630C1"/>
    <w:rsid w:val="00F63574"/>
    <w:rsid w:val="00F63ADE"/>
    <w:rsid w:val="00F63BEA"/>
    <w:rsid w:val="00F63E7F"/>
    <w:rsid w:val="00F641B7"/>
    <w:rsid w:val="00F65279"/>
    <w:rsid w:val="00F66A7F"/>
    <w:rsid w:val="00F674ED"/>
    <w:rsid w:val="00F676F8"/>
    <w:rsid w:val="00F67CE8"/>
    <w:rsid w:val="00F70032"/>
    <w:rsid w:val="00F702AF"/>
    <w:rsid w:val="00F708A0"/>
    <w:rsid w:val="00F70C71"/>
    <w:rsid w:val="00F7167B"/>
    <w:rsid w:val="00F71BB7"/>
    <w:rsid w:val="00F71BCB"/>
    <w:rsid w:val="00F7216D"/>
    <w:rsid w:val="00F7257D"/>
    <w:rsid w:val="00F733CB"/>
    <w:rsid w:val="00F74259"/>
    <w:rsid w:val="00F74959"/>
    <w:rsid w:val="00F750FC"/>
    <w:rsid w:val="00F75789"/>
    <w:rsid w:val="00F75F47"/>
    <w:rsid w:val="00F76873"/>
    <w:rsid w:val="00F76D11"/>
    <w:rsid w:val="00F77036"/>
    <w:rsid w:val="00F77748"/>
    <w:rsid w:val="00F8001C"/>
    <w:rsid w:val="00F8026B"/>
    <w:rsid w:val="00F8040D"/>
    <w:rsid w:val="00F804CC"/>
    <w:rsid w:val="00F80E2D"/>
    <w:rsid w:val="00F81100"/>
    <w:rsid w:val="00F813BD"/>
    <w:rsid w:val="00F818F3"/>
    <w:rsid w:val="00F83455"/>
    <w:rsid w:val="00F84334"/>
    <w:rsid w:val="00F84418"/>
    <w:rsid w:val="00F84A22"/>
    <w:rsid w:val="00F84A8F"/>
    <w:rsid w:val="00F8555B"/>
    <w:rsid w:val="00F85DB5"/>
    <w:rsid w:val="00F85DFE"/>
    <w:rsid w:val="00F8698E"/>
    <w:rsid w:val="00F86D5B"/>
    <w:rsid w:val="00F87870"/>
    <w:rsid w:val="00F87DF0"/>
    <w:rsid w:val="00F90294"/>
    <w:rsid w:val="00F905A5"/>
    <w:rsid w:val="00F90692"/>
    <w:rsid w:val="00F90871"/>
    <w:rsid w:val="00F90EFA"/>
    <w:rsid w:val="00F913AE"/>
    <w:rsid w:val="00F915B7"/>
    <w:rsid w:val="00F917D9"/>
    <w:rsid w:val="00F919B8"/>
    <w:rsid w:val="00F91A5E"/>
    <w:rsid w:val="00F91C77"/>
    <w:rsid w:val="00F92E38"/>
    <w:rsid w:val="00F9362A"/>
    <w:rsid w:val="00F938B9"/>
    <w:rsid w:val="00F9423B"/>
    <w:rsid w:val="00F94DB9"/>
    <w:rsid w:val="00F95BB6"/>
    <w:rsid w:val="00F96001"/>
    <w:rsid w:val="00F965A0"/>
    <w:rsid w:val="00F96838"/>
    <w:rsid w:val="00F97911"/>
    <w:rsid w:val="00F97D1E"/>
    <w:rsid w:val="00F97EF4"/>
    <w:rsid w:val="00FA00CC"/>
    <w:rsid w:val="00FA02F5"/>
    <w:rsid w:val="00FA0981"/>
    <w:rsid w:val="00FA0DE8"/>
    <w:rsid w:val="00FA10EC"/>
    <w:rsid w:val="00FA1B4B"/>
    <w:rsid w:val="00FA1BA8"/>
    <w:rsid w:val="00FA2660"/>
    <w:rsid w:val="00FA2A08"/>
    <w:rsid w:val="00FA2AC9"/>
    <w:rsid w:val="00FA2EDC"/>
    <w:rsid w:val="00FA3543"/>
    <w:rsid w:val="00FA3619"/>
    <w:rsid w:val="00FA4771"/>
    <w:rsid w:val="00FA6651"/>
    <w:rsid w:val="00FA66DA"/>
    <w:rsid w:val="00FA7240"/>
    <w:rsid w:val="00FA7D8A"/>
    <w:rsid w:val="00FB0060"/>
    <w:rsid w:val="00FB03AD"/>
    <w:rsid w:val="00FB0448"/>
    <w:rsid w:val="00FB0963"/>
    <w:rsid w:val="00FB0A8A"/>
    <w:rsid w:val="00FB0A9C"/>
    <w:rsid w:val="00FB0CC9"/>
    <w:rsid w:val="00FB13FF"/>
    <w:rsid w:val="00FB1460"/>
    <w:rsid w:val="00FB2064"/>
    <w:rsid w:val="00FB2072"/>
    <w:rsid w:val="00FB21A1"/>
    <w:rsid w:val="00FB2242"/>
    <w:rsid w:val="00FB236F"/>
    <w:rsid w:val="00FB23D8"/>
    <w:rsid w:val="00FB26D3"/>
    <w:rsid w:val="00FB2F9A"/>
    <w:rsid w:val="00FB3886"/>
    <w:rsid w:val="00FB3C3A"/>
    <w:rsid w:val="00FB49A9"/>
    <w:rsid w:val="00FB4DCC"/>
    <w:rsid w:val="00FB50F6"/>
    <w:rsid w:val="00FB5391"/>
    <w:rsid w:val="00FB53BE"/>
    <w:rsid w:val="00FB5D9D"/>
    <w:rsid w:val="00FB6133"/>
    <w:rsid w:val="00FB6445"/>
    <w:rsid w:val="00FB66F1"/>
    <w:rsid w:val="00FB67F2"/>
    <w:rsid w:val="00FB70BB"/>
    <w:rsid w:val="00FB73D3"/>
    <w:rsid w:val="00FB760D"/>
    <w:rsid w:val="00FC08F8"/>
    <w:rsid w:val="00FC0BA8"/>
    <w:rsid w:val="00FC1048"/>
    <w:rsid w:val="00FC1606"/>
    <w:rsid w:val="00FC1667"/>
    <w:rsid w:val="00FC181F"/>
    <w:rsid w:val="00FC1C09"/>
    <w:rsid w:val="00FC1F2E"/>
    <w:rsid w:val="00FC2C65"/>
    <w:rsid w:val="00FC320B"/>
    <w:rsid w:val="00FC37FB"/>
    <w:rsid w:val="00FC43E8"/>
    <w:rsid w:val="00FC442F"/>
    <w:rsid w:val="00FC5097"/>
    <w:rsid w:val="00FC57EA"/>
    <w:rsid w:val="00FC59AE"/>
    <w:rsid w:val="00FC6119"/>
    <w:rsid w:val="00FC689E"/>
    <w:rsid w:val="00FC69E4"/>
    <w:rsid w:val="00FC700B"/>
    <w:rsid w:val="00FC7091"/>
    <w:rsid w:val="00FC70EF"/>
    <w:rsid w:val="00FC7A36"/>
    <w:rsid w:val="00FD0324"/>
    <w:rsid w:val="00FD0742"/>
    <w:rsid w:val="00FD0AFE"/>
    <w:rsid w:val="00FD0BB3"/>
    <w:rsid w:val="00FD0DD4"/>
    <w:rsid w:val="00FD155E"/>
    <w:rsid w:val="00FD186C"/>
    <w:rsid w:val="00FD1D43"/>
    <w:rsid w:val="00FD2398"/>
    <w:rsid w:val="00FD25B2"/>
    <w:rsid w:val="00FD3960"/>
    <w:rsid w:val="00FD44E0"/>
    <w:rsid w:val="00FD4FD9"/>
    <w:rsid w:val="00FD56CB"/>
    <w:rsid w:val="00FD5BAD"/>
    <w:rsid w:val="00FD6592"/>
    <w:rsid w:val="00FD665B"/>
    <w:rsid w:val="00FD6A55"/>
    <w:rsid w:val="00FD6F9F"/>
    <w:rsid w:val="00FD706A"/>
    <w:rsid w:val="00FD737C"/>
    <w:rsid w:val="00FD77CE"/>
    <w:rsid w:val="00FD78F9"/>
    <w:rsid w:val="00FD7A5F"/>
    <w:rsid w:val="00FE0071"/>
    <w:rsid w:val="00FE0667"/>
    <w:rsid w:val="00FE0ECF"/>
    <w:rsid w:val="00FE1146"/>
    <w:rsid w:val="00FE205C"/>
    <w:rsid w:val="00FE22D5"/>
    <w:rsid w:val="00FE23F6"/>
    <w:rsid w:val="00FE25E5"/>
    <w:rsid w:val="00FE274B"/>
    <w:rsid w:val="00FE29D5"/>
    <w:rsid w:val="00FE35E7"/>
    <w:rsid w:val="00FE39DB"/>
    <w:rsid w:val="00FE39ED"/>
    <w:rsid w:val="00FE3C7C"/>
    <w:rsid w:val="00FE4234"/>
    <w:rsid w:val="00FE49CC"/>
    <w:rsid w:val="00FE4E5D"/>
    <w:rsid w:val="00FE563F"/>
    <w:rsid w:val="00FE577F"/>
    <w:rsid w:val="00FE5D5F"/>
    <w:rsid w:val="00FE5FA5"/>
    <w:rsid w:val="00FE623A"/>
    <w:rsid w:val="00FE7264"/>
    <w:rsid w:val="00FE7B13"/>
    <w:rsid w:val="00FF0976"/>
    <w:rsid w:val="00FF09C4"/>
    <w:rsid w:val="00FF1108"/>
    <w:rsid w:val="00FF157A"/>
    <w:rsid w:val="00FF15F3"/>
    <w:rsid w:val="00FF1C27"/>
    <w:rsid w:val="00FF2204"/>
    <w:rsid w:val="00FF26CF"/>
    <w:rsid w:val="00FF29F6"/>
    <w:rsid w:val="00FF2B99"/>
    <w:rsid w:val="00FF368E"/>
    <w:rsid w:val="00FF3EC3"/>
    <w:rsid w:val="00FF4557"/>
    <w:rsid w:val="00FF4A20"/>
    <w:rsid w:val="00FF4C36"/>
    <w:rsid w:val="00FF524D"/>
    <w:rsid w:val="00FF5C91"/>
    <w:rsid w:val="00FF6376"/>
    <w:rsid w:val="00FF69BD"/>
    <w:rsid w:val="00FF6AFE"/>
    <w:rsid w:val="00FF6C96"/>
    <w:rsid w:val="00FF7102"/>
    <w:rsid w:val="00FF74E7"/>
    <w:rsid w:val="00FF7C37"/>
    <w:rsid w:val="00FF7F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929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14CD2"/>
    <w:rPr>
      <w:rFonts w:ascii="Arial" w:hAnsi="Arial" w:cs="Arial"/>
      <w:sz w:val="24"/>
      <w:szCs w:val="24"/>
    </w:rPr>
  </w:style>
  <w:style w:type="paragraph" w:styleId="Heading1">
    <w:name w:val="heading 1"/>
    <w:basedOn w:val="Normal"/>
    <w:next w:val="Normal"/>
    <w:link w:val="Heading1Char"/>
    <w:uiPriority w:val="9"/>
    <w:qFormat/>
    <w:rsid w:val="009837C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CD2"/>
    <w:rPr>
      <w:color w:val="0000FF" w:themeColor="hyperlink"/>
      <w:u w:val="single"/>
    </w:rPr>
  </w:style>
  <w:style w:type="paragraph" w:styleId="ListParagraph">
    <w:name w:val="List Paragraph"/>
    <w:basedOn w:val="Normal"/>
    <w:uiPriority w:val="34"/>
    <w:qFormat/>
    <w:rsid w:val="00A23C06"/>
    <w:pPr>
      <w:ind w:left="720"/>
      <w:contextualSpacing/>
    </w:pPr>
  </w:style>
  <w:style w:type="table" w:styleId="TableGrid">
    <w:name w:val="Table Grid"/>
    <w:basedOn w:val="TableNormal"/>
    <w:uiPriority w:val="59"/>
    <w:rsid w:val="00E7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3EE9"/>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5B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E9"/>
    <w:rPr>
      <w:rFonts w:ascii="Segoe UI" w:hAnsi="Segoe UI" w:cs="Segoe UI"/>
      <w:sz w:val="18"/>
      <w:szCs w:val="18"/>
    </w:rPr>
  </w:style>
  <w:style w:type="paragraph" w:customStyle="1" w:styleId="Default">
    <w:name w:val="Default"/>
    <w:rsid w:val="00B93CF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B5318"/>
    <w:pPr>
      <w:spacing w:before="100" w:beforeAutospacing="1" w:after="100" w:afterAutospacing="1" w:line="240" w:lineRule="auto"/>
    </w:pPr>
    <w:rPr>
      <w:rFonts w:ascii="Times New Roman" w:hAnsi="Times New Roman" w:cs="Times New Roman"/>
    </w:rPr>
  </w:style>
  <w:style w:type="paragraph" w:styleId="Header">
    <w:name w:val="header"/>
    <w:basedOn w:val="Normal"/>
    <w:link w:val="HeaderChar"/>
    <w:uiPriority w:val="99"/>
    <w:unhideWhenUsed/>
    <w:rsid w:val="00C6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46"/>
    <w:rPr>
      <w:rFonts w:ascii="Arial" w:hAnsi="Arial" w:cs="Arial"/>
      <w:sz w:val="24"/>
      <w:szCs w:val="24"/>
    </w:rPr>
  </w:style>
  <w:style w:type="paragraph" w:styleId="Footer">
    <w:name w:val="footer"/>
    <w:basedOn w:val="Normal"/>
    <w:link w:val="FooterChar"/>
    <w:uiPriority w:val="99"/>
    <w:unhideWhenUsed/>
    <w:rsid w:val="00C61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46"/>
    <w:rPr>
      <w:rFonts w:ascii="Arial" w:hAnsi="Arial" w:cs="Arial"/>
      <w:sz w:val="24"/>
      <w:szCs w:val="24"/>
    </w:rPr>
  </w:style>
  <w:style w:type="character" w:styleId="LineNumber">
    <w:name w:val="line number"/>
    <w:basedOn w:val="DefaultParagraphFont"/>
    <w:uiPriority w:val="99"/>
    <w:semiHidden/>
    <w:unhideWhenUsed/>
    <w:rsid w:val="001E02CD"/>
  </w:style>
  <w:style w:type="table" w:styleId="LightShading">
    <w:name w:val="Light Shading"/>
    <w:basedOn w:val="TableNormal"/>
    <w:uiPriority w:val="60"/>
    <w:rsid w:val="002C4A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D5108"/>
    <w:rPr>
      <w:sz w:val="16"/>
      <w:szCs w:val="16"/>
    </w:rPr>
  </w:style>
  <w:style w:type="paragraph" w:styleId="CommentText">
    <w:name w:val="annotation text"/>
    <w:basedOn w:val="Normal"/>
    <w:link w:val="CommentTextChar"/>
    <w:uiPriority w:val="99"/>
    <w:semiHidden/>
    <w:unhideWhenUsed/>
    <w:rsid w:val="004D5108"/>
    <w:pPr>
      <w:spacing w:line="240" w:lineRule="auto"/>
    </w:pPr>
    <w:rPr>
      <w:sz w:val="20"/>
      <w:szCs w:val="20"/>
    </w:rPr>
  </w:style>
  <w:style w:type="character" w:customStyle="1" w:styleId="CommentTextChar">
    <w:name w:val="Comment Text Char"/>
    <w:basedOn w:val="DefaultParagraphFont"/>
    <w:link w:val="CommentText"/>
    <w:uiPriority w:val="99"/>
    <w:semiHidden/>
    <w:rsid w:val="004D51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D5108"/>
    <w:rPr>
      <w:b/>
      <w:bCs/>
    </w:rPr>
  </w:style>
  <w:style w:type="character" w:customStyle="1" w:styleId="CommentSubjectChar">
    <w:name w:val="Comment Subject Char"/>
    <w:basedOn w:val="CommentTextChar"/>
    <w:link w:val="CommentSubject"/>
    <w:uiPriority w:val="99"/>
    <w:semiHidden/>
    <w:rsid w:val="004D5108"/>
    <w:rPr>
      <w:rFonts w:ascii="Arial" w:hAnsi="Arial" w:cs="Arial"/>
      <w:b/>
      <w:bCs/>
      <w:sz w:val="20"/>
      <w:szCs w:val="20"/>
    </w:rPr>
  </w:style>
  <w:style w:type="character" w:styleId="UnresolvedMention">
    <w:name w:val="Unresolved Mention"/>
    <w:basedOn w:val="DefaultParagraphFont"/>
    <w:uiPriority w:val="99"/>
    <w:rsid w:val="00D712F3"/>
    <w:rPr>
      <w:color w:val="605E5C"/>
      <w:shd w:val="clear" w:color="auto" w:fill="E1DFDD"/>
    </w:rPr>
  </w:style>
  <w:style w:type="character" w:customStyle="1" w:styleId="Heading1Char">
    <w:name w:val="Heading 1 Char"/>
    <w:basedOn w:val="DefaultParagraphFont"/>
    <w:link w:val="Heading1"/>
    <w:uiPriority w:val="9"/>
    <w:rsid w:val="009837C3"/>
    <w:rPr>
      <w:rFonts w:asciiTheme="majorHAnsi" w:eastAsiaTheme="majorEastAsia" w:hAnsiTheme="majorHAnsi" w:cstheme="majorBidi"/>
      <w:color w:val="365F91" w:themeColor="accent1" w:themeShade="BF"/>
      <w:sz w:val="32"/>
      <w:szCs w:val="32"/>
      <w:lang w:val="en-US" w:eastAsia="en-US"/>
    </w:rPr>
  </w:style>
  <w:style w:type="character" w:styleId="PageNumber">
    <w:name w:val="page number"/>
    <w:basedOn w:val="DefaultParagraphFont"/>
    <w:uiPriority w:val="99"/>
    <w:semiHidden/>
    <w:unhideWhenUsed/>
    <w:rsid w:val="004C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7994">
      <w:bodyDiv w:val="1"/>
      <w:marLeft w:val="0"/>
      <w:marRight w:val="0"/>
      <w:marTop w:val="0"/>
      <w:marBottom w:val="0"/>
      <w:divBdr>
        <w:top w:val="none" w:sz="0" w:space="0" w:color="auto"/>
        <w:left w:val="none" w:sz="0" w:space="0" w:color="auto"/>
        <w:bottom w:val="none" w:sz="0" w:space="0" w:color="auto"/>
        <w:right w:val="none" w:sz="0" w:space="0" w:color="auto"/>
      </w:divBdr>
    </w:div>
    <w:div w:id="1557010064">
      <w:bodyDiv w:val="1"/>
      <w:marLeft w:val="0"/>
      <w:marRight w:val="0"/>
      <w:marTop w:val="0"/>
      <w:marBottom w:val="0"/>
      <w:divBdr>
        <w:top w:val="none" w:sz="0" w:space="0" w:color="auto"/>
        <w:left w:val="none" w:sz="0" w:space="0" w:color="auto"/>
        <w:bottom w:val="none" w:sz="0" w:space="0" w:color="auto"/>
        <w:right w:val="none" w:sz="0" w:space="0" w:color="auto"/>
      </w:divBdr>
    </w:div>
    <w:div w:id="15769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ing@lboro.ac.uk" TargetMode="External"/><Relationship Id="rId13" Type="http://schemas.openxmlformats.org/officeDocument/2006/relationships/hyperlink" Target="http://www.fao.org/3/y5686e/y5686e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oup.com/j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ConferenceProceedings</b:SourceType>
    <b:Guid>{61D42EDD-05FC-4D53-83F2-EDD0A1E2F284}</b:Guid>
    <b:RefOrder>1</b:RefOrder>
  </b:Source>
</b:Sources>
</file>

<file path=customXml/itemProps1.xml><?xml version="1.0" encoding="utf-8"?>
<ds:datastoreItem xmlns:ds="http://schemas.openxmlformats.org/officeDocument/2006/customXml" ds:itemID="{D3EBF684-0E18-4444-A00F-20244752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66614</Words>
  <Characters>379704</Characters>
  <Application>Microsoft Office Word</Application>
  <DocSecurity>0</DocSecurity>
  <Lines>3164</Lines>
  <Paragraphs>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King</dc:creator>
  <cp:keywords/>
  <dc:description/>
  <cp:lastModifiedBy>Scott Willis</cp:lastModifiedBy>
  <cp:revision>3</cp:revision>
  <cp:lastPrinted>2019-03-08T14:35:00Z</cp:lastPrinted>
  <dcterms:created xsi:type="dcterms:W3CDTF">2019-12-09T13:43:00Z</dcterms:created>
  <dcterms:modified xsi:type="dcterms:W3CDTF">2019-12-09T13:43:00Z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http://www.zotero.org/styles/journal-of-nutrition</vt:lpwstr>
  </property>
  <property fmtid="{D5CDD505-2E9C-101B-9397-08002B2CF9AE}" pid="15" name="Mendeley Recent Style Name 6_1">
    <vt:lpwstr>Journal of Nutrition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679e628b-5b72-3dd5-bc5b-6a46a6c7d673</vt:lpwstr>
  </property>
  <property fmtid="{D5CDD505-2E9C-101B-9397-08002B2CF9AE}" pid="24" name="Mendeley Citation Style_1">
    <vt:lpwstr>http://www.zotero.org/styles/journal-of-nutrition</vt:lpwstr>
  </property>
</Properties>
</file>