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8C985" w14:textId="77777777" w:rsidR="006F1FC9" w:rsidRPr="002F535E" w:rsidRDefault="006F1FC9" w:rsidP="006F1FC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lang w:val="en-US"/>
        </w:rPr>
      </w:pPr>
      <w:bookmarkStart w:id="0" w:name="_GoBack"/>
      <w:bookmarkEnd w:id="0"/>
      <w:r>
        <w:rPr>
          <w:rStyle w:val="normaltextrun"/>
          <w:b/>
          <w:bCs/>
          <w:lang w:val="en-US"/>
        </w:rPr>
        <w:t>Supplementary Information for:</w:t>
      </w:r>
    </w:p>
    <w:p w14:paraId="2407D28D" w14:textId="77777777" w:rsidR="006F1FC9" w:rsidRDefault="006F1FC9" w:rsidP="006F1FC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lang w:val="en-US"/>
        </w:rPr>
      </w:pPr>
    </w:p>
    <w:p w14:paraId="5B253FE4" w14:textId="77777777" w:rsidR="006F1FC9" w:rsidRPr="00EC28CA" w:rsidRDefault="006F1FC9" w:rsidP="006F1FC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C28CA">
        <w:rPr>
          <w:rStyle w:val="normaltextrun"/>
          <w:lang w:val="en-US"/>
        </w:rPr>
        <w:t xml:space="preserve">Differential responses of macroinvertebrate </w:t>
      </w:r>
      <w:proofErr w:type="spellStart"/>
      <w:r w:rsidRPr="00EC28CA">
        <w:rPr>
          <w:rStyle w:val="normaltextrun"/>
          <w:lang w:val="en-US"/>
        </w:rPr>
        <w:t>ionomes</w:t>
      </w:r>
      <w:proofErr w:type="spellEnd"/>
      <w:r w:rsidRPr="00EC28CA">
        <w:rPr>
          <w:rStyle w:val="normaltextrun"/>
          <w:lang w:val="en-US"/>
        </w:rPr>
        <w:t xml:space="preserve"> across experimental N:P gradients in detritus-based headwater streams </w:t>
      </w:r>
    </w:p>
    <w:p w14:paraId="3F10F169" w14:textId="77777777" w:rsidR="006F1FC9" w:rsidRPr="00EC28CA" w:rsidRDefault="006F1FC9" w:rsidP="006F1FC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C28CA">
        <w:rPr>
          <w:rStyle w:val="eop"/>
        </w:rPr>
        <w:t> </w:t>
      </w:r>
    </w:p>
    <w:p w14:paraId="080A0BFC" w14:textId="77777777" w:rsidR="006F1FC9" w:rsidRPr="00EC28CA" w:rsidRDefault="006F1FC9" w:rsidP="006F1FC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lang w:val="en-US"/>
        </w:rPr>
      </w:pPr>
    </w:p>
    <w:p w14:paraId="047A76ED" w14:textId="77777777" w:rsidR="006F1FC9" w:rsidRPr="00EC28CA" w:rsidRDefault="006F1FC9" w:rsidP="006F1FC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lang w:val="en-US"/>
        </w:rPr>
      </w:pPr>
    </w:p>
    <w:p w14:paraId="6931144C" w14:textId="77777777" w:rsidR="006F1FC9" w:rsidRPr="00EC28CA" w:rsidRDefault="006F1FC9" w:rsidP="006F1FC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C28CA">
        <w:rPr>
          <w:rStyle w:val="normaltextrun"/>
          <w:lang w:val="en-US"/>
        </w:rPr>
        <w:t>Clay Prater</w:t>
      </w:r>
      <w:r w:rsidRPr="00EC28CA">
        <w:rPr>
          <w:rStyle w:val="normaltextrun"/>
          <w:sz w:val="19"/>
          <w:szCs w:val="19"/>
          <w:vertAlign w:val="superscript"/>
          <w:lang w:val="en-US"/>
        </w:rPr>
        <w:t>1†</w:t>
      </w:r>
      <w:r w:rsidRPr="00EC28CA">
        <w:rPr>
          <w:rStyle w:val="normaltextrun"/>
          <w:lang w:val="en-US"/>
        </w:rPr>
        <w:t>, Phillip M. Bumpers</w:t>
      </w:r>
      <w:r w:rsidRPr="00EC28CA">
        <w:rPr>
          <w:rStyle w:val="normaltextrun"/>
          <w:sz w:val="19"/>
          <w:szCs w:val="19"/>
          <w:vertAlign w:val="superscript"/>
          <w:lang w:val="en-US"/>
        </w:rPr>
        <w:t>2</w:t>
      </w:r>
      <w:r w:rsidRPr="00EC28CA">
        <w:rPr>
          <w:rStyle w:val="normaltextrun"/>
          <w:lang w:val="en-US"/>
        </w:rPr>
        <w:t>, Lee M. Demi</w:t>
      </w:r>
      <w:r w:rsidRPr="00EC28CA">
        <w:rPr>
          <w:rStyle w:val="normaltextrun"/>
          <w:sz w:val="19"/>
          <w:szCs w:val="19"/>
          <w:vertAlign w:val="superscript"/>
          <w:lang w:val="en-US"/>
        </w:rPr>
        <w:t>3</w:t>
      </w:r>
      <w:r w:rsidRPr="00EC28CA">
        <w:rPr>
          <w:rStyle w:val="normaltextrun"/>
          <w:lang w:val="en-US"/>
        </w:rPr>
        <w:t>, Amy D. Rosemond</w:t>
      </w:r>
      <w:r w:rsidRPr="00EC28CA">
        <w:rPr>
          <w:rStyle w:val="normaltextrun"/>
          <w:sz w:val="19"/>
          <w:szCs w:val="19"/>
          <w:vertAlign w:val="superscript"/>
          <w:lang w:val="en-US"/>
        </w:rPr>
        <w:t>2</w:t>
      </w:r>
      <w:r w:rsidRPr="00EC28CA">
        <w:rPr>
          <w:rStyle w:val="normaltextrun"/>
          <w:lang w:val="en-US"/>
        </w:rPr>
        <w:t>, &amp; </w:t>
      </w:r>
      <w:proofErr w:type="spellStart"/>
      <w:r w:rsidRPr="00EC28CA">
        <w:rPr>
          <w:rStyle w:val="spellingerror"/>
          <w:lang w:val="en-US"/>
        </w:rPr>
        <w:t>Punidan</w:t>
      </w:r>
      <w:proofErr w:type="spellEnd"/>
      <w:r w:rsidRPr="00EC28CA">
        <w:rPr>
          <w:rStyle w:val="normaltextrun"/>
          <w:lang w:val="en-US"/>
        </w:rPr>
        <w:t> D. Jeyasingh</w:t>
      </w:r>
      <w:r w:rsidRPr="00EC28CA">
        <w:rPr>
          <w:rStyle w:val="normaltextrun"/>
          <w:sz w:val="19"/>
          <w:szCs w:val="19"/>
          <w:vertAlign w:val="superscript"/>
          <w:lang w:val="en-US"/>
        </w:rPr>
        <w:t>4</w:t>
      </w:r>
      <w:r w:rsidRPr="00EC28CA">
        <w:rPr>
          <w:rStyle w:val="eop"/>
          <w:sz w:val="19"/>
          <w:szCs w:val="19"/>
        </w:rPr>
        <w:t> </w:t>
      </w:r>
    </w:p>
    <w:p w14:paraId="1AE49C46" w14:textId="77777777" w:rsidR="006F1FC9" w:rsidRPr="00EC28CA" w:rsidRDefault="006F1FC9" w:rsidP="006F1F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C28CA">
        <w:rPr>
          <w:rStyle w:val="eop"/>
          <w:sz w:val="19"/>
          <w:szCs w:val="19"/>
        </w:rPr>
        <w:t> </w:t>
      </w:r>
    </w:p>
    <w:p w14:paraId="4F4BFC26" w14:textId="77777777" w:rsidR="006F1FC9" w:rsidRPr="00EC28CA" w:rsidRDefault="006F1FC9" w:rsidP="006F1FC9">
      <w:pPr>
        <w:pStyle w:val="paragraph"/>
        <w:spacing w:before="0" w:beforeAutospacing="0" w:after="0" w:afterAutospacing="0"/>
        <w:textAlignment w:val="baseline"/>
        <w:rPr>
          <w:rStyle w:val="normaltextrun"/>
          <w:sz w:val="19"/>
          <w:szCs w:val="19"/>
          <w:vertAlign w:val="superscript"/>
          <w:lang w:val="en-US"/>
        </w:rPr>
      </w:pPr>
    </w:p>
    <w:p w14:paraId="31152C07" w14:textId="77777777" w:rsidR="006F1FC9" w:rsidRPr="00EC28CA" w:rsidRDefault="006F1FC9" w:rsidP="006F1FC9">
      <w:pPr>
        <w:pStyle w:val="paragraph"/>
        <w:spacing w:before="0" w:beforeAutospacing="0" w:after="0" w:afterAutospacing="0"/>
        <w:textAlignment w:val="baseline"/>
        <w:rPr>
          <w:rStyle w:val="normaltextrun"/>
          <w:sz w:val="19"/>
          <w:szCs w:val="19"/>
          <w:vertAlign w:val="superscript"/>
          <w:lang w:val="en-US"/>
        </w:rPr>
      </w:pPr>
    </w:p>
    <w:p w14:paraId="1446C371" w14:textId="77777777" w:rsidR="006F1FC9" w:rsidRPr="00EC28CA" w:rsidRDefault="006F1FC9" w:rsidP="006F1FC9">
      <w:pPr>
        <w:pStyle w:val="paragraph"/>
        <w:spacing w:before="0" w:beforeAutospacing="0" w:after="0" w:afterAutospacing="0"/>
        <w:textAlignment w:val="baseline"/>
        <w:rPr>
          <w:rStyle w:val="normaltextrun"/>
          <w:sz w:val="19"/>
          <w:szCs w:val="19"/>
          <w:vertAlign w:val="superscript"/>
          <w:lang w:val="en-US"/>
        </w:rPr>
      </w:pPr>
    </w:p>
    <w:p w14:paraId="79C470AF" w14:textId="77777777" w:rsidR="006F1FC9" w:rsidRPr="00EC28CA" w:rsidRDefault="006F1FC9" w:rsidP="006F1F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C28CA">
        <w:rPr>
          <w:rStyle w:val="normaltextrun"/>
          <w:sz w:val="19"/>
          <w:szCs w:val="19"/>
          <w:vertAlign w:val="superscript"/>
          <w:lang w:val="en-US"/>
        </w:rPr>
        <w:t>1 </w:t>
      </w:r>
      <w:r w:rsidRPr="00EC28CA">
        <w:rPr>
          <w:rStyle w:val="normaltextrun"/>
          <w:lang w:val="en-US"/>
        </w:rPr>
        <w:t>Department of Geography, Loughborough University, Loughborough, UK</w:t>
      </w:r>
      <w:r w:rsidRPr="00EC28CA">
        <w:rPr>
          <w:rStyle w:val="eop"/>
        </w:rPr>
        <w:t>  </w:t>
      </w:r>
    </w:p>
    <w:p w14:paraId="0023D0FB" w14:textId="77777777" w:rsidR="006F1FC9" w:rsidRPr="00EC28CA" w:rsidRDefault="006F1FC9" w:rsidP="006F1FC9">
      <w:pPr>
        <w:pStyle w:val="paragraph"/>
        <w:spacing w:before="0" w:beforeAutospacing="0" w:after="0" w:afterAutospacing="0"/>
        <w:textAlignment w:val="baseline"/>
        <w:rPr>
          <w:rStyle w:val="normaltextrun"/>
          <w:sz w:val="19"/>
          <w:szCs w:val="19"/>
          <w:vertAlign w:val="superscript"/>
          <w:lang w:val="en-US"/>
        </w:rPr>
      </w:pPr>
    </w:p>
    <w:p w14:paraId="7914D3C5" w14:textId="77777777" w:rsidR="006F1FC9" w:rsidRPr="00EC28CA" w:rsidRDefault="006F1FC9" w:rsidP="006F1F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C28CA">
        <w:rPr>
          <w:rStyle w:val="normaltextrun"/>
          <w:sz w:val="19"/>
          <w:szCs w:val="19"/>
          <w:vertAlign w:val="superscript"/>
          <w:lang w:val="en-US"/>
        </w:rPr>
        <w:t>2</w:t>
      </w:r>
      <w:r w:rsidRPr="00EC28CA">
        <w:rPr>
          <w:rStyle w:val="normaltextrun"/>
          <w:lang w:val="en-US"/>
        </w:rPr>
        <w:t> </w:t>
      </w:r>
      <w:proofErr w:type="spellStart"/>
      <w:r w:rsidRPr="00EC28CA">
        <w:rPr>
          <w:rStyle w:val="normaltextrun"/>
          <w:lang w:val="en-US"/>
        </w:rPr>
        <w:t>Odum</w:t>
      </w:r>
      <w:proofErr w:type="spellEnd"/>
      <w:r w:rsidRPr="00EC28CA">
        <w:rPr>
          <w:rStyle w:val="normaltextrun"/>
          <w:lang w:val="en-US"/>
        </w:rPr>
        <w:t> School of Ecology, University of Georgia, Athens GA, USA</w:t>
      </w:r>
      <w:r w:rsidRPr="00EC28CA">
        <w:rPr>
          <w:rStyle w:val="eop"/>
        </w:rPr>
        <w:t> </w:t>
      </w:r>
    </w:p>
    <w:p w14:paraId="2F0D1B50" w14:textId="77777777" w:rsidR="006F1FC9" w:rsidRPr="00EC28CA" w:rsidRDefault="006F1FC9" w:rsidP="006F1FC9">
      <w:pPr>
        <w:pStyle w:val="paragraph"/>
        <w:spacing w:before="0" w:beforeAutospacing="0" w:after="0" w:afterAutospacing="0"/>
        <w:textAlignment w:val="baseline"/>
        <w:rPr>
          <w:rStyle w:val="normaltextrun"/>
          <w:sz w:val="19"/>
          <w:szCs w:val="19"/>
          <w:vertAlign w:val="superscript"/>
        </w:rPr>
      </w:pPr>
    </w:p>
    <w:p w14:paraId="24DD9FC2" w14:textId="77777777" w:rsidR="006F1FC9" w:rsidRPr="00EC28CA" w:rsidRDefault="006F1FC9" w:rsidP="006F1F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C28CA">
        <w:rPr>
          <w:rStyle w:val="normaltextrun"/>
          <w:sz w:val="19"/>
          <w:szCs w:val="19"/>
          <w:vertAlign w:val="superscript"/>
          <w:lang w:val="en-US"/>
        </w:rPr>
        <w:t>3</w:t>
      </w:r>
      <w:r w:rsidRPr="00EC28CA">
        <w:rPr>
          <w:rStyle w:val="normaltextrun"/>
          <w:lang w:val="en-US"/>
        </w:rPr>
        <w:t> Department of Biology, University of Alabama, Tuscaloosa AL, USA</w:t>
      </w:r>
    </w:p>
    <w:p w14:paraId="6546AB31" w14:textId="77777777" w:rsidR="006F1FC9" w:rsidRPr="00EC28CA" w:rsidRDefault="006F1FC9" w:rsidP="006F1FC9">
      <w:pPr>
        <w:pStyle w:val="paragraph"/>
        <w:spacing w:before="0" w:beforeAutospacing="0" w:after="0" w:afterAutospacing="0"/>
        <w:textAlignment w:val="baseline"/>
        <w:rPr>
          <w:rStyle w:val="normaltextrun"/>
          <w:sz w:val="19"/>
          <w:szCs w:val="19"/>
          <w:vertAlign w:val="superscript"/>
          <w:lang w:val="en-US"/>
        </w:rPr>
      </w:pPr>
    </w:p>
    <w:p w14:paraId="63226F35" w14:textId="77777777" w:rsidR="006F1FC9" w:rsidRPr="00EC28CA" w:rsidRDefault="006F1FC9" w:rsidP="006F1F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C28CA">
        <w:rPr>
          <w:rStyle w:val="normaltextrun"/>
          <w:sz w:val="19"/>
          <w:szCs w:val="19"/>
          <w:vertAlign w:val="superscript"/>
          <w:lang w:val="en-US"/>
        </w:rPr>
        <w:t>4</w:t>
      </w:r>
      <w:r w:rsidRPr="00EC28CA">
        <w:rPr>
          <w:rStyle w:val="normaltextrun"/>
          <w:lang w:val="en-US"/>
        </w:rPr>
        <w:t> Department of Integrative Biology, Oklahoma State University, Stillwater OK, USA</w:t>
      </w:r>
      <w:r w:rsidRPr="00EC28CA">
        <w:rPr>
          <w:rStyle w:val="eop"/>
        </w:rPr>
        <w:t> </w:t>
      </w:r>
    </w:p>
    <w:p w14:paraId="3B11407C" w14:textId="77777777" w:rsidR="006F1FC9" w:rsidRPr="00EC28CA" w:rsidRDefault="006F1FC9" w:rsidP="006F1FC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9"/>
          <w:szCs w:val="19"/>
          <w:vertAlign w:val="superscript"/>
          <w:lang w:val="en-US"/>
        </w:rPr>
      </w:pPr>
    </w:p>
    <w:p w14:paraId="720177E0" w14:textId="77777777" w:rsidR="006F1FC9" w:rsidRPr="006F1FC9" w:rsidRDefault="006F1FC9" w:rsidP="006F1FC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F1FC9">
        <w:rPr>
          <w:rStyle w:val="normaltextrun"/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6F1FC9">
        <w:rPr>
          <w:rStyle w:val="normaltextrun"/>
          <w:rFonts w:ascii="Times New Roman" w:hAnsi="Times New Roman" w:cs="Times New Roman"/>
          <w:sz w:val="24"/>
          <w:szCs w:val="24"/>
        </w:rPr>
        <w:t>Contact information of corresponding author, mail to: </w:t>
      </w:r>
      <w:hyperlink r:id="rId9" w:tgtFrame="_blank" w:history="1">
        <w:r w:rsidRPr="006F1FC9">
          <w:rPr>
            <w:rStyle w:val="normaltextrun"/>
            <w:rFonts w:ascii="Times New Roman" w:hAnsi="Times New Roman" w:cs="Times New Roman"/>
            <w:color w:val="0000FF"/>
            <w:sz w:val="24"/>
            <w:szCs w:val="24"/>
            <w:u w:val="single"/>
          </w:rPr>
          <w:t>prater.clay@gmail.com</w:t>
        </w:r>
      </w:hyperlink>
      <w:r w:rsidRPr="006F1FC9">
        <w:rPr>
          <w:rStyle w:val="normaltextrun"/>
          <w:rFonts w:ascii="Times New Roman" w:hAnsi="Times New Roman" w:cs="Times New Roman"/>
          <w:sz w:val="24"/>
          <w:szCs w:val="24"/>
        </w:rPr>
        <w:t> </w:t>
      </w:r>
      <w:r w:rsidRPr="006F1FC9">
        <w:rPr>
          <w:rStyle w:val="eop"/>
          <w:rFonts w:ascii="Times New Roman" w:hAnsi="Times New Roman" w:cs="Times New Roman"/>
          <w:sz w:val="24"/>
          <w:szCs w:val="24"/>
        </w:rPr>
        <w:t> </w:t>
      </w:r>
      <w:r w:rsidRPr="006F1F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8690A6" w14:textId="77777777" w:rsidR="006F1FC9" w:rsidRDefault="006F1FC9" w:rsidP="006F1FC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A31956A" w14:textId="77777777" w:rsidR="006F1FC9" w:rsidRDefault="006F1FC9" w:rsidP="006F1FC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EFCD588" w14:textId="77777777" w:rsidR="006F1FC9" w:rsidRDefault="006F1FC9" w:rsidP="006F1FC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C3C1F3D" w14:textId="77777777" w:rsidR="006F1FC9" w:rsidRDefault="006F1FC9" w:rsidP="006F1FC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9B216AD" w14:textId="77777777" w:rsidR="006F1FC9" w:rsidRDefault="006F1FC9" w:rsidP="006F1FC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7AD2866" w14:textId="77777777" w:rsidR="006F1FC9" w:rsidRDefault="006F1FC9" w:rsidP="006F1FC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6464C7F" w14:textId="77777777" w:rsidR="006F1FC9" w:rsidRDefault="006F1FC9" w:rsidP="006F1FC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49AFE1C" w14:textId="77777777" w:rsidR="006F1FC9" w:rsidRDefault="006F1FC9" w:rsidP="006F1FC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588CB66" w14:textId="77777777" w:rsidR="006F1FC9" w:rsidRDefault="006F1FC9" w:rsidP="006F1FC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DD952EE" w14:textId="77777777" w:rsidR="006F1FC9" w:rsidRDefault="006F1FC9" w:rsidP="006F1FC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AEA5DCE" w14:textId="33D9BC71" w:rsidR="00661689" w:rsidRDefault="00661689" w:rsidP="006F1FC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972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1. </w:t>
      </w:r>
      <w:r w:rsidRPr="00197258">
        <w:rPr>
          <w:rFonts w:ascii="Times New Roman" w:hAnsi="Times New Roman" w:cs="Times New Roman"/>
          <w:bCs/>
          <w:sz w:val="24"/>
          <w:szCs w:val="24"/>
        </w:rPr>
        <w:t xml:space="preserve">Material Flows </w:t>
      </w:r>
      <w:r w:rsidRPr="00E7244E">
        <w:rPr>
          <w:rFonts w:ascii="Times New Roman" w:hAnsi="Times New Roman" w:cs="Times New Roman"/>
          <w:bCs/>
          <w:sz w:val="24"/>
          <w:szCs w:val="24"/>
        </w:rPr>
        <w:t>(g ash-free dry mass m</w:t>
      </w:r>
      <w:r w:rsidRPr="00E7244E">
        <w:rPr>
          <w:rFonts w:ascii="Times New Roman" w:hAnsi="Times New Roman" w:cs="Times New Roman"/>
          <w:bCs/>
          <w:sz w:val="24"/>
          <w:szCs w:val="24"/>
          <w:vertAlign w:val="superscript"/>
        </w:rPr>
        <w:t>-2</w:t>
      </w:r>
      <w:r w:rsidR="00197258" w:rsidRPr="00E7244E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197258" w:rsidRPr="00E7244E">
        <w:rPr>
          <w:rFonts w:ascii="Times New Roman" w:hAnsi="Times New Roman" w:cs="Times New Roman"/>
          <w:bCs/>
          <w:sz w:val="24"/>
          <w:szCs w:val="24"/>
        </w:rPr>
        <w:t>y</w:t>
      </w:r>
      <w:r w:rsidR="00197258" w:rsidRPr="00E7244E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197258" w:rsidRPr="00E7244E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197258" w:rsidRPr="00197258">
        <w:rPr>
          <w:rFonts w:ascii="Times New Roman" w:hAnsi="Times New Roman" w:cs="Times New Roman"/>
          <w:bCs/>
          <w:sz w:val="24"/>
          <w:szCs w:val="24"/>
        </w:rPr>
        <w:t xml:space="preserve">to primary consumer taxa </w:t>
      </w:r>
      <w:r w:rsidR="00197258">
        <w:rPr>
          <w:rFonts w:ascii="Times New Roman" w:hAnsi="Times New Roman" w:cs="Times New Roman"/>
          <w:bCs/>
          <w:sz w:val="24"/>
          <w:szCs w:val="24"/>
        </w:rPr>
        <w:t xml:space="preserve">reproduced from: </w:t>
      </w:r>
      <w:r w:rsidR="00AC41A6" w:rsidRPr="00E61D88">
        <w:rPr>
          <w:rFonts w:ascii="Times New Roman" w:hAnsi="Times New Roman" w:cs="Times New Roman"/>
          <w:noProof/>
          <w:sz w:val="24"/>
          <w:szCs w:val="24"/>
        </w:rPr>
        <w:t>Demi LM, Benstead JP, Rosemond AD, Maerz JC (</w:t>
      </w:r>
      <w:r w:rsidR="006F1FC9">
        <w:rPr>
          <w:rFonts w:ascii="Times New Roman" w:hAnsi="Times New Roman" w:cs="Times New Roman"/>
          <w:noProof/>
          <w:sz w:val="24"/>
          <w:szCs w:val="24"/>
        </w:rPr>
        <w:t>2020</w:t>
      </w:r>
      <w:r w:rsidR="00AC41A6" w:rsidRPr="00E61D88">
        <w:rPr>
          <w:rFonts w:ascii="Times New Roman" w:hAnsi="Times New Roman" w:cs="Times New Roman"/>
          <w:noProof/>
          <w:sz w:val="24"/>
          <w:szCs w:val="24"/>
        </w:rPr>
        <w:t>) Experimental N and P additions relieve stoichiometric constraints on organic-matter flows through five stream food webs. J Anim Ecol</w:t>
      </w:r>
      <w:r w:rsidR="006F1FC9">
        <w:rPr>
          <w:rFonts w:ascii="Times New Roman" w:hAnsi="Times New Roman" w:cs="Times New Roman"/>
          <w:noProof/>
          <w:sz w:val="24"/>
          <w:szCs w:val="24"/>
        </w:rPr>
        <w:t xml:space="preserve"> 89:1468</w:t>
      </w:r>
      <w:r w:rsidR="006F1FC9" w:rsidRPr="00EC28CA">
        <w:rPr>
          <w:rFonts w:ascii="Times New Roman" w:hAnsi="Times New Roman" w:cs="Times New Roman"/>
          <w:noProof/>
          <w:sz w:val="24"/>
          <w:szCs w:val="24"/>
        </w:rPr>
        <w:t>–</w:t>
      </w:r>
      <w:r w:rsidR="006F1FC9">
        <w:rPr>
          <w:rFonts w:ascii="Times New Roman" w:hAnsi="Times New Roman" w:cs="Times New Roman"/>
          <w:noProof/>
          <w:sz w:val="24"/>
          <w:szCs w:val="24"/>
        </w:rPr>
        <w:t>1481</w:t>
      </w:r>
      <w:r w:rsidR="00AC41A6" w:rsidRPr="00E61D88">
        <w:rPr>
          <w:rFonts w:ascii="Times New Roman" w:hAnsi="Times New Roman" w:cs="Times New Roman"/>
          <w:noProof/>
          <w:sz w:val="24"/>
          <w:szCs w:val="24"/>
        </w:rPr>
        <w:t>. doi: 10.1111/1365-2656.13197</w:t>
      </w:r>
    </w:p>
    <w:tbl>
      <w:tblPr>
        <w:tblW w:w="10397" w:type="dxa"/>
        <w:tblInd w:w="-515" w:type="dxa"/>
        <w:tblLook w:val="04A0" w:firstRow="1" w:lastRow="0" w:firstColumn="1" w:lastColumn="0" w:noHBand="0" w:noVBand="1"/>
      </w:tblPr>
      <w:tblGrid>
        <w:gridCol w:w="1989"/>
        <w:gridCol w:w="896"/>
        <w:gridCol w:w="1399"/>
        <w:gridCol w:w="1350"/>
        <w:gridCol w:w="1080"/>
        <w:gridCol w:w="1080"/>
        <w:gridCol w:w="810"/>
        <w:gridCol w:w="990"/>
        <w:gridCol w:w="803"/>
      </w:tblGrid>
      <w:tr w:rsidR="00661689" w:rsidRPr="00661689" w14:paraId="37B92DBA" w14:textId="77777777" w:rsidTr="004E134E">
        <w:trPr>
          <w:trHeight w:val="310"/>
        </w:trPr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9D83D" w14:textId="77777777" w:rsidR="00661689" w:rsidRPr="00661689" w:rsidRDefault="00661689" w:rsidP="006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Genus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989ED" w14:textId="77777777" w:rsidR="00661689" w:rsidRPr="00661689" w:rsidRDefault="00661689" w:rsidP="006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Stream N:P 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D4D58" w14:textId="77777777" w:rsidR="00661689" w:rsidRPr="00661689" w:rsidRDefault="00661689" w:rsidP="006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Enrichment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D19BC" w14:textId="77777777" w:rsidR="00661689" w:rsidRPr="00661689" w:rsidRDefault="00661689" w:rsidP="006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Amorphous Detritus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1294C" w14:textId="77777777" w:rsidR="00661689" w:rsidRPr="00661689" w:rsidRDefault="00661689" w:rsidP="006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Animals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A26F1" w14:textId="77777777" w:rsidR="00661689" w:rsidRPr="00661689" w:rsidRDefault="00661689" w:rsidP="006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Diatoms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4DFB1" w14:textId="77777777" w:rsidR="00661689" w:rsidRPr="00661689" w:rsidRDefault="00661689" w:rsidP="006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Fungi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6519B" w14:textId="77777777" w:rsidR="00661689" w:rsidRPr="00661689" w:rsidRDefault="00661689" w:rsidP="006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Leaf Detritus 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58C04" w14:textId="77777777" w:rsidR="00661689" w:rsidRPr="00661689" w:rsidRDefault="00661689" w:rsidP="006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Wood</w:t>
            </w:r>
          </w:p>
        </w:tc>
      </w:tr>
      <w:tr w:rsidR="00661689" w:rsidRPr="00661689" w14:paraId="35953ED9" w14:textId="77777777" w:rsidTr="00E00523">
        <w:trPr>
          <w:trHeight w:val="310"/>
        </w:trPr>
        <w:tc>
          <w:tcPr>
            <w:tcW w:w="19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FBDB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Maccaffertium sp.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DEBF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053A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529F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5B5A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7160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3601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C52A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BF50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661689" w:rsidRPr="00661689" w14:paraId="1A3341FE" w14:textId="77777777" w:rsidTr="00E00523">
        <w:trPr>
          <w:trHeight w:val="31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DC0E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DB08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827E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0BA3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73B0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EA00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CB48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555B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79D9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661689" w:rsidRPr="00661689" w14:paraId="23FBF58B" w14:textId="77777777" w:rsidTr="00E00523">
        <w:trPr>
          <w:trHeight w:val="31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5DAD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9CB9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4E1B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4709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0D65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AF8A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FE6C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6568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04C0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661689" w:rsidRPr="00661689" w14:paraId="177CF48D" w14:textId="77777777" w:rsidTr="00E00523">
        <w:trPr>
          <w:trHeight w:val="31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AD64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8B48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F43E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B301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2E52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A421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637F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F35A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930B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</w:tr>
      <w:tr w:rsidR="00661689" w:rsidRPr="00661689" w14:paraId="52BDBD93" w14:textId="77777777" w:rsidTr="00E00523">
        <w:trPr>
          <w:trHeight w:val="31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79E6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3AA1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16AA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7258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53BD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5538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4433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1FEF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F1A2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661689" w:rsidRPr="00661689" w14:paraId="76EC40BC" w14:textId="77777777" w:rsidTr="00E00523">
        <w:trPr>
          <w:trHeight w:val="31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958E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4AAB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530B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AD6E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2609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EF47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3FA1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A5E2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90E4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661689" w:rsidRPr="00661689" w14:paraId="7A5F01AE" w14:textId="77777777" w:rsidTr="00E00523">
        <w:trPr>
          <w:trHeight w:val="31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6692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CA87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6E90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7C21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D474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5782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E952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D97D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5D10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661689" w:rsidRPr="00661689" w14:paraId="24FE3CD7" w14:textId="77777777" w:rsidTr="00E00523">
        <w:trPr>
          <w:trHeight w:val="31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6C5E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2B3D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9BE0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BC9C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9D83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998F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DD3D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4247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84D2" w14:textId="77777777" w:rsidR="00661689" w:rsidRPr="00661689" w:rsidRDefault="00661689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49A7" w:rsidRPr="00661689" w14:paraId="133005C9" w14:textId="77777777" w:rsidTr="00E00523">
        <w:trPr>
          <w:trHeight w:val="31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0623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Pycnopsyche spp.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4103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D0D3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2C75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5D71" w14:textId="736D301C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A932" w14:textId="0C9E2A51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A148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10E3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AF9E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3E49A7" w:rsidRPr="00661689" w14:paraId="45BC0A2E" w14:textId="77777777" w:rsidTr="00E00523">
        <w:trPr>
          <w:trHeight w:val="31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AB24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439F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DF70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99C4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B206" w14:textId="0947A1C4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3E0A" w14:textId="28C229B8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BF68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ADFC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4EAD" w14:textId="5F9CD4C4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3E49A7" w:rsidRPr="00661689" w14:paraId="0BFB3E83" w14:textId="77777777" w:rsidTr="00E00523">
        <w:trPr>
          <w:trHeight w:val="31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5D8D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D811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E8F4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BE3E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360D" w14:textId="029A735C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6F48" w14:textId="63D58EF3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FFD6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970C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8D30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</w:tr>
      <w:tr w:rsidR="003E49A7" w:rsidRPr="00661689" w14:paraId="5A04714C" w14:textId="77777777" w:rsidTr="00E00523">
        <w:trPr>
          <w:trHeight w:val="31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D36C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BA09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E95F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D640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2F17" w14:textId="42B1F119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5708" w14:textId="4D07063F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80EF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1F0E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0179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</w:tr>
      <w:tr w:rsidR="003E49A7" w:rsidRPr="00661689" w14:paraId="37653DF2" w14:textId="77777777" w:rsidTr="00E00523">
        <w:trPr>
          <w:trHeight w:val="31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5D07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CF60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7D33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F9DF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D2E0" w14:textId="72875F1C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C6BE" w14:textId="67D88A9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7264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3A7A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0D1E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</w:tr>
      <w:tr w:rsidR="003E49A7" w:rsidRPr="00661689" w14:paraId="129F5059" w14:textId="77777777" w:rsidTr="00E00523">
        <w:trPr>
          <w:trHeight w:val="31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451B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EEA2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7DD0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80E9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3725" w14:textId="3BB47B50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71BC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3DB2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AE02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3C20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3E49A7" w:rsidRPr="00661689" w14:paraId="19BD1CEF" w14:textId="77777777" w:rsidTr="00E00523">
        <w:trPr>
          <w:trHeight w:val="31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2D11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AAA2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F14E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F8C2" w14:textId="462B0D8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DF88" w14:textId="06E46773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0899" w14:textId="12980F98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A528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C59F" w14:textId="6D4DE50C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59A7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3E49A7" w:rsidRPr="00661689" w14:paraId="0E2E34FD" w14:textId="77777777" w:rsidTr="00E00523">
        <w:trPr>
          <w:trHeight w:val="31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B853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EC2C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43D6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2B5C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07E5" w14:textId="46FBB65D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9AC1" w14:textId="4A60E308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DD27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0D23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EE1A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  <w:tr w:rsidR="003E49A7" w:rsidRPr="00661689" w14:paraId="35D6C436" w14:textId="77777777" w:rsidTr="00E00523">
        <w:trPr>
          <w:trHeight w:val="31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83B6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A0A2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0D38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D0D2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D9F7" w14:textId="4B92B5D2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9739" w14:textId="506CFFC8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2BEA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916A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6E70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3E49A7" w:rsidRPr="00661689" w14:paraId="3185B4A2" w14:textId="77777777" w:rsidTr="00E00523">
        <w:trPr>
          <w:trHeight w:val="31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1979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DFDF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283A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3E72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5B2E" w14:textId="3CD5A56E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BD4A" w14:textId="34582A50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A7F5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4762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4B3A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3E49A7" w:rsidRPr="00661689" w14:paraId="16F3556A" w14:textId="77777777" w:rsidTr="00E00523">
        <w:trPr>
          <w:trHeight w:val="31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805D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Tallaperla spp.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67F9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7C6C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0137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8DD9" w14:textId="21186820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82D8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571B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A151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79AA" w14:textId="6B8098DE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49A7" w:rsidRPr="00661689" w14:paraId="4BC02A88" w14:textId="77777777" w:rsidTr="00E00523">
        <w:trPr>
          <w:trHeight w:val="31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7124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3D4E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C144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FEB4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37A6" w14:textId="25B29A0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C999" w14:textId="28CE859E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DACF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0427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148C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3E49A7" w:rsidRPr="00661689" w14:paraId="7ABFE130" w14:textId="77777777" w:rsidTr="00E00523">
        <w:trPr>
          <w:trHeight w:val="31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7DFF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6A45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893F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07DC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51D3" w14:textId="586D0DF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C964" w14:textId="1B86A9D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F4F2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A5CE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AB07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</w:tr>
      <w:tr w:rsidR="003E49A7" w:rsidRPr="00661689" w14:paraId="6079CE10" w14:textId="77777777" w:rsidTr="00E00523">
        <w:trPr>
          <w:trHeight w:val="31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F0BD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57B4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7474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3460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FD1F" w14:textId="0748E513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7B95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DD91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E6BB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72B8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</w:tr>
      <w:tr w:rsidR="003E49A7" w:rsidRPr="00661689" w14:paraId="10D41A51" w14:textId="77777777" w:rsidTr="00E00523">
        <w:trPr>
          <w:trHeight w:val="31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381E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BDDA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1DB4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3D23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2AC6" w14:textId="24AD6EB4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DD93" w14:textId="7ED6C319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1CC2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F579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093D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3E49A7" w:rsidRPr="00661689" w14:paraId="6161FB80" w14:textId="77777777" w:rsidTr="00E00523">
        <w:trPr>
          <w:trHeight w:val="31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4EE6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8D3E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6C80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3056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11CF" w14:textId="46A317C0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FF61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E32A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7B34" w14:textId="167D144B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5586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</w:tr>
      <w:tr w:rsidR="003E49A7" w:rsidRPr="00661689" w14:paraId="1A2956F2" w14:textId="77777777" w:rsidTr="00E00523">
        <w:trPr>
          <w:trHeight w:val="31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473A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3ADC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EC00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B349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D7F4" w14:textId="2B7760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7CB7" w14:textId="505865E4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407D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C43D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4747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3E49A7" w:rsidRPr="00661689" w14:paraId="736453CF" w14:textId="77777777" w:rsidTr="00E00523">
        <w:trPr>
          <w:trHeight w:val="31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47D3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2F2F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0D7F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7883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F5FB" w14:textId="61292C7E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8775" w14:textId="277DC1CC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754A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4CEF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3761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</w:tr>
      <w:tr w:rsidR="003E49A7" w:rsidRPr="00661689" w14:paraId="753337CF" w14:textId="77777777" w:rsidTr="00E00523">
        <w:trPr>
          <w:trHeight w:val="310"/>
        </w:trPr>
        <w:tc>
          <w:tcPr>
            <w:tcW w:w="19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28A7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83A2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3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A629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313C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A96F" w14:textId="2FA7036A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CA9B" w14:textId="40E8086B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A0DC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D7D7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0442" w14:textId="434D2DB8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49A7" w:rsidRPr="00661689" w14:paraId="65ABFEED" w14:textId="77777777" w:rsidTr="00E00523">
        <w:trPr>
          <w:trHeight w:val="310"/>
        </w:trPr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0E640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E0E5F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A4CA6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B32A2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2186B" w14:textId="29A5F338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F87C1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7CA83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0BD6F" w14:textId="77777777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02DDC" w14:textId="5EF74D80" w:rsidR="003E49A7" w:rsidRPr="00661689" w:rsidRDefault="003E49A7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</w:tbl>
    <w:p w14:paraId="38A896A2" w14:textId="77777777" w:rsidR="00547B0F" w:rsidRDefault="00547B0F" w:rsidP="0079183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13EB73A" w14:textId="734123AF" w:rsidR="0079183F" w:rsidRDefault="0079183F" w:rsidP="007918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0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 w:rsidR="00547B0F">
        <w:rPr>
          <w:rFonts w:ascii="Times New Roman" w:hAnsi="Times New Roman" w:cs="Times New Roman"/>
          <w:b/>
          <w:sz w:val="24"/>
          <w:szCs w:val="24"/>
        </w:rPr>
        <w:t>2</w:t>
      </w:r>
      <w:r w:rsidRPr="00E860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3F5D">
        <w:rPr>
          <w:rFonts w:ascii="Times New Roman" w:hAnsi="Times New Roman" w:cs="Times New Roman"/>
          <w:bCs/>
          <w:sz w:val="24"/>
          <w:szCs w:val="24"/>
        </w:rPr>
        <w:t>Elemental l</w:t>
      </w:r>
      <w:r w:rsidRPr="00596C56">
        <w:rPr>
          <w:rFonts w:ascii="Times New Roman" w:hAnsi="Times New Roman" w:cs="Times New Roman"/>
          <w:sz w:val="24"/>
          <w:szCs w:val="24"/>
        </w:rPr>
        <w:t>imits of detection (LOD)</w:t>
      </w:r>
      <w:r w:rsidR="00F83F5D">
        <w:rPr>
          <w:rFonts w:ascii="Times New Roman" w:hAnsi="Times New Roman" w:cs="Times New Roman"/>
          <w:sz w:val="24"/>
          <w:szCs w:val="24"/>
        </w:rPr>
        <w:t>.</w:t>
      </w:r>
      <w:r w:rsidRPr="00596C56">
        <w:rPr>
          <w:rFonts w:ascii="Times New Roman" w:hAnsi="Times New Roman" w:cs="Times New Roman"/>
          <w:sz w:val="24"/>
          <w:szCs w:val="24"/>
        </w:rPr>
        <w:t xml:space="preserve"> R</w:t>
      </w:r>
      <w:r w:rsidRPr="00596C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96C56">
        <w:rPr>
          <w:rFonts w:ascii="Times New Roman" w:hAnsi="Times New Roman" w:cs="Times New Roman"/>
          <w:sz w:val="24"/>
          <w:szCs w:val="24"/>
        </w:rPr>
        <w:t>-values ranged from 0.9997-1 across all elements</w:t>
      </w:r>
      <w:r w:rsidR="004E134E">
        <w:rPr>
          <w:rFonts w:ascii="Times New Roman" w:hAnsi="Times New Roman" w:cs="Times New Roman"/>
          <w:sz w:val="24"/>
          <w:szCs w:val="24"/>
        </w:rPr>
        <w:t>,</w:t>
      </w:r>
      <w:r w:rsidRPr="00596C56">
        <w:rPr>
          <w:rFonts w:ascii="Times New Roman" w:hAnsi="Times New Roman" w:cs="Times New Roman"/>
          <w:sz w:val="24"/>
          <w:szCs w:val="24"/>
        </w:rPr>
        <w:t xml:space="preserve"> and % recovery of internal </w:t>
      </w:r>
      <w:r w:rsidR="004E134E">
        <w:rPr>
          <w:rFonts w:ascii="Times New Roman" w:hAnsi="Times New Roman" w:cs="Times New Roman"/>
          <w:sz w:val="24"/>
          <w:szCs w:val="24"/>
        </w:rPr>
        <w:t>yttrium</w:t>
      </w:r>
      <w:r w:rsidRPr="00596C56">
        <w:rPr>
          <w:rFonts w:ascii="Times New Roman" w:hAnsi="Times New Roman" w:cs="Times New Roman"/>
          <w:sz w:val="24"/>
          <w:szCs w:val="24"/>
        </w:rPr>
        <w:t xml:space="preserve"> standard ranged from 92-100%. All sample measurements were </w:t>
      </w:r>
      <w:r w:rsidR="004E134E">
        <w:rPr>
          <w:rFonts w:ascii="Times New Roman" w:hAnsi="Times New Roman" w:cs="Times New Roman"/>
          <w:sz w:val="24"/>
          <w:szCs w:val="24"/>
        </w:rPr>
        <w:t xml:space="preserve">automatically corrected </w:t>
      </w:r>
      <w:r w:rsidRPr="00596C56">
        <w:rPr>
          <w:rFonts w:ascii="Times New Roman" w:hAnsi="Times New Roman" w:cs="Times New Roman"/>
          <w:sz w:val="24"/>
          <w:szCs w:val="24"/>
        </w:rPr>
        <w:t>for changes in % recovery over the course of the run</w:t>
      </w:r>
    </w:p>
    <w:p w14:paraId="4E08016A" w14:textId="77777777" w:rsidR="0079183F" w:rsidRPr="00EC62B5" w:rsidRDefault="0079183F" w:rsidP="007918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3771"/>
        <w:tblW w:w="2700" w:type="dxa"/>
        <w:tblLook w:val="04A0" w:firstRow="1" w:lastRow="0" w:firstColumn="1" w:lastColumn="0" w:noHBand="0" w:noVBand="1"/>
      </w:tblPr>
      <w:tblGrid>
        <w:gridCol w:w="1110"/>
        <w:gridCol w:w="1590"/>
      </w:tblGrid>
      <w:tr w:rsidR="0079183F" w:rsidRPr="00E860FE" w14:paraId="261B94FD" w14:textId="77777777" w:rsidTr="00661689">
        <w:trPr>
          <w:trHeight w:val="370"/>
        </w:trPr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B1514" w14:textId="77777777" w:rsidR="0079183F" w:rsidRPr="00E860FE" w:rsidRDefault="0079183F" w:rsidP="006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Element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46461" w14:textId="77777777" w:rsidR="0079183F" w:rsidRPr="00E860FE" w:rsidRDefault="0079183F" w:rsidP="006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LOD (μg L</w:t>
            </w:r>
            <w:r w:rsidRPr="00E8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E8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183F" w:rsidRPr="00E860FE" w14:paraId="3498E2BC" w14:textId="77777777" w:rsidTr="00661689">
        <w:trPr>
          <w:trHeight w:val="310"/>
        </w:trPr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F66C9" w14:textId="77777777" w:rsidR="0079183F" w:rsidRPr="00E860FE" w:rsidRDefault="0079183F" w:rsidP="006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6DB54" w14:textId="6CFC701F" w:rsidR="0079183F" w:rsidRPr="001961D6" w:rsidRDefault="0079183F" w:rsidP="006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183F" w:rsidRPr="00E860FE" w14:paraId="34CAA2EC" w14:textId="77777777" w:rsidTr="00661689">
        <w:trPr>
          <w:trHeight w:val="31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F0921" w14:textId="77777777" w:rsidR="0079183F" w:rsidRPr="00E860FE" w:rsidRDefault="0079183F" w:rsidP="006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E3817" w14:textId="77777777" w:rsidR="0079183F" w:rsidRPr="001961D6" w:rsidRDefault="0079183F" w:rsidP="006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79183F" w:rsidRPr="00E860FE" w14:paraId="238E2D22" w14:textId="77777777" w:rsidTr="00661689">
        <w:trPr>
          <w:trHeight w:val="31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90608" w14:textId="77777777" w:rsidR="0079183F" w:rsidRPr="00E860FE" w:rsidRDefault="0079183F" w:rsidP="006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959FE" w14:textId="0E543A4A" w:rsidR="0079183F" w:rsidRPr="001961D6" w:rsidRDefault="0079183F" w:rsidP="006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183F" w:rsidRPr="00E860FE" w14:paraId="729EEE80" w14:textId="77777777" w:rsidTr="00661689">
        <w:trPr>
          <w:trHeight w:val="31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62C3F" w14:textId="77777777" w:rsidR="0079183F" w:rsidRPr="00E860FE" w:rsidRDefault="0079183F" w:rsidP="006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C3DE3" w14:textId="77777777" w:rsidR="0079183F" w:rsidRPr="001961D6" w:rsidRDefault="0079183F" w:rsidP="006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79183F" w:rsidRPr="00E860FE" w14:paraId="3A9E7CE1" w14:textId="77777777" w:rsidTr="00661689">
        <w:trPr>
          <w:trHeight w:val="31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097D0" w14:textId="77777777" w:rsidR="0079183F" w:rsidRPr="00E860FE" w:rsidRDefault="0079183F" w:rsidP="006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CF562" w14:textId="77777777" w:rsidR="0079183F" w:rsidRPr="001961D6" w:rsidRDefault="0079183F" w:rsidP="006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79183F" w:rsidRPr="00E860FE" w14:paraId="699C831B" w14:textId="77777777" w:rsidTr="00661689">
        <w:trPr>
          <w:trHeight w:val="31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99A21" w14:textId="77777777" w:rsidR="0079183F" w:rsidRPr="00E860FE" w:rsidRDefault="0079183F" w:rsidP="006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ACE62" w14:textId="66BC2B51" w:rsidR="0079183F" w:rsidRPr="001961D6" w:rsidRDefault="00E1614A" w:rsidP="006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79183F" w:rsidRPr="00E860FE" w14:paraId="1719EB38" w14:textId="77777777" w:rsidTr="00661689">
        <w:trPr>
          <w:trHeight w:val="31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E863D" w14:textId="77777777" w:rsidR="0079183F" w:rsidRPr="00E860FE" w:rsidRDefault="0079183F" w:rsidP="006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0AD6D" w14:textId="56DBE458" w:rsidR="0079183F" w:rsidRPr="001961D6" w:rsidRDefault="0079183F" w:rsidP="006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183F" w:rsidRPr="00E860FE" w14:paraId="4E54B6B5" w14:textId="77777777" w:rsidTr="00661689">
        <w:trPr>
          <w:trHeight w:val="31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174CC" w14:textId="77777777" w:rsidR="0079183F" w:rsidRPr="00E860FE" w:rsidRDefault="0079183F" w:rsidP="006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A8B74" w14:textId="6DAA82FD" w:rsidR="0079183F" w:rsidRPr="001961D6" w:rsidRDefault="0079183F" w:rsidP="006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83F" w:rsidRPr="00E860FE" w14:paraId="34CC1EF2" w14:textId="77777777" w:rsidTr="00661689">
        <w:trPr>
          <w:trHeight w:val="31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2283B" w14:textId="77777777" w:rsidR="0079183F" w:rsidRPr="00E860FE" w:rsidRDefault="0079183F" w:rsidP="006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E172E" w14:textId="77777777" w:rsidR="0079183F" w:rsidRPr="001961D6" w:rsidRDefault="0079183F" w:rsidP="006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79183F" w:rsidRPr="00E860FE" w14:paraId="6ACD71F3" w14:textId="77777777" w:rsidTr="00661689">
        <w:trPr>
          <w:trHeight w:val="31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BFE96" w14:textId="77777777" w:rsidR="0079183F" w:rsidRPr="00E860FE" w:rsidRDefault="0079183F" w:rsidP="006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27DB5" w14:textId="77777777" w:rsidR="0079183F" w:rsidRPr="001961D6" w:rsidRDefault="0079183F" w:rsidP="006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79183F" w:rsidRPr="00E860FE" w14:paraId="689E0201" w14:textId="77777777" w:rsidTr="00661689">
        <w:trPr>
          <w:trHeight w:val="31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97860" w14:textId="77777777" w:rsidR="0079183F" w:rsidRPr="00E860FE" w:rsidRDefault="0079183F" w:rsidP="006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BF9E1" w14:textId="77777777" w:rsidR="0079183F" w:rsidRPr="001961D6" w:rsidRDefault="0079183F" w:rsidP="006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79183F" w:rsidRPr="00E860FE" w14:paraId="6933E01F" w14:textId="77777777" w:rsidTr="00661689">
        <w:trPr>
          <w:trHeight w:val="31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FD554" w14:textId="77777777" w:rsidR="0079183F" w:rsidRPr="00E860FE" w:rsidRDefault="0079183F" w:rsidP="006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7BFC0" w14:textId="77777777" w:rsidR="0079183F" w:rsidRPr="001961D6" w:rsidRDefault="0079183F" w:rsidP="006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79183F" w:rsidRPr="00E860FE" w14:paraId="4F8C2347" w14:textId="77777777" w:rsidTr="00661689">
        <w:trPr>
          <w:trHeight w:val="31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9E805" w14:textId="77777777" w:rsidR="0079183F" w:rsidRPr="00E860FE" w:rsidRDefault="0079183F" w:rsidP="006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6CABB" w14:textId="06A79864" w:rsidR="0079183F" w:rsidRPr="001961D6" w:rsidRDefault="0079183F" w:rsidP="006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9183F" w:rsidRPr="00E860FE" w14:paraId="372BB1F1" w14:textId="77777777" w:rsidTr="00661689">
        <w:trPr>
          <w:trHeight w:val="31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22F3D" w14:textId="77777777" w:rsidR="0079183F" w:rsidRPr="00E860FE" w:rsidRDefault="0079183F" w:rsidP="006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B05D5" w14:textId="6DE5B14A" w:rsidR="0079183F" w:rsidRPr="001961D6" w:rsidRDefault="0079183F" w:rsidP="006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9183F" w:rsidRPr="00E860FE" w14:paraId="1A1D3F9C" w14:textId="77777777" w:rsidTr="00661689">
        <w:trPr>
          <w:trHeight w:val="31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6443E" w14:textId="77777777" w:rsidR="0079183F" w:rsidRPr="00E860FE" w:rsidRDefault="0079183F" w:rsidP="006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4C242" w14:textId="6F6272A4" w:rsidR="0079183F" w:rsidRPr="001961D6" w:rsidRDefault="0079183F" w:rsidP="006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83F" w:rsidRPr="00E860FE" w14:paraId="509E2FD8" w14:textId="77777777" w:rsidTr="00661689">
        <w:trPr>
          <w:trHeight w:val="310"/>
        </w:trPr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1E1125" w14:textId="77777777" w:rsidR="0079183F" w:rsidRPr="00E860FE" w:rsidRDefault="0079183F" w:rsidP="006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84B199" w14:textId="77777777" w:rsidR="0079183F" w:rsidRPr="001961D6" w:rsidRDefault="0079183F" w:rsidP="006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79183F" w:rsidRPr="00E860FE" w14:paraId="739D15CF" w14:textId="77777777" w:rsidTr="00661689">
        <w:trPr>
          <w:trHeight w:val="310"/>
        </w:trPr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9E55A5" w14:textId="77777777" w:rsidR="0079183F" w:rsidRPr="00E860FE" w:rsidRDefault="0079183F" w:rsidP="006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489586" w14:textId="77777777" w:rsidR="0079183F" w:rsidRPr="001961D6" w:rsidRDefault="0079183F" w:rsidP="006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</w:tbl>
    <w:p w14:paraId="6C5AA81F" w14:textId="77777777" w:rsidR="0079183F" w:rsidRPr="00E860FE" w:rsidRDefault="0079183F" w:rsidP="007918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CF0AC43" w14:textId="77777777" w:rsidR="0079183F" w:rsidRPr="00E860FE" w:rsidRDefault="0079183F" w:rsidP="007918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80D820B" w14:textId="77777777" w:rsidR="0079183F" w:rsidRPr="00E860FE" w:rsidRDefault="0079183F" w:rsidP="007918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942DC00" w14:textId="77777777" w:rsidR="0079183F" w:rsidRPr="00E860FE" w:rsidRDefault="0079183F" w:rsidP="0079183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4FEDD71" w14:textId="77777777" w:rsidR="0079183F" w:rsidRPr="00E860FE" w:rsidRDefault="0079183F" w:rsidP="0079183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082120B" w14:textId="77777777" w:rsidR="0079183F" w:rsidRPr="00E860FE" w:rsidRDefault="0079183F" w:rsidP="0079183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8FAE93E" w14:textId="77777777" w:rsidR="0079183F" w:rsidRPr="00E860FE" w:rsidRDefault="0079183F" w:rsidP="0079183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CD2C0AB" w14:textId="77777777" w:rsidR="0079183F" w:rsidRPr="00E860FE" w:rsidRDefault="0079183F" w:rsidP="0079183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C3660F5" w14:textId="77777777" w:rsidR="0079183F" w:rsidRPr="00E860FE" w:rsidRDefault="0079183F" w:rsidP="0079183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D3290C2" w14:textId="77777777" w:rsidR="0079183F" w:rsidRPr="00E860FE" w:rsidRDefault="0079183F" w:rsidP="0079183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7E86920" w14:textId="77777777" w:rsidR="0079183F" w:rsidRPr="00E860FE" w:rsidRDefault="0079183F" w:rsidP="0079183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A15B3D6" w14:textId="77777777" w:rsidR="0079183F" w:rsidRPr="00E860FE" w:rsidRDefault="0079183F" w:rsidP="0079183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DA0EFF6" w14:textId="77777777" w:rsidR="0079183F" w:rsidRPr="00E860FE" w:rsidRDefault="0079183F" w:rsidP="0079183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2227453" w14:textId="0516002E" w:rsidR="0079183F" w:rsidRDefault="0079183F" w:rsidP="0079183F"/>
    <w:tbl>
      <w:tblPr>
        <w:tblpPr w:leftFromText="180" w:rightFromText="180" w:vertAnchor="text" w:horzAnchor="margin" w:tblpXSpec="center" w:tblpY="2861"/>
        <w:tblW w:w="10894" w:type="dxa"/>
        <w:tblLook w:val="04A0" w:firstRow="1" w:lastRow="0" w:firstColumn="1" w:lastColumn="0" w:noHBand="0" w:noVBand="1"/>
      </w:tblPr>
      <w:tblGrid>
        <w:gridCol w:w="1640"/>
        <w:gridCol w:w="1334"/>
        <w:gridCol w:w="1203"/>
        <w:gridCol w:w="2419"/>
        <w:gridCol w:w="2408"/>
        <w:gridCol w:w="1890"/>
      </w:tblGrid>
      <w:tr w:rsidR="002532A1" w:rsidRPr="006007DB" w14:paraId="67226E45" w14:textId="77777777" w:rsidTr="004957CA">
        <w:trPr>
          <w:trHeight w:val="310"/>
        </w:trPr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6F9A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Genus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3553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CBOM NP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647A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866A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Consumer Production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9881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Consumer Production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5A6B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Production</w:t>
            </w:r>
          </w:p>
        </w:tc>
      </w:tr>
      <w:tr w:rsidR="002532A1" w:rsidRPr="006007DB" w14:paraId="1243E4BB" w14:textId="77777777" w:rsidTr="004957CA">
        <w:trPr>
          <w:trHeight w:val="310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D3E22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57BDC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(mol)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D9B22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55CFC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(mg AFDM m</w:t>
            </w:r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-2</w:t>
            </w:r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yr</w:t>
            </w:r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D367D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lnRR</w:t>
            </w:r>
            <w:proofErr w:type="spellEnd"/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05EDB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lnRR</w:t>
            </w:r>
            <w:proofErr w:type="spellEnd"/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532A1" w:rsidRPr="006007DB" w14:paraId="7102BAF5" w14:textId="77777777" w:rsidTr="00E00523">
        <w:trPr>
          <w:trHeight w:val="31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A66F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007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Maccaffertium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FDBA0" w14:textId="77777777" w:rsidR="002532A1" w:rsidRPr="003B35C1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940CC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AA5F" w14:textId="77777777" w:rsidR="002532A1" w:rsidRPr="00974124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FDAA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4609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</w:tr>
      <w:tr w:rsidR="002532A1" w:rsidRPr="006007DB" w14:paraId="69655614" w14:textId="77777777" w:rsidTr="00E00523">
        <w:trPr>
          <w:trHeight w:val="31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343B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6C36" w14:textId="77777777" w:rsidR="002532A1" w:rsidRPr="003B35C1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36F9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</w:t>
            </w:r>
            <w:proofErr w:type="spellEnd"/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C2C1" w14:textId="77777777" w:rsidR="002532A1" w:rsidRPr="00974124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4026DB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50A3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2A1" w:rsidRPr="006007DB" w14:paraId="3A51DB8E" w14:textId="77777777" w:rsidTr="00E00523">
        <w:trPr>
          <w:trHeight w:val="31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2770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DC4B" w14:textId="77777777" w:rsidR="002532A1" w:rsidRPr="003B35C1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4CC3D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1354" w14:textId="77777777" w:rsidR="002532A1" w:rsidRPr="00974124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E6F2E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269A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2A1" w:rsidRPr="006007DB" w14:paraId="27F145F7" w14:textId="77777777" w:rsidTr="00E00523">
        <w:trPr>
          <w:trHeight w:val="31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A8EE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A434" w14:textId="77777777" w:rsidR="002532A1" w:rsidRPr="003B35C1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12E89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</w:t>
            </w:r>
            <w:proofErr w:type="spellEnd"/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4131" w14:textId="77777777" w:rsidR="002532A1" w:rsidRPr="00974124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8E5B7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936B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2A1" w:rsidRPr="006007DB" w14:paraId="750B748C" w14:textId="77777777" w:rsidTr="00E00523">
        <w:trPr>
          <w:trHeight w:val="31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E341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1C3D" w14:textId="77777777" w:rsidR="002532A1" w:rsidRPr="003B35C1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3217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285B5" w14:textId="77777777" w:rsidR="002532A1" w:rsidRPr="00974124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03311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E37F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2A1" w:rsidRPr="006007DB" w14:paraId="255736AE" w14:textId="77777777" w:rsidTr="00E00523">
        <w:trPr>
          <w:trHeight w:val="31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10F9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12DF" w14:textId="77777777" w:rsidR="002532A1" w:rsidRPr="003B35C1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3DCDD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</w:t>
            </w:r>
            <w:proofErr w:type="spellEnd"/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CDAAF" w14:textId="77777777" w:rsidR="002532A1" w:rsidRPr="00974124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0E4198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2BC8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2A1" w:rsidRPr="006007DB" w14:paraId="7C8B934C" w14:textId="77777777" w:rsidTr="00E00523">
        <w:trPr>
          <w:trHeight w:val="31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96C55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C3EC" w14:textId="77777777" w:rsidR="002532A1" w:rsidRPr="003B35C1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F80F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25F9" w14:textId="77777777" w:rsidR="002532A1" w:rsidRPr="00974124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BA915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6C8F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2A1" w:rsidRPr="006007DB" w14:paraId="582068F7" w14:textId="77777777" w:rsidTr="00E00523">
        <w:trPr>
          <w:trHeight w:val="31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B34A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C7EC" w14:textId="77777777" w:rsidR="002532A1" w:rsidRPr="003B35C1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5865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</w:t>
            </w:r>
            <w:proofErr w:type="spellEnd"/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BBE3" w14:textId="77777777" w:rsidR="002532A1" w:rsidRPr="00974124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5B8DA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3E51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2A1" w:rsidRPr="006007DB" w14:paraId="45E36495" w14:textId="77777777" w:rsidTr="00E00523">
        <w:trPr>
          <w:trHeight w:val="31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A6C4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A1A5" w14:textId="77777777" w:rsidR="002532A1" w:rsidRPr="003B35C1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6F4E8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4A6F" w14:textId="77777777" w:rsidR="002532A1" w:rsidRPr="00974124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8294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4427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2A1" w:rsidRPr="006007DB" w14:paraId="02E85409" w14:textId="77777777" w:rsidTr="00E00523">
        <w:trPr>
          <w:trHeight w:val="31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68EDB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4286" w14:textId="77777777" w:rsidR="002532A1" w:rsidRPr="003B35C1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BD5C9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</w:t>
            </w:r>
            <w:proofErr w:type="spellEnd"/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6852" w14:textId="77777777" w:rsidR="002532A1" w:rsidRPr="00974124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FE5A3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5B82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2A1" w:rsidRPr="006007DB" w14:paraId="34BC14A2" w14:textId="77777777" w:rsidTr="00E00523">
        <w:trPr>
          <w:trHeight w:val="31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8D86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007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Pycnopsyche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E269E" w14:textId="77777777" w:rsidR="002532A1" w:rsidRPr="003B35C1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838A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46FC" w14:textId="77777777" w:rsidR="002532A1" w:rsidRPr="00974124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30325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74DD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</w:tr>
      <w:tr w:rsidR="002532A1" w:rsidRPr="006007DB" w14:paraId="17ECCFB9" w14:textId="77777777" w:rsidTr="00E00523">
        <w:trPr>
          <w:trHeight w:val="31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563B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E4EF" w14:textId="77777777" w:rsidR="002532A1" w:rsidRPr="003B35C1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373F3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</w:t>
            </w:r>
            <w:proofErr w:type="spellEnd"/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03EC" w14:textId="77777777" w:rsidR="002532A1" w:rsidRPr="00974124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75BFC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B7ED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2A1" w:rsidRPr="006007DB" w14:paraId="4C09A24A" w14:textId="77777777" w:rsidTr="00E00523">
        <w:trPr>
          <w:trHeight w:val="31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B0C3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30C3" w14:textId="77777777" w:rsidR="002532A1" w:rsidRPr="003B35C1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6F7F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83FFD" w14:textId="77777777" w:rsidR="002532A1" w:rsidRPr="00974124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B97B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8517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2A1" w:rsidRPr="006007DB" w14:paraId="19666F48" w14:textId="77777777" w:rsidTr="00E00523">
        <w:trPr>
          <w:trHeight w:val="31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D00B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03B3" w14:textId="77777777" w:rsidR="002532A1" w:rsidRPr="003B35C1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AB5E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</w:t>
            </w:r>
            <w:proofErr w:type="spellEnd"/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5F79C" w14:textId="77777777" w:rsidR="002532A1" w:rsidRPr="00974124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8F9EF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0CA2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2A1" w:rsidRPr="006007DB" w14:paraId="455FFD8F" w14:textId="77777777" w:rsidTr="00E00523">
        <w:trPr>
          <w:trHeight w:val="31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7DB20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E166B" w14:textId="77777777" w:rsidR="002532A1" w:rsidRPr="003B35C1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DEC3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BB26" w14:textId="77777777" w:rsidR="002532A1" w:rsidRPr="00974124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989E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A9F6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2A1" w:rsidRPr="006007DB" w14:paraId="5EFE7313" w14:textId="77777777" w:rsidTr="00E00523">
        <w:trPr>
          <w:trHeight w:val="31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43D3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9A635" w14:textId="77777777" w:rsidR="002532A1" w:rsidRPr="003B35C1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0DB4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</w:t>
            </w:r>
            <w:proofErr w:type="spellEnd"/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930C" w14:textId="77777777" w:rsidR="002532A1" w:rsidRPr="00974124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B21957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DA53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2A1" w:rsidRPr="006007DB" w14:paraId="343B55D4" w14:textId="77777777" w:rsidTr="00E00523">
        <w:trPr>
          <w:trHeight w:val="31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18055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53452" w14:textId="77777777" w:rsidR="002532A1" w:rsidRPr="003B35C1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CF6F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9E28" w14:textId="77777777" w:rsidR="002532A1" w:rsidRPr="00974124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444A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A9F7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2A1" w:rsidRPr="006007DB" w14:paraId="72144A9E" w14:textId="77777777" w:rsidTr="00E00523">
        <w:trPr>
          <w:trHeight w:val="31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6B79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FE968" w14:textId="77777777" w:rsidR="002532A1" w:rsidRPr="003B35C1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1C90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</w:t>
            </w:r>
            <w:proofErr w:type="spellEnd"/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69BBA" w14:textId="77777777" w:rsidR="002532A1" w:rsidRPr="00974124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00F920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1032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2A1" w:rsidRPr="006007DB" w14:paraId="0DB9D6F7" w14:textId="77777777" w:rsidTr="00E00523">
        <w:trPr>
          <w:trHeight w:val="31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844A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CC26" w14:textId="77777777" w:rsidR="002532A1" w:rsidRPr="003B35C1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894C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60AFD" w14:textId="77777777" w:rsidR="002532A1" w:rsidRPr="00974124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78B4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87B3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2A1" w:rsidRPr="006007DB" w14:paraId="220A7E08" w14:textId="77777777" w:rsidTr="00E00523">
        <w:trPr>
          <w:trHeight w:val="31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87BA7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C78CF" w14:textId="77777777" w:rsidR="002532A1" w:rsidRPr="003B35C1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4715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</w:t>
            </w:r>
            <w:proofErr w:type="spellEnd"/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DF14" w14:textId="77777777" w:rsidR="002532A1" w:rsidRPr="00974124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CC2C8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3531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2A1" w:rsidRPr="006007DB" w14:paraId="057ADD2D" w14:textId="77777777" w:rsidTr="00E00523">
        <w:trPr>
          <w:trHeight w:val="31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BB99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007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Tallaperla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68304" w14:textId="77777777" w:rsidR="002532A1" w:rsidRPr="003B35C1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37A0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C2AE" w14:textId="77777777" w:rsidR="002532A1" w:rsidRPr="00974124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409D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91BD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</w:tr>
      <w:tr w:rsidR="002532A1" w:rsidRPr="006007DB" w14:paraId="54229E23" w14:textId="77777777" w:rsidTr="00E00523">
        <w:trPr>
          <w:trHeight w:val="31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AED5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71704" w14:textId="77777777" w:rsidR="002532A1" w:rsidRPr="003B35C1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D509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</w:t>
            </w:r>
            <w:proofErr w:type="spellEnd"/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9947" w14:textId="77777777" w:rsidR="002532A1" w:rsidRPr="00974124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41EEB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0D51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2A1" w:rsidRPr="006007DB" w14:paraId="13509BBF" w14:textId="77777777" w:rsidTr="00E00523">
        <w:trPr>
          <w:trHeight w:val="31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98A04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0AB79" w14:textId="77777777" w:rsidR="002532A1" w:rsidRPr="003B35C1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09A3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19366" w14:textId="77777777" w:rsidR="002532A1" w:rsidRPr="00974124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07A15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6327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2A1" w:rsidRPr="006007DB" w14:paraId="442B6962" w14:textId="77777777" w:rsidTr="00E00523">
        <w:trPr>
          <w:trHeight w:val="31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3BA4B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82CB" w14:textId="77777777" w:rsidR="002532A1" w:rsidRPr="003B35C1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A4C0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</w:t>
            </w:r>
            <w:proofErr w:type="spellEnd"/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2F19" w14:textId="77777777" w:rsidR="002532A1" w:rsidRPr="00974124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D08149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B7FE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2A1" w:rsidRPr="006007DB" w14:paraId="44B678C1" w14:textId="77777777" w:rsidTr="00E00523">
        <w:trPr>
          <w:trHeight w:val="31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B3D6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DED69" w14:textId="77777777" w:rsidR="002532A1" w:rsidRPr="003B35C1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B8BA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07A7C" w14:textId="77777777" w:rsidR="002532A1" w:rsidRPr="00974124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A265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B647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2A1" w:rsidRPr="006007DB" w14:paraId="5DB0F539" w14:textId="77777777" w:rsidTr="00E00523">
        <w:trPr>
          <w:trHeight w:val="31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53BA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FCD00" w14:textId="77777777" w:rsidR="002532A1" w:rsidRPr="003B35C1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6F4F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</w:t>
            </w:r>
            <w:proofErr w:type="spellEnd"/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322A2" w14:textId="77777777" w:rsidR="002532A1" w:rsidRPr="00974124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848149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9E97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2A1" w:rsidRPr="006007DB" w14:paraId="3ED9E8B3" w14:textId="77777777" w:rsidTr="00E00523">
        <w:trPr>
          <w:trHeight w:val="31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7AE6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B8AD" w14:textId="77777777" w:rsidR="002532A1" w:rsidRPr="003B35C1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86A2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E11F" w14:textId="77777777" w:rsidR="002532A1" w:rsidRPr="00974124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4E3B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23E5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2A1" w:rsidRPr="006007DB" w14:paraId="23062E17" w14:textId="77777777" w:rsidTr="00E00523">
        <w:trPr>
          <w:trHeight w:val="31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F311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9BD6D" w14:textId="77777777" w:rsidR="002532A1" w:rsidRPr="003B35C1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C7CE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</w:t>
            </w:r>
            <w:proofErr w:type="spellEnd"/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EF11" w14:textId="77777777" w:rsidR="002532A1" w:rsidRPr="00974124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0D5915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68D9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2A1" w:rsidRPr="006007DB" w14:paraId="7E99CD35" w14:textId="77777777" w:rsidTr="00E00523">
        <w:trPr>
          <w:trHeight w:val="31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2F981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98D7" w14:textId="77777777" w:rsidR="002532A1" w:rsidRPr="003B35C1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34D0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FF0F" w14:textId="77777777" w:rsidR="002532A1" w:rsidRPr="00974124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29A0B7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6425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2A1" w:rsidRPr="006007DB" w14:paraId="4F36D752" w14:textId="77777777" w:rsidTr="00E00523">
        <w:trPr>
          <w:trHeight w:val="310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26E6D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33552" w14:textId="77777777" w:rsidR="002532A1" w:rsidRPr="003B35C1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17004" w14:textId="77777777" w:rsidR="002532A1" w:rsidRPr="006007DB" w:rsidRDefault="002532A1" w:rsidP="00E0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</w:t>
            </w:r>
            <w:proofErr w:type="spellEnd"/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33294" w14:textId="77777777" w:rsidR="002532A1" w:rsidRPr="00974124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382B9C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DE353" w14:textId="77777777" w:rsidR="002532A1" w:rsidRPr="006007DB" w:rsidRDefault="002532A1" w:rsidP="004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8119125" w14:textId="2502D488" w:rsidR="00E4607E" w:rsidRDefault="002532A1" w:rsidP="000B17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E4607E" w:rsidRPr="006007DB">
        <w:rPr>
          <w:rFonts w:ascii="Times New Roman" w:hAnsi="Times New Roman" w:cs="Times New Roman"/>
          <w:b/>
          <w:sz w:val="24"/>
          <w:szCs w:val="24"/>
        </w:rPr>
        <w:t xml:space="preserve">upplementary Table </w:t>
      </w:r>
      <w:r w:rsidR="00E4607E">
        <w:rPr>
          <w:rFonts w:ascii="Times New Roman" w:hAnsi="Times New Roman" w:cs="Times New Roman"/>
          <w:b/>
          <w:sz w:val="24"/>
          <w:szCs w:val="24"/>
        </w:rPr>
        <w:t>3</w:t>
      </w:r>
      <w:r w:rsidR="00E4607E" w:rsidRPr="006007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607E" w:rsidRPr="006007DB">
        <w:rPr>
          <w:rFonts w:ascii="Times New Roman" w:hAnsi="Times New Roman" w:cs="Times New Roman"/>
          <w:sz w:val="24"/>
          <w:szCs w:val="24"/>
        </w:rPr>
        <w:t>Differences in secondary production responses to nutrient enrichment. Consumer responses are presented as natural log response ratios (</w:t>
      </w:r>
      <w:proofErr w:type="spellStart"/>
      <w:r w:rsidR="00E4607E" w:rsidRPr="006007DB">
        <w:rPr>
          <w:rFonts w:ascii="Times New Roman" w:hAnsi="Times New Roman" w:cs="Times New Roman"/>
          <w:sz w:val="24"/>
          <w:szCs w:val="24"/>
        </w:rPr>
        <w:t>lnRR</w:t>
      </w:r>
      <w:proofErr w:type="spellEnd"/>
      <w:r w:rsidR="00E4607E" w:rsidRPr="006007DB">
        <w:rPr>
          <w:rFonts w:ascii="Times New Roman" w:hAnsi="Times New Roman" w:cs="Times New Roman"/>
          <w:sz w:val="24"/>
          <w:szCs w:val="24"/>
        </w:rPr>
        <w:t xml:space="preserve">) calculated by </w:t>
      </w:r>
      <w:r w:rsidR="00F432DD">
        <w:rPr>
          <w:rFonts w:ascii="Times New Roman" w:hAnsi="Times New Roman" w:cs="Times New Roman"/>
          <w:sz w:val="24"/>
          <w:szCs w:val="24"/>
        </w:rPr>
        <w:t>dividing</w:t>
      </w:r>
      <w:r w:rsidR="00E4607E" w:rsidRPr="006007DB">
        <w:rPr>
          <w:rFonts w:ascii="Times New Roman" w:hAnsi="Times New Roman" w:cs="Times New Roman"/>
          <w:sz w:val="24"/>
          <w:szCs w:val="24"/>
        </w:rPr>
        <w:t xml:space="preserve"> the natural log (ln) of enriched production estimates (</w:t>
      </w:r>
      <w:proofErr w:type="spellStart"/>
      <w:r w:rsidR="00E4607E" w:rsidRPr="006007DB">
        <w:rPr>
          <w:rFonts w:ascii="Times New Roman" w:hAnsi="Times New Roman" w:cs="Times New Roman"/>
          <w:sz w:val="24"/>
          <w:szCs w:val="24"/>
        </w:rPr>
        <w:t>Enr</w:t>
      </w:r>
      <w:proofErr w:type="spellEnd"/>
      <w:r w:rsidR="00E4607E" w:rsidRPr="006007DB">
        <w:rPr>
          <w:rFonts w:ascii="Times New Roman" w:hAnsi="Times New Roman" w:cs="Times New Roman"/>
          <w:sz w:val="24"/>
          <w:szCs w:val="24"/>
        </w:rPr>
        <w:t>)</w:t>
      </w:r>
      <w:r w:rsidR="00F432DD">
        <w:rPr>
          <w:rFonts w:ascii="Times New Roman" w:hAnsi="Times New Roman" w:cs="Times New Roman"/>
          <w:sz w:val="24"/>
          <w:szCs w:val="24"/>
        </w:rPr>
        <w:t xml:space="preserve"> by ln </w:t>
      </w:r>
      <w:r w:rsidR="00E4607E" w:rsidRPr="006007DB">
        <w:rPr>
          <w:rFonts w:ascii="Times New Roman" w:hAnsi="Times New Roman" w:cs="Times New Roman"/>
          <w:sz w:val="24"/>
          <w:szCs w:val="24"/>
        </w:rPr>
        <w:t xml:space="preserve">pre-enrichment (Pre) production estimates. Consumer production values are given as ash free dry mass (AFDM), and enrichment values are reported for coarse benthic organic matter </w:t>
      </w:r>
      <w:proofErr w:type="spellStart"/>
      <w:r w:rsidR="00E4607E" w:rsidRPr="006007DB">
        <w:rPr>
          <w:rFonts w:ascii="Times New Roman" w:hAnsi="Times New Roman" w:cs="Times New Roman"/>
          <w:sz w:val="24"/>
          <w:szCs w:val="24"/>
        </w:rPr>
        <w:t>nitrogen:phosphorus</w:t>
      </w:r>
      <w:proofErr w:type="spellEnd"/>
      <w:r w:rsidR="00E4607E" w:rsidRPr="006007DB">
        <w:rPr>
          <w:rFonts w:ascii="Times New Roman" w:hAnsi="Times New Roman" w:cs="Times New Roman"/>
          <w:sz w:val="24"/>
          <w:szCs w:val="24"/>
        </w:rPr>
        <w:t xml:space="preserve"> ratios (CBOM N:P) </w:t>
      </w:r>
    </w:p>
    <w:sectPr w:rsidR="00E4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24E4E"/>
    <w:multiLevelType w:val="hybridMultilevel"/>
    <w:tmpl w:val="7E1695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57"/>
    <w:rsid w:val="000B17DD"/>
    <w:rsid w:val="000D5036"/>
    <w:rsid w:val="001052F0"/>
    <w:rsid w:val="001850A8"/>
    <w:rsid w:val="001961D6"/>
    <w:rsid w:val="00197258"/>
    <w:rsid w:val="00212DB5"/>
    <w:rsid w:val="00222645"/>
    <w:rsid w:val="0022413C"/>
    <w:rsid w:val="00252437"/>
    <w:rsid w:val="002532A1"/>
    <w:rsid w:val="00296043"/>
    <w:rsid w:val="00355787"/>
    <w:rsid w:val="003A3E7B"/>
    <w:rsid w:val="003B35C1"/>
    <w:rsid w:val="003E2D9D"/>
    <w:rsid w:val="003E49A7"/>
    <w:rsid w:val="0042726C"/>
    <w:rsid w:val="00452704"/>
    <w:rsid w:val="00457DF8"/>
    <w:rsid w:val="00467C82"/>
    <w:rsid w:val="004957CA"/>
    <w:rsid w:val="004A3173"/>
    <w:rsid w:val="004E134E"/>
    <w:rsid w:val="00547B0F"/>
    <w:rsid w:val="005565AC"/>
    <w:rsid w:val="005572FA"/>
    <w:rsid w:val="00661689"/>
    <w:rsid w:val="006F1FC9"/>
    <w:rsid w:val="006F3950"/>
    <w:rsid w:val="00736FFC"/>
    <w:rsid w:val="0079183F"/>
    <w:rsid w:val="00817F64"/>
    <w:rsid w:val="00847141"/>
    <w:rsid w:val="00870C91"/>
    <w:rsid w:val="008936CD"/>
    <w:rsid w:val="008A4255"/>
    <w:rsid w:val="008B13CE"/>
    <w:rsid w:val="008C7059"/>
    <w:rsid w:val="008D29B5"/>
    <w:rsid w:val="0093555D"/>
    <w:rsid w:val="00974124"/>
    <w:rsid w:val="009B634C"/>
    <w:rsid w:val="00A11CF7"/>
    <w:rsid w:val="00A4494C"/>
    <w:rsid w:val="00A72F57"/>
    <w:rsid w:val="00A945E4"/>
    <w:rsid w:val="00AC41A6"/>
    <w:rsid w:val="00B8628D"/>
    <w:rsid w:val="00BF031D"/>
    <w:rsid w:val="00C34E74"/>
    <w:rsid w:val="00C50E29"/>
    <w:rsid w:val="00C605FC"/>
    <w:rsid w:val="00C93BBD"/>
    <w:rsid w:val="00CC0037"/>
    <w:rsid w:val="00D5754A"/>
    <w:rsid w:val="00D62E63"/>
    <w:rsid w:val="00D87259"/>
    <w:rsid w:val="00E00523"/>
    <w:rsid w:val="00E1614A"/>
    <w:rsid w:val="00E4607E"/>
    <w:rsid w:val="00E7244E"/>
    <w:rsid w:val="00F308EA"/>
    <w:rsid w:val="00F432DD"/>
    <w:rsid w:val="00F73251"/>
    <w:rsid w:val="00F8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278FB"/>
  <w15:chartTrackingRefBased/>
  <w15:docId w15:val="{EACB66F8-8CB1-4476-8A80-0F4940B0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F57"/>
    <w:pPr>
      <w:spacing w:after="0" w:line="240" w:lineRule="auto"/>
    </w:pPr>
  </w:style>
  <w:style w:type="paragraph" w:customStyle="1" w:styleId="paragraph">
    <w:name w:val="paragraph"/>
    <w:basedOn w:val="Normal"/>
    <w:rsid w:val="00A7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A72F57"/>
  </w:style>
  <w:style w:type="character" w:customStyle="1" w:styleId="eop">
    <w:name w:val="eop"/>
    <w:basedOn w:val="DefaultParagraphFont"/>
    <w:rsid w:val="00A72F57"/>
  </w:style>
  <w:style w:type="character" w:customStyle="1" w:styleId="spellingerror">
    <w:name w:val="spellingerror"/>
    <w:basedOn w:val="DefaultParagraphFont"/>
    <w:rsid w:val="00A72F57"/>
  </w:style>
  <w:style w:type="paragraph" w:styleId="BalloonText">
    <w:name w:val="Balloon Text"/>
    <w:basedOn w:val="Normal"/>
    <w:link w:val="BalloonTextChar"/>
    <w:uiPriority w:val="99"/>
    <w:semiHidden/>
    <w:unhideWhenUsed/>
    <w:rsid w:val="00A72F5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F57"/>
    <w:rPr>
      <w:rFonts w:ascii="Times New Roman" w:hAnsi="Times New Roman" w:cs="Times New Roman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A72F57"/>
  </w:style>
  <w:style w:type="character" w:styleId="CommentReference">
    <w:name w:val="annotation reference"/>
    <w:basedOn w:val="DefaultParagraphFont"/>
    <w:uiPriority w:val="99"/>
    <w:semiHidden/>
    <w:unhideWhenUsed/>
    <w:rsid w:val="00A72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F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prater.cla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2D48FD714BA429D1A233797B227A8" ma:contentTypeVersion="12" ma:contentTypeDescription="Create a new document." ma:contentTypeScope="" ma:versionID="f62eadc09f6fd69c3872c8ca0e48f49a">
  <xsd:schema xmlns:xsd="http://www.w3.org/2001/XMLSchema" xmlns:xs="http://www.w3.org/2001/XMLSchema" xmlns:p="http://schemas.microsoft.com/office/2006/metadata/properties" xmlns:ns3="fed0414f-9f51-401e-827b-a8c57b0555b9" xmlns:ns4="db0645f4-2af9-4dce-b774-fa0c19e05152" targetNamespace="http://schemas.microsoft.com/office/2006/metadata/properties" ma:root="true" ma:fieldsID="97053c88b281c309bb8434af218ed9c2" ns3:_="" ns4:_="">
    <xsd:import namespace="fed0414f-9f51-401e-827b-a8c57b0555b9"/>
    <xsd:import namespace="db0645f4-2af9-4dce-b774-fa0c19e051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0414f-9f51-401e-827b-a8c57b055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645f4-2af9-4dce-b774-fa0c19e05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FB2AC-0855-4A98-99DD-394091E65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d0414f-9f51-401e-827b-a8c57b0555b9"/>
    <ds:schemaRef ds:uri="db0645f4-2af9-4dce-b774-fa0c19e05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4E91CD-CF6E-47A2-8003-9D3CEF4E8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1CE45-7FEF-4144-AFD0-E4703C4B67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95AC95-25B2-41B1-A405-6C85DDC9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Prater</dc:creator>
  <cp:keywords/>
  <dc:description/>
  <cp:lastModifiedBy>Elaine Collis</cp:lastModifiedBy>
  <cp:revision>2</cp:revision>
  <dcterms:created xsi:type="dcterms:W3CDTF">2020-08-18T12:58:00Z</dcterms:created>
  <dcterms:modified xsi:type="dcterms:W3CDTF">2020-08-18T12:58:00Z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0x0101006F12D48FD714BA429D1A233797B227A8</vt:lpwstr>
  </property>
</Properties>
</file>