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C1FF4" w14:textId="49D9CF4C" w:rsidR="00227D9C" w:rsidRPr="006917D8" w:rsidRDefault="003E56E6" w:rsidP="004E2A21">
      <w:pPr>
        <w:pStyle w:val="Title"/>
        <w:jc w:val="center"/>
        <w:rPr>
          <w:rFonts w:ascii="Arial" w:hAnsi="Arial" w:cs="Arial"/>
          <w:b/>
          <w:bCs/>
        </w:rPr>
      </w:pPr>
      <w:r w:rsidRPr="006917D8">
        <w:rPr>
          <w:rFonts w:ascii="Arial" w:hAnsi="Arial" w:cs="Arial"/>
          <w:b/>
          <w:bCs/>
        </w:rPr>
        <w:t>Supplementary Materials</w:t>
      </w:r>
    </w:p>
    <w:p w14:paraId="43F26715" w14:textId="77777777" w:rsidR="004E2A21" w:rsidRPr="006917D8" w:rsidRDefault="004E2A21" w:rsidP="004E2A21">
      <w:pPr>
        <w:rPr>
          <w:rFonts w:ascii="Arial" w:hAnsi="Arial" w:cs="Arial"/>
        </w:rPr>
      </w:pPr>
    </w:p>
    <w:p w14:paraId="2ABC55F5" w14:textId="144DD437" w:rsidR="003E56E6" w:rsidRPr="006917D8" w:rsidRDefault="003E56E6" w:rsidP="004E2A21">
      <w:pPr>
        <w:pStyle w:val="Subtitle"/>
        <w:spacing w:after="0" w:line="240" w:lineRule="auto"/>
        <w:jc w:val="center"/>
        <w:rPr>
          <w:rFonts w:ascii="Arial" w:hAnsi="Arial" w:cs="Arial"/>
          <w:color w:val="000000" w:themeColor="text1"/>
        </w:rPr>
      </w:pPr>
      <w:r w:rsidRPr="006917D8">
        <w:rPr>
          <w:rFonts w:ascii="Arial" w:hAnsi="Arial" w:cs="Arial"/>
          <w:color w:val="000000" w:themeColor="text1"/>
        </w:rPr>
        <w:t>A computational study of fatigue resistance of nitinol stents subjected to walk</w:t>
      </w:r>
      <w:r w:rsidRPr="006917D8">
        <w:rPr>
          <w:rFonts w:ascii="Cambria Math" w:hAnsi="Cambria Math" w:cs="Cambria Math"/>
          <w:color w:val="000000" w:themeColor="text1"/>
        </w:rPr>
        <w:t>‐</w:t>
      </w:r>
      <w:r w:rsidRPr="006917D8">
        <w:rPr>
          <w:rFonts w:ascii="Arial" w:hAnsi="Arial" w:cs="Arial"/>
          <w:color w:val="000000" w:themeColor="text1"/>
        </w:rPr>
        <w:t>induced femoropopliteal artery motion</w:t>
      </w:r>
    </w:p>
    <w:p w14:paraId="228F1F1D" w14:textId="784607C9" w:rsidR="003E56E6" w:rsidRPr="006917D8" w:rsidRDefault="003E56E6" w:rsidP="004E2A21">
      <w:pPr>
        <w:pStyle w:val="Subtitle"/>
        <w:spacing w:after="0" w:line="240" w:lineRule="auto"/>
        <w:jc w:val="center"/>
        <w:rPr>
          <w:rFonts w:ascii="Arial" w:hAnsi="Arial" w:cs="Arial"/>
          <w:color w:val="000000" w:themeColor="text1"/>
          <w:lang w:val="en-US"/>
        </w:rPr>
      </w:pPr>
      <w:r w:rsidRPr="006917D8">
        <w:rPr>
          <w:rFonts w:ascii="Arial" w:hAnsi="Arial" w:cs="Arial"/>
          <w:color w:val="000000" w:themeColor="text1"/>
          <w:lang w:val="en-US"/>
        </w:rPr>
        <w:t>R He, LG Zhao, VV Silberschmidt, H Willcock</w:t>
      </w:r>
    </w:p>
    <w:p w14:paraId="31A5B490" w14:textId="7F69B9D8" w:rsidR="003E56E6" w:rsidRPr="006917D8" w:rsidRDefault="003E56E6" w:rsidP="004E2A21">
      <w:pPr>
        <w:pStyle w:val="Subtitle"/>
        <w:spacing w:after="0" w:line="240" w:lineRule="auto"/>
        <w:jc w:val="center"/>
        <w:rPr>
          <w:rFonts w:ascii="Arial" w:hAnsi="Arial" w:cs="Arial"/>
          <w:color w:val="000000" w:themeColor="text1"/>
          <w:lang w:val="en-US"/>
        </w:rPr>
      </w:pPr>
      <w:r w:rsidRPr="006917D8">
        <w:rPr>
          <w:rFonts w:ascii="Arial" w:hAnsi="Arial" w:cs="Arial"/>
          <w:color w:val="000000" w:themeColor="text1"/>
          <w:lang w:val="en-US"/>
        </w:rPr>
        <w:t>Journal of Biomechanics</w:t>
      </w:r>
    </w:p>
    <w:p w14:paraId="789F09D5" w14:textId="77777777" w:rsidR="004E2A21" w:rsidRPr="006917D8" w:rsidRDefault="004E2A21" w:rsidP="004E2A21">
      <w:pPr>
        <w:spacing w:line="240" w:lineRule="auto"/>
        <w:rPr>
          <w:rFonts w:ascii="Arial" w:hAnsi="Arial" w:cs="Arial"/>
          <w:b/>
          <w:bCs/>
          <w:color w:val="000000" w:themeColor="text1"/>
          <w:lang w:val="en-US"/>
        </w:rPr>
      </w:pPr>
    </w:p>
    <w:p w14:paraId="3E41045C" w14:textId="75B4BE06" w:rsidR="003E56E6" w:rsidRPr="006917D8" w:rsidRDefault="00BE6F70" w:rsidP="00BE6F70">
      <w:pPr>
        <w:spacing w:line="240" w:lineRule="auto"/>
        <w:rPr>
          <w:rFonts w:ascii="Arial" w:hAnsi="Arial" w:cs="Arial"/>
          <w:b/>
          <w:bCs/>
          <w:lang w:val="en-US"/>
        </w:rPr>
      </w:pPr>
      <w:r w:rsidRPr="006917D8">
        <w:rPr>
          <w:rFonts w:ascii="Arial" w:hAnsi="Arial" w:cs="Arial"/>
          <w:b/>
          <w:bCs/>
          <w:lang w:val="en-US"/>
        </w:rPr>
        <w:t xml:space="preserve">1. </w:t>
      </w:r>
      <w:r w:rsidR="003E56E6" w:rsidRPr="006917D8">
        <w:rPr>
          <w:rFonts w:ascii="Arial" w:hAnsi="Arial" w:cs="Arial"/>
          <w:b/>
          <w:bCs/>
          <w:lang w:val="en-US"/>
        </w:rPr>
        <w:t>Finite-element model</w:t>
      </w:r>
    </w:p>
    <w:p w14:paraId="054F0A32" w14:textId="77777777" w:rsidR="006B75CE" w:rsidRPr="006917D8" w:rsidRDefault="006B75CE" w:rsidP="004E2A21">
      <w:pPr>
        <w:spacing w:line="240" w:lineRule="auto"/>
        <w:rPr>
          <w:rFonts w:ascii="Arial" w:hAnsi="Arial" w:cs="Arial"/>
        </w:rPr>
      </w:pPr>
      <w:r w:rsidRPr="006917D8">
        <w:rPr>
          <w:rFonts w:ascii="Arial" w:hAnsi="Arial" w:cs="Arial"/>
        </w:rPr>
        <w:t xml:space="preserve">The CAD model of the stent was created based on the </w:t>
      </w:r>
      <w:proofErr w:type="spellStart"/>
      <w:r w:rsidRPr="006917D8">
        <w:rPr>
          <w:rFonts w:ascii="Arial" w:hAnsi="Arial" w:cs="Arial"/>
        </w:rPr>
        <w:t>Zilver</w:t>
      </w:r>
      <w:proofErr w:type="spellEnd"/>
      <w:r w:rsidRPr="006917D8">
        <w:rPr>
          <w:rFonts w:ascii="Arial" w:hAnsi="Arial" w:cs="Arial"/>
        </w:rPr>
        <w:t xml:space="preserve"> stent design, for which the edges of the stent were not filleted in our work. To investigate the effect of fillets, we simulated the deployment of two V-struts, with and without the fillet (20 </w:t>
      </w:r>
      <w:proofErr w:type="spellStart"/>
      <w:r w:rsidRPr="006917D8">
        <w:rPr>
          <w:rFonts w:ascii="Arial" w:hAnsi="Arial" w:cs="Arial"/>
        </w:rPr>
        <w:t>μm</w:t>
      </w:r>
      <w:proofErr w:type="spellEnd"/>
      <w:r w:rsidRPr="006917D8">
        <w:rPr>
          <w:rFonts w:ascii="Arial" w:hAnsi="Arial" w:cs="Arial"/>
        </w:rPr>
        <w:t xml:space="preserve">). As shown in Fig. A1, the stress contour plots in the artery are very similar for both cases, with a smooth transition in the region of contact with the stent strut. No peculiar stress concentrations were introduced. </w:t>
      </w:r>
    </w:p>
    <w:p w14:paraId="35BEBEB3" w14:textId="77777777" w:rsidR="006B75CE" w:rsidRPr="006917D8" w:rsidRDefault="006B75CE" w:rsidP="004E2A21">
      <w:pPr>
        <w:spacing w:line="240" w:lineRule="auto"/>
        <w:rPr>
          <w:rFonts w:ascii="Arial" w:hAnsi="Arial" w:cs="Arial"/>
        </w:rPr>
      </w:pPr>
    </w:p>
    <w:p w14:paraId="71A6AB39" w14:textId="77777777" w:rsidR="006B75CE" w:rsidRPr="006917D8" w:rsidRDefault="006B75CE" w:rsidP="004E2A21">
      <w:pPr>
        <w:spacing w:line="240" w:lineRule="auto"/>
        <w:jc w:val="center"/>
        <w:rPr>
          <w:rFonts w:ascii="Arial" w:hAnsi="Arial" w:cs="Arial"/>
        </w:rPr>
      </w:pPr>
      <w:r w:rsidRPr="006917D8">
        <w:rPr>
          <w:rFonts w:ascii="Arial" w:hAnsi="Arial" w:cs="Arial"/>
          <w:noProof/>
        </w:rPr>
        <w:drawing>
          <wp:inline distT="0" distB="0" distL="0" distR="0" wp14:anchorId="7D58B254" wp14:editId="4B58D9C5">
            <wp:extent cx="5731510" cy="2865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2038D83" w14:textId="48E4140B" w:rsidR="006B75CE" w:rsidRPr="006917D8" w:rsidRDefault="006B75CE" w:rsidP="004E2A21">
      <w:pPr>
        <w:spacing w:line="240" w:lineRule="auto"/>
        <w:jc w:val="center"/>
        <w:rPr>
          <w:rFonts w:ascii="Arial" w:hAnsi="Arial" w:cs="Arial"/>
        </w:rPr>
      </w:pPr>
      <w:r w:rsidRPr="006917D8">
        <w:rPr>
          <w:rFonts w:ascii="Arial" w:hAnsi="Arial" w:cs="Arial"/>
        </w:rPr>
        <w:t>Fig. A1. Models of partial diseased artery and V-struts (a) without and (b) with fillet, and contour plots of von Mises stress (in MPa) in arteries after deployments of V-struts (c) without and (d) with fillet.</w:t>
      </w:r>
    </w:p>
    <w:p w14:paraId="70E1D511" w14:textId="22B7DCAC" w:rsidR="00602751" w:rsidRPr="006917D8" w:rsidRDefault="00602751" w:rsidP="004E2A21">
      <w:pPr>
        <w:spacing w:line="240" w:lineRule="auto"/>
        <w:jc w:val="center"/>
        <w:rPr>
          <w:rFonts w:ascii="Arial" w:hAnsi="Arial" w:cs="Arial"/>
        </w:rPr>
      </w:pPr>
    </w:p>
    <w:p w14:paraId="029970C1" w14:textId="661D6B11" w:rsidR="00602751" w:rsidRPr="006917D8" w:rsidRDefault="0010713C" w:rsidP="00602751">
      <w:pPr>
        <w:spacing w:line="240" w:lineRule="auto"/>
        <w:rPr>
          <w:rFonts w:ascii="Arial" w:hAnsi="Arial" w:cs="Arial"/>
        </w:rPr>
      </w:pPr>
      <w:r w:rsidRPr="006917D8">
        <w:rPr>
          <w:rFonts w:ascii="Arial" w:hAnsi="Arial" w:cs="Arial"/>
        </w:rPr>
        <w:t>T</w:t>
      </w:r>
      <w:r w:rsidR="00602751" w:rsidRPr="006917D8">
        <w:rPr>
          <w:rFonts w:ascii="Arial" w:hAnsi="Arial" w:cs="Arial"/>
        </w:rPr>
        <w:t xml:space="preserve">he length of the plaque in our model was determined to match the length of </w:t>
      </w:r>
      <w:proofErr w:type="spellStart"/>
      <w:r w:rsidR="00602751" w:rsidRPr="006917D8">
        <w:rPr>
          <w:rFonts w:ascii="Arial" w:hAnsi="Arial" w:cs="Arial"/>
        </w:rPr>
        <w:t>Zilver</w:t>
      </w:r>
      <w:proofErr w:type="spellEnd"/>
      <w:r w:rsidR="00602751" w:rsidRPr="006917D8">
        <w:rPr>
          <w:rFonts w:ascii="Arial" w:hAnsi="Arial" w:cs="Arial"/>
        </w:rPr>
        <w:t xml:space="preserve"> Flex® Vascular Self-Expanding Stent. In clinical setting, the treated plaque should be slightly shorter than the stent. As the </w:t>
      </w:r>
      <w:proofErr w:type="spellStart"/>
      <w:r w:rsidR="00602751" w:rsidRPr="006917D8">
        <w:rPr>
          <w:rFonts w:ascii="Arial" w:hAnsi="Arial" w:cs="Arial"/>
        </w:rPr>
        <w:t>Zilver</w:t>
      </w:r>
      <w:proofErr w:type="spellEnd"/>
      <w:r w:rsidR="00602751" w:rsidRPr="006917D8">
        <w:rPr>
          <w:rFonts w:ascii="Arial" w:hAnsi="Arial" w:cs="Arial"/>
        </w:rPr>
        <w:t xml:space="preserve"> stent was 20 mm in length, the length of the plaque was set as 18 mm in our study. Future work will be recommended to study the length effect on the fatigue behaviour of the deployed stent.</w:t>
      </w:r>
    </w:p>
    <w:p w14:paraId="40A421D6" w14:textId="7464AAFA" w:rsidR="00602751" w:rsidRPr="006917D8" w:rsidRDefault="00602751" w:rsidP="00602751">
      <w:pPr>
        <w:spacing w:line="240" w:lineRule="auto"/>
        <w:rPr>
          <w:rFonts w:ascii="Arial" w:hAnsi="Arial" w:cs="Arial"/>
        </w:rPr>
      </w:pPr>
    </w:p>
    <w:p w14:paraId="55003DD1" w14:textId="75FAD86E" w:rsidR="0010713C" w:rsidRPr="006917D8" w:rsidRDefault="0010713C" w:rsidP="00602751">
      <w:pPr>
        <w:spacing w:line="240" w:lineRule="auto"/>
        <w:rPr>
          <w:rFonts w:ascii="Arial" w:hAnsi="Arial" w:cs="Arial"/>
          <w:b/>
          <w:bCs/>
        </w:rPr>
      </w:pPr>
      <w:r w:rsidRPr="006917D8">
        <w:rPr>
          <w:rFonts w:ascii="Arial" w:hAnsi="Arial" w:cs="Arial"/>
          <w:b/>
          <w:bCs/>
        </w:rPr>
        <w:t>2. Constitutive models</w:t>
      </w:r>
    </w:p>
    <w:p w14:paraId="7B85C8D0" w14:textId="1406696B" w:rsidR="004B69A9" w:rsidRPr="006917D8" w:rsidRDefault="00B92805" w:rsidP="004B69A9">
      <w:pPr>
        <w:spacing w:line="240" w:lineRule="auto"/>
        <w:rPr>
          <w:rFonts w:ascii="Arial" w:hAnsi="Arial" w:cs="Arial"/>
          <w:iCs/>
        </w:rPr>
      </w:pPr>
      <w:r w:rsidRPr="006917D8">
        <w:rPr>
          <w:rFonts w:ascii="Arial" w:hAnsi="Arial" w:cs="Arial"/>
        </w:rPr>
        <w:t>T</w:t>
      </w:r>
      <w:r w:rsidR="004B69A9" w:rsidRPr="006917D8">
        <w:rPr>
          <w:rFonts w:ascii="Arial" w:hAnsi="Arial" w:cs="Arial"/>
        </w:rPr>
        <w:t xml:space="preserve">he parameter values used for the media and adventitia layers and plaque are given in Tables A1 and A2. Also, </w:t>
      </w:r>
      <w:r w:rsidR="004B69A9" w:rsidRPr="006917D8">
        <w:rPr>
          <w:rFonts w:ascii="Arial" w:hAnsi="Arial" w:cs="Arial"/>
          <w:iCs/>
        </w:rPr>
        <w:t xml:space="preserve">the stress-stretch responses for the arterial layers, simulated under uniaxial tension, are shown in Fig. </w:t>
      </w:r>
      <w:r w:rsidR="00ED6402" w:rsidRPr="006917D8">
        <w:rPr>
          <w:rFonts w:ascii="Arial" w:hAnsi="Arial" w:cs="Arial"/>
          <w:iCs/>
        </w:rPr>
        <w:t>A2</w:t>
      </w:r>
      <w:r w:rsidR="004B69A9" w:rsidRPr="006917D8">
        <w:rPr>
          <w:rFonts w:ascii="Arial" w:hAnsi="Arial" w:cs="Arial"/>
          <w:iCs/>
        </w:rPr>
        <w:t xml:space="preserve">, in comparison with the experimental measurements in </w:t>
      </w:r>
      <w:proofErr w:type="spellStart"/>
      <w:r w:rsidR="004B69A9" w:rsidRPr="006917D8">
        <w:rPr>
          <w:rFonts w:ascii="Arial" w:hAnsi="Arial" w:cs="Arial"/>
          <w:iCs/>
        </w:rPr>
        <w:t>Fereidoonnezhad</w:t>
      </w:r>
      <w:proofErr w:type="spellEnd"/>
      <w:r w:rsidR="004B69A9" w:rsidRPr="006917D8">
        <w:rPr>
          <w:rFonts w:ascii="Arial" w:hAnsi="Arial" w:cs="Arial"/>
          <w:iCs/>
        </w:rPr>
        <w:t xml:space="preserve"> et al. (2016). The stress-stretch response for the plaque, simulated under uniaxial tension, is shown in Fig. </w:t>
      </w:r>
      <w:r w:rsidR="00ED6402" w:rsidRPr="006917D8">
        <w:rPr>
          <w:rFonts w:ascii="Arial" w:hAnsi="Arial" w:cs="Arial"/>
          <w:iCs/>
        </w:rPr>
        <w:t>A3</w:t>
      </w:r>
      <w:r w:rsidR="004B69A9" w:rsidRPr="006917D8">
        <w:rPr>
          <w:rFonts w:ascii="Arial" w:hAnsi="Arial" w:cs="Arial"/>
          <w:iCs/>
        </w:rPr>
        <w:t xml:space="preserve">, compared with the experimental results in </w:t>
      </w:r>
      <w:r w:rsidR="004B69A9" w:rsidRPr="006917D8">
        <w:rPr>
          <w:rFonts w:ascii="Arial" w:hAnsi="Arial" w:cs="Arial"/>
          <w:iCs/>
        </w:rPr>
        <w:fldChar w:fldCharType="begin" w:fldLock="1"/>
      </w:r>
      <w:r w:rsidR="00921D30" w:rsidRPr="006917D8">
        <w:rPr>
          <w:rFonts w:ascii="Arial" w:hAnsi="Arial" w:cs="Arial"/>
          <w:iCs/>
        </w:rPr>
        <w:instrText>ADDIN CSL_CITATION {"citationItems":[{"id":"ITEM-1","itemData":{"DOI":"10.1007/s10439-011-0331-4","ISBN":"1573-9686","ISSN":"00906964","PMID":"21618044","abstract":"Little mechanical test data exists regarding the inelastic behavior of atherosclerotic plaques. As a result finite element (FE) models of stenting procedures commonly use hyperelastic material models to describe the soft tissue response thus limiting the accuracy of the model to the expansion stage of stent implantation and leave them unable to predict the lumen gain. In this study, cyclic mechanical tests were performed to characterize the inelastic behavior of fresh human carotid atherosclerotic plaque tissue due to radial compressive loading. Plaques were classified clinically as either mixed (M), calcified (Ca), or echolucent (E). An approximately linear increase in the plastic deformation was observed with increases in the peak applied strain for all plaque types. While calcified plaques generally appeared stiffest, it was observed that the clinical classification of plaques had no significant effect on the magnitude of permanent deformation on unloading. The test data was characterized using a constitutive model that accounts for both permanent deformation and stress softening to describe the compressive plaque behavior on unloading. Material constants are reported for individual plaques as well as mean values for each plaque classification. This data can be considered as a first step in characterizing the inelastic behavior of atherosclerotic plaques and could be used in combination with future mechanical data to improve the predictive capabilities of FE models of angioplasty and stenting procedures particularly in relation to lumen gain.","author":[{"dropping-particle":"","family":"Maher","given":"Eoghan","non-dropping-particle":"","parse-names":false,"suffix":""},{"dropping-particle":"","family":"Creane","given":"Arthur","non-dropping-particle":"","parse-names":false,"suffix":""},{"dropping-particle":"","family":"Sultan","given":"Sherif","non-dropping-particle":"","parse-names":false,"suffix":""},{"dropping-particle":"","family":"Hynes","given":"Niamh","non-dropping-particle":"","parse-names":false,"suffix":""},{"dropping-particle":"","family":"Lally","given":"Caitríona","non-dropping-particle":"","parse-names":false,"suffix":""},{"dropping-particle":"","family":"Kelly","given":"Daniel J.","non-dropping-particle":"","parse-names":false,"suffix":""}],"container-title":"Annals of Biomedical Engineering","id":"ITEM-1","issue":"9","issued":{"date-parts":[["2011"]]},"page":"2445-2455","title":"Inelasticity of human carotid atherosclerotic plaque","type":"article-journal","volume":"39"},"uris":["http://www.mendeley.com/documents/?uuid=0521e3bb-751f-4ef5-b3fb-f7337edf91f0"]}],"mendeley":{"formattedCitation":"(Maher et al., 2011)","manualFormatting":"Maher et al. (2011","plainTextFormattedCitation":"(Maher et al., 2011)","previouslyFormattedCitation":"(Maher et al., 2011)"},"properties":{"noteIndex":0},"schema":"https://github.com/citation-style-language/schema/raw/master/csl-citation.json"}</w:instrText>
      </w:r>
      <w:r w:rsidR="004B69A9" w:rsidRPr="006917D8">
        <w:rPr>
          <w:rFonts w:ascii="Arial" w:hAnsi="Arial" w:cs="Arial"/>
          <w:iCs/>
        </w:rPr>
        <w:fldChar w:fldCharType="separate"/>
      </w:r>
      <w:r w:rsidR="004B69A9" w:rsidRPr="006917D8">
        <w:rPr>
          <w:rFonts w:ascii="Arial" w:hAnsi="Arial" w:cs="Arial"/>
          <w:iCs/>
          <w:noProof/>
        </w:rPr>
        <w:t>Maher et al. (2011</w:t>
      </w:r>
      <w:r w:rsidR="004B69A9" w:rsidRPr="006917D8">
        <w:rPr>
          <w:rFonts w:ascii="Arial" w:hAnsi="Arial" w:cs="Arial"/>
        </w:rPr>
        <w:fldChar w:fldCharType="end"/>
      </w:r>
      <w:r w:rsidR="004B69A9" w:rsidRPr="006917D8">
        <w:rPr>
          <w:rFonts w:ascii="Arial" w:hAnsi="Arial" w:cs="Arial"/>
          <w:iCs/>
        </w:rPr>
        <w:t>).</w:t>
      </w:r>
    </w:p>
    <w:p w14:paraId="5675C36E" w14:textId="5CD35DD7" w:rsidR="004B69A9" w:rsidRPr="006917D8" w:rsidRDefault="004B69A9" w:rsidP="004B69A9">
      <w:pPr>
        <w:spacing w:line="240" w:lineRule="auto"/>
        <w:rPr>
          <w:rFonts w:ascii="Arial" w:hAnsi="Arial" w:cs="Arial"/>
        </w:rPr>
      </w:pPr>
    </w:p>
    <w:p w14:paraId="33C3E729" w14:textId="7D87D281" w:rsidR="00E878F8" w:rsidRPr="006917D8" w:rsidRDefault="00E878F8" w:rsidP="004B69A9">
      <w:pPr>
        <w:spacing w:line="240" w:lineRule="auto"/>
        <w:rPr>
          <w:rFonts w:ascii="Arial" w:hAnsi="Arial" w:cs="Arial"/>
        </w:rPr>
      </w:pPr>
    </w:p>
    <w:p w14:paraId="5EA38B0F" w14:textId="77777777" w:rsidR="00E878F8" w:rsidRPr="006917D8" w:rsidRDefault="00E878F8" w:rsidP="004B69A9">
      <w:pPr>
        <w:spacing w:line="240" w:lineRule="auto"/>
        <w:rPr>
          <w:rFonts w:ascii="Arial" w:hAnsi="Arial" w:cs="Arial"/>
        </w:rPr>
      </w:pPr>
    </w:p>
    <w:p w14:paraId="7ED73424" w14:textId="084C0F30" w:rsidR="004B69A9" w:rsidRPr="006917D8" w:rsidRDefault="004B69A9" w:rsidP="004B69A9">
      <w:pPr>
        <w:spacing w:line="240" w:lineRule="auto"/>
        <w:jc w:val="center"/>
        <w:rPr>
          <w:rFonts w:ascii="Arial" w:hAnsi="Arial" w:cs="Arial"/>
          <w:iCs/>
        </w:rPr>
      </w:pPr>
      <w:r w:rsidRPr="006917D8">
        <w:rPr>
          <w:rFonts w:ascii="Arial" w:hAnsi="Arial" w:cs="Arial"/>
          <w:bCs/>
          <w:iCs/>
        </w:rPr>
        <w:lastRenderedPageBreak/>
        <w:t>Table A1.</w:t>
      </w:r>
      <w:r w:rsidRPr="006917D8">
        <w:rPr>
          <w:rFonts w:ascii="Arial" w:hAnsi="Arial" w:cs="Arial"/>
          <w:iCs/>
        </w:rPr>
        <w:t xml:space="preserve"> Parameter values of modified HGO-C model with damage for arterial layers </w:t>
      </w:r>
      <w:r w:rsidRPr="006917D8">
        <w:rPr>
          <w:rFonts w:ascii="Arial" w:hAnsi="Arial" w:cs="Arial"/>
          <w:iCs/>
        </w:rPr>
        <w:fldChar w:fldCharType="begin" w:fldLock="1"/>
      </w:r>
      <w:r w:rsidRPr="006917D8">
        <w:rPr>
          <w:rFonts w:ascii="Arial" w:hAnsi="Arial" w:cs="Arial"/>
          <w:iCs/>
        </w:rPr>
        <w:instrText>ADDIN CSL_CITATION {"citationItems":[{"id":"ITEM-1","itemData":{"DOI":"10.1016/j.jmbbm.2016.03.026","ISBN":"1751-6161","ISSN":"18780180","abstract":"Inelastic phenomena such as stress softening and unrecoverable inelastic deformations induced by supra-physiological loading have been observed experimentally in soft tissues such as arteries. These phenomena need to be accounted for in constitutive models of arterial tissues so that computational models can properly predict the outcome of interventional procedures such as arterial clamping and balloon angioplasty that involve non-physiological tissue loading. Motivated by experimental data, a novel pseudo-elastic damage model is proposed to describe discontinuous softening and permanent deformation in arterial tissues. The model is fitted to experimental data and specific material parameters for 9 abdominal and 14 thoracic aortas are provided. Furthermore, the model was implemented in a finite element code and numerically analyzed with respect to experimental tests, i.e. cyclic uniaxial tension in circumferential and longitudinal directions. Results showed that the model is able to capture specific features including anisotropy, nonlinearity, and damage-induced inelastic phenomena, i.e. stress softening and permanent deformation. Finite element results of a more complex boundary-value problem, i.e. aortic clamping considering the three aortic layers, residual stress, non-symmetric blood pressure after clamping, and patient-specific data are also presented.","author":[{"dropping-particle":"","family":"Fereidoonnezhad","given":"B.","non-dropping-particle":"","parse-names":false,"suffix":""},{"dropping-particle":"","family":"Naghdabadi","given":"R.","non-dropping-particle":"","parse-names":false,"suffix":""},{"dropping-particle":"","family":"Holzapfel","given":"G. A.","non-dropping-particle":"","parse-names":false,"suffix":""}],"container-title":"Journal of the Mechanical Behavior of Biomedical Materials","id":"ITEM-1","issued":{"date-parts":[["2016"]]},"page":"600-616","title":"Stress softening and permanent deformation in human aortas: Continuum and computational modeling with application to arterial clamping","type":"article-journal","volume":"61"},"uris":["http://www.mendeley.com/documents/?uuid=53b51325-a22b-4296-9013-7a4287c2b317"]}],"mendeley":{"formattedCitation":"(Fereidoonnezhad et al., 2016)","plainTextFormattedCitation":"(Fereidoonnezhad et al., 2016)","previouslyFormattedCitation":"(Fereidoonnezhad et al., 2016)"},"properties":{"noteIndex":0},"schema":"https://github.com/citation-style-language/schema/raw/master/csl-citation.json"}</w:instrText>
      </w:r>
      <w:r w:rsidRPr="006917D8">
        <w:rPr>
          <w:rFonts w:ascii="Arial" w:hAnsi="Arial" w:cs="Arial"/>
          <w:iCs/>
        </w:rPr>
        <w:fldChar w:fldCharType="separate"/>
      </w:r>
      <w:r w:rsidRPr="006917D8">
        <w:rPr>
          <w:rFonts w:ascii="Arial" w:hAnsi="Arial" w:cs="Arial"/>
          <w:iCs/>
          <w:noProof/>
        </w:rPr>
        <w:t>(Fereidoonnezhad et al., 2016)</w:t>
      </w:r>
      <w:r w:rsidRPr="006917D8">
        <w:rPr>
          <w:rFonts w:ascii="Arial" w:hAnsi="Arial" w:cs="Arial"/>
        </w:rPr>
        <w:fldChar w:fldCharType="end"/>
      </w:r>
      <w:r w:rsidRPr="006917D8">
        <w:rPr>
          <w:rFonts w:ascii="Arial" w:hAnsi="Arial" w:cs="Arial"/>
        </w:rPr>
        <w:t>.</w:t>
      </w:r>
    </w:p>
    <w:tbl>
      <w:tblPr>
        <w:tblStyle w:val="LightGrid"/>
        <w:tblW w:w="0" w:type="auto"/>
        <w:jc w:val="center"/>
        <w:tblLayout w:type="fixed"/>
        <w:tblLook w:val="0620" w:firstRow="1" w:lastRow="0" w:firstColumn="0" w:lastColumn="0" w:noHBand="1" w:noVBand="1"/>
      </w:tblPr>
      <w:tblGrid>
        <w:gridCol w:w="1273"/>
        <w:gridCol w:w="1276"/>
        <w:gridCol w:w="1559"/>
        <w:gridCol w:w="992"/>
        <w:gridCol w:w="851"/>
        <w:gridCol w:w="992"/>
        <w:gridCol w:w="1276"/>
        <w:gridCol w:w="801"/>
      </w:tblGrid>
      <w:tr w:rsidR="004B69A9" w:rsidRPr="006917D8" w14:paraId="20DE4FEB" w14:textId="77777777" w:rsidTr="00FB5972">
        <w:trPr>
          <w:cnfStyle w:val="100000000000" w:firstRow="1" w:lastRow="0" w:firstColumn="0" w:lastColumn="0" w:oddVBand="0" w:evenVBand="0" w:oddHBand="0" w:evenHBand="0" w:firstRowFirstColumn="0" w:firstRowLastColumn="0" w:lastRowFirstColumn="0" w:lastRowLastColumn="0"/>
          <w:cantSplit/>
          <w:trHeight w:val="20"/>
          <w:jc w:val="center"/>
        </w:trPr>
        <w:tc>
          <w:tcPr>
            <w:tcW w:w="1273" w:type="dxa"/>
            <w:vMerge w:val="restart"/>
            <w:tcBorders>
              <w:top w:val="single" w:sz="2" w:space="0" w:color="000000"/>
              <w:left w:val="single" w:sz="2" w:space="0" w:color="000000"/>
              <w:right w:val="single" w:sz="2" w:space="0" w:color="000000"/>
            </w:tcBorders>
            <w:vAlign w:val="center"/>
            <w:hideMark/>
          </w:tcPr>
          <w:p w14:paraId="20F83979" w14:textId="77777777" w:rsidR="004B69A9" w:rsidRPr="006917D8" w:rsidRDefault="004B69A9" w:rsidP="004B69A9">
            <w:pPr>
              <w:jc w:val="center"/>
              <w:rPr>
                <w:rFonts w:ascii="Arial" w:eastAsiaTheme="minorEastAsia" w:hAnsi="Arial" w:cs="Arial"/>
              </w:rPr>
            </w:pPr>
            <w:r w:rsidRPr="006917D8">
              <w:rPr>
                <w:rFonts w:ascii="Arial" w:eastAsiaTheme="minorEastAsia" w:hAnsi="Arial" w:cs="Arial"/>
              </w:rPr>
              <w:t>Media</w:t>
            </w:r>
          </w:p>
        </w:tc>
        <w:tc>
          <w:tcPr>
            <w:tcW w:w="1276" w:type="dxa"/>
            <w:tcBorders>
              <w:top w:val="single" w:sz="18" w:space="0" w:color="000000"/>
              <w:left w:val="single" w:sz="2" w:space="0" w:color="000000"/>
              <w:bottom w:val="single" w:sz="2" w:space="0" w:color="auto"/>
            </w:tcBorders>
            <w:hideMark/>
          </w:tcPr>
          <w:p w14:paraId="6DC19C1D" w14:textId="77777777" w:rsidR="004B69A9" w:rsidRPr="006917D8" w:rsidRDefault="004B69A9" w:rsidP="004B69A9">
            <w:pPr>
              <w:jc w:val="center"/>
              <w:rPr>
                <w:rFonts w:ascii="Arial" w:eastAsiaTheme="minorEastAsia" w:hAnsi="Arial" w:cs="Arial"/>
                <w:i/>
                <w:lang w:val="en-US"/>
              </w:rPr>
            </w:pPr>
            <w:r w:rsidRPr="006917D8">
              <w:rPr>
                <w:rFonts w:ascii="Arial" w:eastAsiaTheme="minorEastAsia" w:hAnsi="Arial" w:cs="Arial"/>
                <w:i/>
                <w:lang w:val="en-US"/>
              </w:rPr>
              <w:t>ρ</w:t>
            </w:r>
          </w:p>
          <w:p w14:paraId="378EF77A" w14:textId="77777777" w:rsidR="004B69A9" w:rsidRPr="006917D8" w:rsidRDefault="004B69A9" w:rsidP="004B69A9">
            <w:pPr>
              <w:jc w:val="center"/>
              <w:rPr>
                <w:rFonts w:ascii="Arial" w:eastAsiaTheme="minorEastAsia" w:hAnsi="Arial" w:cs="Arial"/>
                <w:i/>
              </w:rPr>
            </w:pPr>
            <w:r w:rsidRPr="006917D8">
              <w:rPr>
                <w:rFonts w:ascii="Arial" w:eastAsiaTheme="minorEastAsia" w:hAnsi="Arial" w:cs="Arial"/>
                <w:lang w:val="en-US"/>
              </w:rPr>
              <w:t>(t/mm</w:t>
            </w:r>
            <w:r w:rsidRPr="006917D8">
              <w:rPr>
                <w:rFonts w:ascii="Arial" w:eastAsiaTheme="minorEastAsia" w:hAnsi="Arial" w:cs="Arial"/>
                <w:vertAlign w:val="superscript"/>
                <w:lang w:val="en-US"/>
              </w:rPr>
              <w:t>3</w:t>
            </w:r>
            <w:r w:rsidRPr="006917D8">
              <w:rPr>
                <w:rFonts w:ascii="Arial" w:eastAsiaTheme="minorEastAsia" w:hAnsi="Arial" w:cs="Arial"/>
                <w:lang w:val="en-US"/>
              </w:rPr>
              <w:t>)</w:t>
            </w:r>
          </w:p>
        </w:tc>
        <w:tc>
          <w:tcPr>
            <w:tcW w:w="1559" w:type="dxa"/>
            <w:tcBorders>
              <w:top w:val="single" w:sz="18" w:space="0" w:color="000000"/>
              <w:bottom w:val="single" w:sz="2" w:space="0" w:color="auto"/>
            </w:tcBorders>
            <w:hideMark/>
          </w:tcPr>
          <w:p w14:paraId="02B8CF60" w14:textId="357272CD" w:rsidR="004B69A9" w:rsidRPr="006917D8" w:rsidRDefault="00AA7594" w:rsidP="004B69A9">
            <w:pPr>
              <w:jc w:val="center"/>
              <w:rPr>
                <w:rFonts w:ascii="Arial" w:eastAsiaTheme="minorEastAsia" w:hAnsi="Arial" w:cs="Arial"/>
                <w:i/>
                <w:iCs/>
              </w:rPr>
            </w:pPr>
            <m:oMathPara>
              <m:oMath>
                <m:sSub>
                  <m:sSubPr>
                    <m:ctrlPr>
                      <w:rPr>
                        <w:rFonts w:ascii="Cambria Math" w:eastAsiaTheme="minorEastAsia" w:hAnsi="Cambria Math" w:cs="Arial"/>
                        <w:i/>
                        <w:iCs/>
                      </w:rPr>
                    </m:ctrlPr>
                  </m:sSubPr>
                  <m:e>
                    <m:r>
                      <w:rPr>
                        <w:rFonts w:ascii="Cambria Math" w:hAnsi="Cambria Math" w:cs="Arial"/>
                      </w:rPr>
                      <m:t>C</m:t>
                    </m:r>
                  </m:e>
                  <m:sub>
                    <m:r>
                      <w:rPr>
                        <w:rFonts w:ascii="Cambria Math" w:hAnsi="Cambria Math" w:cs="Arial"/>
                      </w:rPr>
                      <m:t>10</m:t>
                    </m:r>
                  </m:sub>
                </m:sSub>
              </m:oMath>
            </m:oMathPara>
          </w:p>
          <w:p w14:paraId="06F8575E" w14:textId="77777777" w:rsidR="004B69A9" w:rsidRPr="006917D8" w:rsidRDefault="004B69A9" w:rsidP="004B69A9">
            <w:pPr>
              <w:jc w:val="center"/>
              <w:rPr>
                <w:rFonts w:ascii="Arial" w:eastAsiaTheme="minorEastAsia" w:hAnsi="Arial" w:cs="Arial"/>
              </w:rPr>
            </w:pPr>
            <w:r w:rsidRPr="006917D8">
              <w:rPr>
                <w:rFonts w:ascii="Arial" w:eastAsiaTheme="minorEastAsia" w:hAnsi="Arial" w:cs="Arial"/>
              </w:rPr>
              <w:t>(MPa)</w:t>
            </w:r>
          </w:p>
        </w:tc>
        <w:tc>
          <w:tcPr>
            <w:tcW w:w="992" w:type="dxa"/>
            <w:tcBorders>
              <w:top w:val="single" w:sz="18" w:space="0" w:color="000000"/>
              <w:bottom w:val="single" w:sz="2" w:space="0" w:color="auto"/>
            </w:tcBorders>
            <w:hideMark/>
          </w:tcPr>
          <w:p w14:paraId="003C5B31" w14:textId="72933245" w:rsidR="004B69A9" w:rsidRPr="006917D8" w:rsidRDefault="004B69A9" w:rsidP="004B69A9">
            <w:pPr>
              <w:jc w:val="center"/>
              <w:rPr>
                <w:rFonts w:ascii="Arial" w:eastAsiaTheme="minorEastAsia" w:hAnsi="Arial" w:cs="Arial"/>
                <w:lang w:val="en-US"/>
              </w:rPr>
            </w:pPr>
            <m:oMathPara>
              <m:oMath>
                <m:r>
                  <w:rPr>
                    <w:rFonts w:ascii="Cambria Math" w:hAnsi="Cambria Math" w:cs="Arial"/>
                    <w:lang w:val="en-US"/>
                  </w:rPr>
                  <m:t>D</m:t>
                </m:r>
              </m:oMath>
            </m:oMathPara>
          </w:p>
          <w:p w14:paraId="26830716" w14:textId="77777777" w:rsidR="004B69A9" w:rsidRPr="006917D8" w:rsidRDefault="004B69A9" w:rsidP="004B69A9">
            <w:pPr>
              <w:jc w:val="center"/>
              <w:rPr>
                <w:rFonts w:ascii="Arial" w:eastAsiaTheme="minorEastAsia" w:hAnsi="Arial" w:cs="Arial"/>
                <w:i/>
              </w:rPr>
            </w:pPr>
            <w:r w:rsidRPr="006917D8">
              <w:rPr>
                <w:rFonts w:ascii="Arial" w:eastAsiaTheme="minorEastAsia" w:hAnsi="Arial" w:cs="Arial"/>
                <w:lang w:val="en-US"/>
              </w:rPr>
              <w:t>(MPa</w:t>
            </w:r>
            <w:r w:rsidRPr="006917D8">
              <w:rPr>
                <w:rFonts w:ascii="Arial" w:eastAsiaTheme="minorEastAsia" w:hAnsi="Arial" w:cs="Arial"/>
                <w:vertAlign w:val="superscript"/>
                <w:lang w:val="en-US"/>
              </w:rPr>
              <w:t>-1</w:t>
            </w:r>
            <w:r w:rsidRPr="006917D8">
              <w:rPr>
                <w:rFonts w:ascii="Arial" w:eastAsiaTheme="minorEastAsia" w:hAnsi="Arial" w:cs="Arial"/>
                <w:lang w:val="en-US"/>
              </w:rPr>
              <w:t>)</w:t>
            </w:r>
          </w:p>
        </w:tc>
        <w:tc>
          <w:tcPr>
            <w:tcW w:w="851" w:type="dxa"/>
            <w:tcBorders>
              <w:top w:val="single" w:sz="18" w:space="0" w:color="000000"/>
              <w:bottom w:val="single" w:sz="2" w:space="0" w:color="auto"/>
            </w:tcBorders>
            <w:hideMark/>
          </w:tcPr>
          <w:p w14:paraId="0BB3AC98" w14:textId="7B0FB686" w:rsidR="004B69A9" w:rsidRPr="006917D8" w:rsidRDefault="00AA7594" w:rsidP="004B69A9">
            <w:pPr>
              <w:jc w:val="center"/>
              <w:rPr>
                <w:rFonts w:ascii="Arial" w:eastAsiaTheme="minorEastAsia" w:hAnsi="Arial" w:cs="Arial"/>
                <w:i/>
              </w:rPr>
            </w:pPr>
            <m:oMath>
              <m:sSub>
                <m:sSubPr>
                  <m:ctrlPr>
                    <w:rPr>
                      <w:rFonts w:ascii="Cambria Math" w:eastAsiaTheme="minorEastAsia" w:hAnsi="Cambria Math" w:cs="Arial"/>
                      <w:i/>
                      <w:iCs/>
                    </w:rPr>
                  </m:ctrlPr>
                </m:sSubPr>
                <m:e>
                  <m:r>
                    <w:rPr>
                      <w:rFonts w:ascii="Cambria Math" w:hAnsi="Cambria Math" w:cs="Arial"/>
                    </w:rPr>
                    <m:t>k</m:t>
                  </m:r>
                </m:e>
                <m:sub>
                  <m:r>
                    <w:rPr>
                      <w:rFonts w:ascii="Cambria Math" w:hAnsi="Cambria Math" w:cs="Arial"/>
                    </w:rPr>
                    <m:t>1</m:t>
                  </m:r>
                </m:sub>
              </m:sSub>
            </m:oMath>
            <w:r w:rsidR="004B69A9" w:rsidRPr="006917D8">
              <w:rPr>
                <w:rFonts w:ascii="Arial" w:eastAsiaTheme="minorEastAsia" w:hAnsi="Arial" w:cs="Arial"/>
                <w:i/>
              </w:rPr>
              <w:t xml:space="preserve"> </w:t>
            </w:r>
            <w:r w:rsidR="004B69A9" w:rsidRPr="006917D8">
              <w:rPr>
                <w:rFonts w:ascii="Arial" w:eastAsiaTheme="minorEastAsia" w:hAnsi="Arial" w:cs="Arial"/>
              </w:rPr>
              <w:t>(MPa)</w:t>
            </w:r>
          </w:p>
        </w:tc>
        <w:tc>
          <w:tcPr>
            <w:tcW w:w="992" w:type="dxa"/>
            <w:tcBorders>
              <w:top w:val="single" w:sz="18" w:space="0" w:color="000000"/>
              <w:bottom w:val="single" w:sz="2" w:space="0" w:color="auto"/>
            </w:tcBorders>
            <w:hideMark/>
          </w:tcPr>
          <w:p w14:paraId="06F0F6BC" w14:textId="5D06EC69" w:rsidR="004B69A9" w:rsidRPr="006917D8" w:rsidRDefault="00AA7594" w:rsidP="004B69A9">
            <w:pPr>
              <w:jc w:val="center"/>
              <w:rPr>
                <w:rFonts w:ascii="Arial" w:eastAsiaTheme="minorEastAsia" w:hAnsi="Arial" w:cs="Arial"/>
                <w:i/>
              </w:rPr>
            </w:pPr>
            <m:oMathPara>
              <m:oMathParaPr>
                <m:jc m:val="centerGroup"/>
              </m:oMathParaPr>
              <m:oMath>
                <m:sSub>
                  <m:sSubPr>
                    <m:ctrlPr>
                      <w:rPr>
                        <w:rFonts w:ascii="Cambria Math" w:eastAsiaTheme="minorEastAsia" w:hAnsi="Cambria Math" w:cs="Arial"/>
                        <w:i/>
                        <w:iCs/>
                      </w:rPr>
                    </m:ctrlPr>
                  </m:sSubPr>
                  <m:e>
                    <m:r>
                      <w:rPr>
                        <w:rFonts w:ascii="Cambria Math" w:hAnsi="Cambria Math" w:cs="Arial"/>
                      </w:rPr>
                      <m:t>k</m:t>
                    </m:r>
                  </m:e>
                  <m:sub>
                    <m:r>
                      <w:rPr>
                        <w:rFonts w:ascii="Cambria Math" w:hAnsi="Cambria Math" w:cs="Arial"/>
                      </w:rPr>
                      <m:t>2</m:t>
                    </m:r>
                  </m:sub>
                </m:sSub>
              </m:oMath>
            </m:oMathPara>
          </w:p>
        </w:tc>
        <w:tc>
          <w:tcPr>
            <w:tcW w:w="1276" w:type="dxa"/>
            <w:tcBorders>
              <w:top w:val="single" w:sz="18" w:space="0" w:color="000000"/>
              <w:bottom w:val="single" w:sz="2" w:space="0" w:color="auto"/>
            </w:tcBorders>
            <w:hideMark/>
          </w:tcPr>
          <w:p w14:paraId="65364C45" w14:textId="71EA2DD7" w:rsidR="004B69A9" w:rsidRPr="006917D8" w:rsidRDefault="004B69A9" w:rsidP="004B69A9">
            <w:pPr>
              <w:jc w:val="center"/>
              <w:rPr>
                <w:rFonts w:ascii="Arial" w:eastAsiaTheme="minorEastAsia" w:hAnsi="Arial" w:cs="Arial"/>
                <w:i/>
              </w:rPr>
            </w:pPr>
            <m:oMathPara>
              <m:oMathParaPr>
                <m:jc m:val="centerGroup"/>
              </m:oMathParaPr>
              <m:oMath>
                <m:r>
                  <w:rPr>
                    <w:rFonts w:ascii="Cambria Math" w:hAnsi="Cambria Math" w:cs="Arial"/>
                    <w:lang w:val="ru-RU"/>
                  </w:rPr>
                  <m:t>κ</m:t>
                </m:r>
              </m:oMath>
            </m:oMathPara>
          </w:p>
        </w:tc>
        <w:tc>
          <w:tcPr>
            <w:tcW w:w="801" w:type="dxa"/>
            <w:tcBorders>
              <w:top w:val="single" w:sz="18" w:space="0" w:color="000000"/>
              <w:bottom w:val="single" w:sz="2" w:space="0" w:color="auto"/>
              <w:right w:val="single" w:sz="2" w:space="0" w:color="000000"/>
            </w:tcBorders>
            <w:hideMark/>
          </w:tcPr>
          <w:p w14:paraId="6F18DD93" w14:textId="14F57797" w:rsidR="004B69A9" w:rsidRPr="006917D8" w:rsidRDefault="004B69A9" w:rsidP="004B69A9">
            <w:pPr>
              <w:jc w:val="center"/>
              <w:rPr>
                <w:rFonts w:ascii="Arial" w:eastAsiaTheme="minorEastAsia" w:hAnsi="Arial" w:cs="Arial"/>
                <w:i/>
              </w:rPr>
            </w:pPr>
            <m:oMathPara>
              <m:oMath>
                <m:r>
                  <w:rPr>
                    <w:rFonts w:ascii="Cambria Math" w:hAnsi="Cambria Math" w:cs="Arial"/>
                  </w:rPr>
                  <m:t>φ</m:t>
                </m:r>
              </m:oMath>
            </m:oMathPara>
          </w:p>
          <w:p w14:paraId="27F94524" w14:textId="77777777" w:rsidR="004B69A9" w:rsidRPr="006917D8" w:rsidRDefault="004B69A9" w:rsidP="004B69A9">
            <w:pPr>
              <w:jc w:val="center"/>
              <w:rPr>
                <w:rFonts w:ascii="Arial" w:eastAsiaTheme="minorEastAsia" w:hAnsi="Arial" w:cs="Arial"/>
              </w:rPr>
            </w:pPr>
            <w:r w:rsidRPr="006917D8">
              <w:rPr>
                <w:rFonts w:ascii="Arial" w:eastAsiaTheme="minorEastAsia" w:hAnsi="Arial" w:cs="Arial"/>
              </w:rPr>
              <w:t>(°)</w:t>
            </w:r>
          </w:p>
        </w:tc>
      </w:tr>
      <w:tr w:rsidR="004B69A9" w:rsidRPr="006917D8" w14:paraId="6C77E26B" w14:textId="77777777" w:rsidTr="00FB5972">
        <w:trPr>
          <w:cantSplit/>
          <w:trHeight w:val="20"/>
          <w:jc w:val="center"/>
        </w:trPr>
        <w:tc>
          <w:tcPr>
            <w:tcW w:w="1273" w:type="dxa"/>
            <w:vMerge/>
            <w:tcBorders>
              <w:left w:val="single" w:sz="2" w:space="0" w:color="000000"/>
              <w:right w:val="single" w:sz="2" w:space="0" w:color="000000"/>
            </w:tcBorders>
            <w:vAlign w:val="center"/>
            <w:hideMark/>
          </w:tcPr>
          <w:p w14:paraId="0BACBC0C" w14:textId="77777777" w:rsidR="004B69A9" w:rsidRPr="006917D8" w:rsidRDefault="004B69A9" w:rsidP="004B69A9">
            <w:pPr>
              <w:jc w:val="center"/>
              <w:rPr>
                <w:rFonts w:ascii="Arial" w:hAnsi="Arial" w:cs="Arial"/>
                <w:bCs/>
              </w:rPr>
            </w:pPr>
          </w:p>
        </w:tc>
        <w:tc>
          <w:tcPr>
            <w:tcW w:w="1276" w:type="dxa"/>
            <w:tcBorders>
              <w:top w:val="single" w:sz="2" w:space="0" w:color="auto"/>
              <w:left w:val="single" w:sz="2" w:space="0" w:color="000000"/>
              <w:bottom w:val="single" w:sz="18" w:space="0" w:color="auto"/>
            </w:tcBorders>
            <w:vAlign w:val="center"/>
            <w:hideMark/>
          </w:tcPr>
          <w:p w14:paraId="7CB6CB62" w14:textId="77777777" w:rsidR="004B69A9" w:rsidRPr="006917D8" w:rsidRDefault="004B69A9" w:rsidP="004B69A9">
            <w:pPr>
              <w:jc w:val="center"/>
              <w:rPr>
                <w:rFonts w:ascii="Arial" w:hAnsi="Arial" w:cs="Arial"/>
                <w:bCs/>
              </w:rPr>
            </w:pPr>
            <w:r w:rsidRPr="006917D8">
              <w:rPr>
                <w:rFonts w:ascii="Arial" w:hAnsi="Arial" w:cs="Arial"/>
                <w:bCs/>
                <w:lang w:val="en-US"/>
              </w:rPr>
              <w:t>1.066E-9</w:t>
            </w:r>
          </w:p>
        </w:tc>
        <w:tc>
          <w:tcPr>
            <w:tcW w:w="1559" w:type="dxa"/>
            <w:tcBorders>
              <w:top w:val="single" w:sz="2" w:space="0" w:color="auto"/>
              <w:bottom w:val="single" w:sz="18" w:space="0" w:color="auto"/>
            </w:tcBorders>
            <w:vAlign w:val="center"/>
            <w:hideMark/>
          </w:tcPr>
          <w:p w14:paraId="0BA56332" w14:textId="77777777" w:rsidR="004B69A9" w:rsidRPr="006917D8" w:rsidRDefault="004B69A9" w:rsidP="004B69A9">
            <w:pPr>
              <w:jc w:val="center"/>
              <w:rPr>
                <w:rFonts w:ascii="Arial" w:hAnsi="Arial" w:cs="Arial"/>
                <w:bCs/>
              </w:rPr>
            </w:pPr>
            <w:r w:rsidRPr="006917D8">
              <w:rPr>
                <w:rFonts w:ascii="Arial" w:hAnsi="Arial" w:cs="Arial"/>
                <w:bCs/>
                <w:lang w:val="en-US"/>
              </w:rPr>
              <w:t>0.020</w:t>
            </w:r>
          </w:p>
        </w:tc>
        <w:tc>
          <w:tcPr>
            <w:tcW w:w="992" w:type="dxa"/>
            <w:tcBorders>
              <w:top w:val="single" w:sz="2" w:space="0" w:color="auto"/>
              <w:bottom w:val="single" w:sz="18" w:space="0" w:color="auto"/>
            </w:tcBorders>
            <w:vAlign w:val="center"/>
            <w:hideMark/>
          </w:tcPr>
          <w:p w14:paraId="62DB1A8D" w14:textId="77777777" w:rsidR="004B69A9" w:rsidRPr="006917D8" w:rsidRDefault="004B69A9" w:rsidP="004B69A9">
            <w:pPr>
              <w:jc w:val="center"/>
              <w:rPr>
                <w:rFonts w:ascii="Arial" w:hAnsi="Arial" w:cs="Arial"/>
                <w:bCs/>
              </w:rPr>
            </w:pPr>
            <w:r w:rsidRPr="006917D8">
              <w:rPr>
                <w:rFonts w:ascii="Arial" w:hAnsi="Arial" w:cs="Arial"/>
                <w:bCs/>
              </w:rPr>
              <w:t>0.001</w:t>
            </w:r>
          </w:p>
        </w:tc>
        <w:tc>
          <w:tcPr>
            <w:tcW w:w="851" w:type="dxa"/>
            <w:tcBorders>
              <w:top w:val="single" w:sz="2" w:space="0" w:color="auto"/>
              <w:bottom w:val="single" w:sz="18" w:space="0" w:color="auto"/>
            </w:tcBorders>
            <w:vAlign w:val="center"/>
            <w:hideMark/>
          </w:tcPr>
          <w:p w14:paraId="0A968591" w14:textId="77777777" w:rsidR="004B69A9" w:rsidRPr="006917D8" w:rsidRDefault="004B69A9" w:rsidP="004B69A9">
            <w:pPr>
              <w:jc w:val="center"/>
              <w:rPr>
                <w:rFonts w:ascii="Arial" w:hAnsi="Arial" w:cs="Arial"/>
                <w:bCs/>
              </w:rPr>
            </w:pPr>
            <w:r w:rsidRPr="006917D8">
              <w:rPr>
                <w:rFonts w:ascii="Arial" w:hAnsi="Arial" w:cs="Arial"/>
                <w:bCs/>
              </w:rPr>
              <w:t>0.112</w:t>
            </w:r>
          </w:p>
        </w:tc>
        <w:tc>
          <w:tcPr>
            <w:tcW w:w="992" w:type="dxa"/>
            <w:tcBorders>
              <w:top w:val="single" w:sz="2" w:space="0" w:color="auto"/>
              <w:bottom w:val="single" w:sz="18" w:space="0" w:color="auto"/>
            </w:tcBorders>
            <w:vAlign w:val="center"/>
            <w:hideMark/>
          </w:tcPr>
          <w:p w14:paraId="4B8EC632" w14:textId="77777777" w:rsidR="004B69A9" w:rsidRPr="006917D8" w:rsidRDefault="004B69A9" w:rsidP="004B69A9">
            <w:pPr>
              <w:jc w:val="center"/>
              <w:rPr>
                <w:rFonts w:ascii="Arial" w:hAnsi="Arial" w:cs="Arial"/>
                <w:bCs/>
              </w:rPr>
            </w:pPr>
            <w:r w:rsidRPr="006917D8">
              <w:rPr>
                <w:rFonts w:ascii="Arial" w:hAnsi="Arial" w:cs="Arial"/>
                <w:bCs/>
                <w:lang w:val="en-US"/>
              </w:rPr>
              <w:t>20.610</w:t>
            </w:r>
          </w:p>
        </w:tc>
        <w:tc>
          <w:tcPr>
            <w:tcW w:w="1276" w:type="dxa"/>
            <w:tcBorders>
              <w:top w:val="single" w:sz="2" w:space="0" w:color="auto"/>
              <w:bottom w:val="single" w:sz="18" w:space="0" w:color="auto"/>
            </w:tcBorders>
            <w:vAlign w:val="center"/>
            <w:hideMark/>
          </w:tcPr>
          <w:p w14:paraId="3F5640AF" w14:textId="77777777" w:rsidR="004B69A9" w:rsidRPr="006917D8" w:rsidRDefault="004B69A9" w:rsidP="004B69A9">
            <w:pPr>
              <w:jc w:val="center"/>
              <w:rPr>
                <w:rFonts w:ascii="Arial" w:hAnsi="Arial" w:cs="Arial"/>
                <w:bCs/>
              </w:rPr>
            </w:pPr>
            <w:r w:rsidRPr="006917D8">
              <w:rPr>
                <w:rFonts w:ascii="Arial" w:hAnsi="Arial" w:cs="Arial"/>
                <w:bCs/>
                <w:lang w:val="en-US"/>
              </w:rPr>
              <w:t>0.24</w:t>
            </w:r>
          </w:p>
        </w:tc>
        <w:tc>
          <w:tcPr>
            <w:tcW w:w="801" w:type="dxa"/>
            <w:tcBorders>
              <w:top w:val="single" w:sz="2" w:space="0" w:color="auto"/>
              <w:bottom w:val="single" w:sz="18" w:space="0" w:color="auto"/>
              <w:right w:val="single" w:sz="2" w:space="0" w:color="000000"/>
            </w:tcBorders>
            <w:vAlign w:val="center"/>
            <w:hideMark/>
          </w:tcPr>
          <w:p w14:paraId="6AFC4F37" w14:textId="77777777" w:rsidR="004B69A9" w:rsidRPr="006917D8" w:rsidRDefault="004B69A9" w:rsidP="004B69A9">
            <w:pPr>
              <w:jc w:val="center"/>
              <w:rPr>
                <w:rFonts w:ascii="Arial" w:hAnsi="Arial" w:cs="Arial"/>
                <w:bCs/>
              </w:rPr>
            </w:pPr>
            <w:r w:rsidRPr="006917D8">
              <w:rPr>
                <w:rFonts w:ascii="Arial" w:hAnsi="Arial" w:cs="Arial"/>
                <w:bCs/>
                <w:lang w:val="en-US"/>
              </w:rPr>
              <w:t>41.0</w:t>
            </w:r>
          </w:p>
        </w:tc>
      </w:tr>
      <w:tr w:rsidR="004B69A9" w:rsidRPr="006917D8" w14:paraId="0544EEEF" w14:textId="77777777" w:rsidTr="00FB5972">
        <w:trPr>
          <w:cantSplit/>
          <w:trHeight w:val="20"/>
          <w:jc w:val="center"/>
        </w:trPr>
        <w:tc>
          <w:tcPr>
            <w:tcW w:w="1273" w:type="dxa"/>
            <w:vMerge/>
            <w:tcBorders>
              <w:left w:val="single" w:sz="2" w:space="0" w:color="000000"/>
              <w:right w:val="single" w:sz="2" w:space="0" w:color="000000"/>
            </w:tcBorders>
            <w:vAlign w:val="center"/>
          </w:tcPr>
          <w:p w14:paraId="4E36235F" w14:textId="77777777" w:rsidR="004B69A9" w:rsidRPr="006917D8" w:rsidRDefault="004B69A9" w:rsidP="004B69A9">
            <w:pPr>
              <w:jc w:val="center"/>
              <w:rPr>
                <w:rFonts w:ascii="Arial" w:hAnsi="Arial" w:cs="Arial"/>
                <w:bCs/>
              </w:rPr>
            </w:pPr>
          </w:p>
        </w:tc>
        <w:tc>
          <w:tcPr>
            <w:tcW w:w="1276" w:type="dxa"/>
            <w:tcBorders>
              <w:top w:val="single" w:sz="18" w:space="0" w:color="auto"/>
              <w:left w:val="single" w:sz="2" w:space="0" w:color="000000"/>
              <w:bottom w:val="single" w:sz="2" w:space="0" w:color="auto"/>
              <w:right w:val="single" w:sz="2" w:space="0" w:color="auto"/>
            </w:tcBorders>
            <w:vAlign w:val="center"/>
          </w:tcPr>
          <w:p w14:paraId="0DF7E123" w14:textId="49AEE657" w:rsidR="004B69A9" w:rsidRPr="006917D8" w:rsidRDefault="00AA7594" w:rsidP="004B69A9">
            <w:pPr>
              <w:jc w:val="center"/>
              <w:rPr>
                <w:rFonts w:ascii="Arial" w:hAnsi="Arial" w:cs="Arial"/>
                <w:bCs/>
              </w:rPr>
            </w:pPr>
            <m:oMath>
              <m:sSubSup>
                <m:sSubSupPr>
                  <m:ctrlPr>
                    <w:rPr>
                      <w:rFonts w:ascii="Cambria Math" w:hAnsi="Cambria Math" w:cs="Arial"/>
                      <w:bCs/>
                    </w:rPr>
                  </m:ctrlPr>
                </m:sSubSupPr>
                <m:e>
                  <m:r>
                    <w:rPr>
                      <w:rFonts w:ascii="Cambria Math" w:hAnsi="Cambria Math" w:cs="Arial"/>
                    </w:rPr>
                    <m:t>C</m:t>
                  </m:r>
                </m:e>
                <m:sub>
                  <m:r>
                    <m:rPr>
                      <m:sty m:val="p"/>
                    </m:rPr>
                    <w:rPr>
                      <w:rFonts w:ascii="Cambria Math" w:hAnsi="Cambria Math" w:cs="Arial"/>
                    </w:rPr>
                    <m:t>10</m:t>
                  </m:r>
                </m:sub>
                <m:sup>
                  <m:r>
                    <m:rPr>
                      <m:sty m:val="p"/>
                    </m:rPr>
                    <w:rPr>
                      <w:rFonts w:ascii="Cambria Math" w:hAnsi="Cambria Math" w:cs="Arial"/>
                    </w:rPr>
                    <m:t>*</m:t>
                  </m:r>
                </m:sup>
              </m:sSubSup>
            </m:oMath>
            <w:r w:rsidR="004B69A9" w:rsidRPr="006917D8">
              <w:rPr>
                <w:rFonts w:ascii="Arial" w:hAnsi="Arial" w:cs="Arial"/>
                <w:bCs/>
              </w:rPr>
              <w:t xml:space="preserve"> (MPa)</w:t>
            </w:r>
          </w:p>
        </w:tc>
        <w:tc>
          <w:tcPr>
            <w:tcW w:w="1559" w:type="dxa"/>
            <w:tcBorders>
              <w:top w:val="single" w:sz="18" w:space="0" w:color="auto"/>
              <w:left w:val="single" w:sz="2" w:space="0" w:color="auto"/>
              <w:bottom w:val="single" w:sz="2" w:space="0" w:color="auto"/>
            </w:tcBorders>
            <w:vAlign w:val="center"/>
          </w:tcPr>
          <w:p w14:paraId="7984A539" w14:textId="08E15E9F" w:rsidR="004B69A9" w:rsidRPr="006917D8" w:rsidRDefault="00AA7594" w:rsidP="004B69A9">
            <w:pPr>
              <w:jc w:val="center"/>
              <w:rPr>
                <w:rFonts w:ascii="Arial" w:hAnsi="Arial" w:cs="Arial"/>
                <w:bCs/>
              </w:rPr>
            </w:pPr>
            <m:oMathPara>
              <m:oMath>
                <m:sSubSup>
                  <m:sSubSupPr>
                    <m:ctrlPr>
                      <w:rPr>
                        <w:rFonts w:ascii="Cambria Math" w:hAnsi="Cambria Math" w:cs="Arial"/>
                        <w:bCs/>
                      </w:rPr>
                    </m:ctrlPr>
                  </m:sSubSupPr>
                  <m:e>
                    <m:r>
                      <w:rPr>
                        <w:rFonts w:ascii="Cambria Math" w:hAnsi="Cambria Math" w:cs="Arial"/>
                      </w:rPr>
                      <m:t>k</m:t>
                    </m:r>
                  </m:e>
                  <m:sub>
                    <m:r>
                      <m:rPr>
                        <m:sty m:val="p"/>
                      </m:rPr>
                      <w:rPr>
                        <w:rFonts w:ascii="Cambria Math" w:hAnsi="Cambria Math" w:cs="Arial"/>
                      </w:rPr>
                      <m:t>1</m:t>
                    </m:r>
                  </m:sub>
                  <m:sup>
                    <m:r>
                      <m:rPr>
                        <m:sty m:val="p"/>
                      </m:rPr>
                      <w:rPr>
                        <w:rFonts w:ascii="Cambria Math" w:hAnsi="Cambria Math" w:cs="Arial"/>
                      </w:rPr>
                      <m:t>*</m:t>
                    </m:r>
                  </m:sup>
                </m:sSubSup>
              </m:oMath>
            </m:oMathPara>
          </w:p>
          <w:p w14:paraId="70C36DAC" w14:textId="77777777" w:rsidR="004B69A9" w:rsidRPr="006917D8" w:rsidRDefault="004B69A9" w:rsidP="004B69A9">
            <w:pPr>
              <w:jc w:val="center"/>
              <w:rPr>
                <w:rFonts w:ascii="Arial" w:hAnsi="Arial" w:cs="Arial"/>
                <w:bCs/>
                <w:lang w:val="en-US"/>
              </w:rPr>
            </w:pPr>
            <w:r w:rsidRPr="006917D8">
              <w:rPr>
                <w:rFonts w:ascii="Arial" w:hAnsi="Arial" w:cs="Arial"/>
                <w:bCs/>
              </w:rPr>
              <w:t>(MPa)</w:t>
            </w:r>
          </w:p>
        </w:tc>
        <w:tc>
          <w:tcPr>
            <w:tcW w:w="992" w:type="dxa"/>
            <w:tcBorders>
              <w:top w:val="single" w:sz="18" w:space="0" w:color="auto"/>
              <w:bottom w:val="single" w:sz="2" w:space="0" w:color="auto"/>
            </w:tcBorders>
            <w:vAlign w:val="center"/>
          </w:tcPr>
          <w:p w14:paraId="145343F7" w14:textId="6E1204B0" w:rsidR="004B69A9" w:rsidRPr="006917D8" w:rsidRDefault="00AA7594" w:rsidP="004B69A9">
            <w:pPr>
              <w:jc w:val="center"/>
              <w:rPr>
                <w:rFonts w:ascii="Arial" w:hAnsi="Arial" w:cs="Arial"/>
                <w:bCs/>
              </w:rPr>
            </w:pPr>
            <m:oMathPara>
              <m:oMath>
                <m:sSubSup>
                  <m:sSubSupPr>
                    <m:ctrlPr>
                      <w:rPr>
                        <w:rFonts w:ascii="Cambria Math" w:hAnsi="Cambria Math" w:cs="Arial"/>
                        <w:bCs/>
                      </w:rPr>
                    </m:ctrlPr>
                  </m:sSubSupPr>
                  <m:e>
                    <m:r>
                      <w:rPr>
                        <w:rFonts w:ascii="Cambria Math" w:hAnsi="Cambria Math" w:cs="Arial"/>
                      </w:rPr>
                      <m:t>k</m:t>
                    </m:r>
                  </m:e>
                  <m:sub>
                    <m:r>
                      <m:rPr>
                        <m:sty m:val="p"/>
                      </m:rPr>
                      <w:rPr>
                        <w:rFonts w:ascii="Cambria Math" w:hAnsi="Cambria Math" w:cs="Arial"/>
                      </w:rPr>
                      <m:t>2</m:t>
                    </m:r>
                  </m:sub>
                  <m:sup>
                    <m:r>
                      <m:rPr>
                        <m:sty m:val="p"/>
                      </m:rPr>
                      <w:rPr>
                        <w:rFonts w:ascii="Cambria Math" w:hAnsi="Cambria Math" w:cs="Arial"/>
                      </w:rPr>
                      <m:t>*</m:t>
                    </m:r>
                  </m:sup>
                </m:sSubSup>
              </m:oMath>
            </m:oMathPara>
          </w:p>
        </w:tc>
        <w:tc>
          <w:tcPr>
            <w:tcW w:w="851" w:type="dxa"/>
            <w:tcBorders>
              <w:top w:val="single" w:sz="18" w:space="0" w:color="auto"/>
              <w:bottom w:val="single" w:sz="2" w:space="0" w:color="auto"/>
            </w:tcBorders>
            <w:vAlign w:val="center"/>
          </w:tcPr>
          <w:p w14:paraId="59632489" w14:textId="12E48274" w:rsidR="004B69A9" w:rsidRPr="006917D8" w:rsidRDefault="00AA7594" w:rsidP="004B69A9">
            <w:pPr>
              <w:jc w:val="center"/>
              <w:rPr>
                <w:rFonts w:ascii="Arial" w:hAnsi="Arial" w:cs="Arial"/>
                <w:bCs/>
              </w:rPr>
            </w:pPr>
            <m:oMathPara>
              <m:oMath>
                <m:sSup>
                  <m:sSupPr>
                    <m:ctrlPr>
                      <w:rPr>
                        <w:rFonts w:ascii="Cambria Math" w:hAnsi="Cambria Math" w:cs="Arial"/>
                        <w:bCs/>
                      </w:rPr>
                    </m:ctrlPr>
                  </m:sSupPr>
                  <m:e>
                    <m:r>
                      <w:rPr>
                        <w:rFonts w:ascii="Cambria Math" w:hAnsi="Cambria Math" w:cs="Arial"/>
                        <w:lang w:val="ru-RU"/>
                      </w:rPr>
                      <m:t>κ</m:t>
                    </m:r>
                  </m:e>
                  <m:sup>
                    <m:r>
                      <m:rPr>
                        <m:sty m:val="p"/>
                      </m:rPr>
                      <w:rPr>
                        <w:rFonts w:ascii="Cambria Math" w:hAnsi="Cambria Math" w:cs="Arial"/>
                      </w:rPr>
                      <m:t>*</m:t>
                    </m:r>
                  </m:sup>
                </m:sSup>
              </m:oMath>
            </m:oMathPara>
          </w:p>
        </w:tc>
        <w:tc>
          <w:tcPr>
            <w:tcW w:w="992" w:type="dxa"/>
            <w:tcBorders>
              <w:top w:val="single" w:sz="18" w:space="0" w:color="auto"/>
              <w:bottom w:val="single" w:sz="2" w:space="0" w:color="auto"/>
            </w:tcBorders>
            <w:vAlign w:val="center"/>
          </w:tcPr>
          <w:p w14:paraId="4B7D7263" w14:textId="649F0BBC" w:rsidR="004B69A9" w:rsidRPr="006917D8" w:rsidRDefault="00AA7594" w:rsidP="004B69A9">
            <w:pPr>
              <w:jc w:val="center"/>
              <w:rPr>
                <w:rFonts w:ascii="Arial" w:hAnsi="Arial" w:cs="Arial"/>
                <w:bCs/>
                <w:lang w:val="en-US"/>
              </w:rPr>
            </w:pPr>
            <m:oMathPara>
              <m:oMath>
                <m:sSub>
                  <m:sSubPr>
                    <m:ctrlPr>
                      <w:rPr>
                        <w:rFonts w:ascii="Cambria Math" w:hAnsi="Cambria Math" w:cs="Arial"/>
                        <w:bCs/>
                        <w:i/>
                        <w:iCs/>
                      </w:rPr>
                    </m:ctrlPr>
                  </m:sSubPr>
                  <m:e>
                    <m:r>
                      <w:rPr>
                        <w:rFonts w:ascii="Cambria Math" w:hAnsi="Cambria Math" w:cs="Arial"/>
                      </w:rPr>
                      <m:t>r</m:t>
                    </m:r>
                  </m:e>
                  <m:sub>
                    <m:r>
                      <w:rPr>
                        <w:rFonts w:ascii="Cambria Math" w:hAnsi="Cambria Math" w:cs="Arial"/>
                      </w:rPr>
                      <m:t>f</m:t>
                    </m:r>
                  </m:sub>
                </m:sSub>
              </m:oMath>
            </m:oMathPara>
          </w:p>
        </w:tc>
        <w:tc>
          <w:tcPr>
            <w:tcW w:w="1276" w:type="dxa"/>
            <w:tcBorders>
              <w:top w:val="single" w:sz="18" w:space="0" w:color="auto"/>
              <w:bottom w:val="single" w:sz="2" w:space="0" w:color="auto"/>
            </w:tcBorders>
            <w:vAlign w:val="center"/>
          </w:tcPr>
          <w:p w14:paraId="269A18E8" w14:textId="32A1AE1D" w:rsidR="004B69A9" w:rsidRPr="006917D8" w:rsidRDefault="00AA7594" w:rsidP="004B69A9">
            <w:pPr>
              <w:jc w:val="center"/>
              <w:rPr>
                <w:rFonts w:ascii="Arial" w:hAnsi="Arial" w:cs="Arial"/>
                <w:bCs/>
                <w:iCs/>
              </w:rPr>
            </w:pPr>
            <m:oMath>
              <m:sSub>
                <m:sSubPr>
                  <m:ctrlPr>
                    <w:rPr>
                      <w:rFonts w:ascii="Cambria Math" w:hAnsi="Cambria Math" w:cs="Arial"/>
                      <w:bCs/>
                      <w:i/>
                      <w:iCs/>
                    </w:rPr>
                  </m:ctrlPr>
                </m:sSubPr>
                <m:e>
                  <m:r>
                    <w:rPr>
                      <w:rFonts w:ascii="Cambria Math" w:hAnsi="Cambria Math" w:cs="Arial"/>
                    </w:rPr>
                    <m:t>m</m:t>
                  </m:r>
                </m:e>
                <m:sub>
                  <m:r>
                    <w:rPr>
                      <w:rFonts w:ascii="Cambria Math" w:hAnsi="Cambria Math" w:cs="Arial"/>
                    </w:rPr>
                    <m:t>f</m:t>
                  </m:r>
                </m:sub>
              </m:sSub>
            </m:oMath>
            <w:r w:rsidR="004B69A9" w:rsidRPr="006917D8">
              <w:rPr>
                <w:rFonts w:ascii="Arial" w:hAnsi="Arial" w:cs="Arial"/>
                <w:bCs/>
                <w:iCs/>
              </w:rPr>
              <w:t xml:space="preserve"> </w:t>
            </w:r>
            <w:r w:rsidR="004B69A9" w:rsidRPr="006917D8">
              <w:rPr>
                <w:rFonts w:ascii="Arial" w:hAnsi="Arial" w:cs="Arial"/>
                <w:bCs/>
              </w:rPr>
              <w:t>(MPa)</w:t>
            </w:r>
          </w:p>
        </w:tc>
        <w:tc>
          <w:tcPr>
            <w:tcW w:w="801" w:type="dxa"/>
            <w:tcBorders>
              <w:top w:val="single" w:sz="18" w:space="0" w:color="auto"/>
              <w:bottom w:val="single" w:sz="2" w:space="0" w:color="auto"/>
              <w:right w:val="single" w:sz="2" w:space="0" w:color="000000"/>
            </w:tcBorders>
            <w:vAlign w:val="center"/>
          </w:tcPr>
          <w:p w14:paraId="00BA4710" w14:textId="0C1856D8" w:rsidR="004B69A9" w:rsidRPr="006917D8" w:rsidRDefault="00AA7594" w:rsidP="004B69A9">
            <w:pPr>
              <w:jc w:val="center"/>
              <w:rPr>
                <w:rFonts w:ascii="Arial" w:hAnsi="Arial" w:cs="Arial"/>
                <w:bCs/>
                <w:lang w:val="en-US"/>
              </w:rPr>
            </w:pPr>
            <m:oMathPara>
              <m:oMath>
                <m:sSub>
                  <m:sSubPr>
                    <m:ctrlPr>
                      <w:rPr>
                        <w:rFonts w:ascii="Cambria Math" w:hAnsi="Cambria Math" w:cs="Arial"/>
                        <w:bCs/>
                        <w:i/>
                        <w:iCs/>
                      </w:rPr>
                    </m:ctrlPr>
                  </m:sSubPr>
                  <m:e>
                    <m:r>
                      <w:rPr>
                        <w:rFonts w:ascii="Cambria Math" w:hAnsi="Cambria Math" w:cs="Arial"/>
                      </w:rPr>
                      <m:t>m</m:t>
                    </m:r>
                  </m:e>
                  <m:sub>
                    <m:r>
                      <w:rPr>
                        <w:rFonts w:ascii="Cambria Math" w:hAnsi="Cambria Math" w:cs="Arial"/>
                      </w:rPr>
                      <m:t>2</m:t>
                    </m:r>
                  </m:sub>
                </m:sSub>
              </m:oMath>
            </m:oMathPara>
          </w:p>
        </w:tc>
      </w:tr>
      <w:tr w:rsidR="004B69A9" w:rsidRPr="006917D8" w14:paraId="5892D941" w14:textId="77777777" w:rsidTr="00FB5972">
        <w:trPr>
          <w:cantSplit/>
          <w:trHeight w:val="20"/>
          <w:jc w:val="center"/>
        </w:trPr>
        <w:tc>
          <w:tcPr>
            <w:tcW w:w="1273" w:type="dxa"/>
            <w:vMerge/>
            <w:tcBorders>
              <w:left w:val="single" w:sz="2" w:space="0" w:color="000000"/>
              <w:right w:val="single" w:sz="2" w:space="0" w:color="000000"/>
            </w:tcBorders>
            <w:vAlign w:val="center"/>
          </w:tcPr>
          <w:p w14:paraId="408EEA31" w14:textId="77777777" w:rsidR="004B69A9" w:rsidRPr="006917D8" w:rsidRDefault="004B69A9" w:rsidP="004B69A9">
            <w:pPr>
              <w:jc w:val="center"/>
              <w:rPr>
                <w:rFonts w:ascii="Arial" w:hAnsi="Arial" w:cs="Arial"/>
                <w:bCs/>
              </w:rPr>
            </w:pPr>
          </w:p>
        </w:tc>
        <w:tc>
          <w:tcPr>
            <w:tcW w:w="1276" w:type="dxa"/>
            <w:tcBorders>
              <w:top w:val="single" w:sz="2" w:space="0" w:color="auto"/>
              <w:left w:val="single" w:sz="2" w:space="0" w:color="000000"/>
              <w:bottom w:val="single" w:sz="2" w:space="0" w:color="auto"/>
            </w:tcBorders>
            <w:vAlign w:val="center"/>
          </w:tcPr>
          <w:p w14:paraId="45BB34F2" w14:textId="77777777" w:rsidR="004B69A9" w:rsidRPr="006917D8" w:rsidRDefault="004B69A9" w:rsidP="004B69A9">
            <w:pPr>
              <w:jc w:val="center"/>
              <w:rPr>
                <w:rFonts w:ascii="Arial" w:hAnsi="Arial" w:cs="Arial"/>
                <w:bCs/>
                <w:lang w:val="en-US"/>
              </w:rPr>
            </w:pPr>
            <w:r w:rsidRPr="006917D8">
              <w:rPr>
                <w:rFonts w:ascii="Arial" w:hAnsi="Arial" w:cs="Arial"/>
                <w:bCs/>
                <w:lang w:val="en-US"/>
              </w:rPr>
              <w:t>0.000529</w:t>
            </w:r>
          </w:p>
        </w:tc>
        <w:tc>
          <w:tcPr>
            <w:tcW w:w="1559" w:type="dxa"/>
            <w:tcBorders>
              <w:top w:val="single" w:sz="2" w:space="0" w:color="auto"/>
              <w:bottom w:val="single" w:sz="2" w:space="0" w:color="auto"/>
            </w:tcBorders>
            <w:vAlign w:val="center"/>
          </w:tcPr>
          <w:p w14:paraId="39EB0C05" w14:textId="77777777" w:rsidR="004B69A9" w:rsidRPr="006917D8" w:rsidRDefault="004B69A9" w:rsidP="004B69A9">
            <w:pPr>
              <w:jc w:val="center"/>
              <w:rPr>
                <w:rFonts w:ascii="Arial" w:hAnsi="Arial" w:cs="Arial"/>
                <w:bCs/>
                <w:lang w:val="en-US"/>
              </w:rPr>
            </w:pPr>
            <w:r w:rsidRPr="006917D8">
              <w:rPr>
                <w:rFonts w:ascii="Arial" w:hAnsi="Arial" w:cs="Arial"/>
                <w:bCs/>
                <w:lang w:val="en-US"/>
              </w:rPr>
              <w:t>0.001648</w:t>
            </w:r>
          </w:p>
        </w:tc>
        <w:tc>
          <w:tcPr>
            <w:tcW w:w="992" w:type="dxa"/>
            <w:tcBorders>
              <w:top w:val="single" w:sz="2" w:space="0" w:color="auto"/>
              <w:bottom w:val="single" w:sz="2" w:space="0" w:color="auto"/>
            </w:tcBorders>
            <w:vAlign w:val="center"/>
          </w:tcPr>
          <w:p w14:paraId="0938E912" w14:textId="77777777" w:rsidR="004B69A9" w:rsidRPr="006917D8" w:rsidRDefault="004B69A9" w:rsidP="004B69A9">
            <w:pPr>
              <w:jc w:val="center"/>
              <w:rPr>
                <w:rFonts w:ascii="Arial" w:hAnsi="Arial" w:cs="Arial"/>
                <w:bCs/>
              </w:rPr>
            </w:pPr>
            <w:r w:rsidRPr="006917D8">
              <w:rPr>
                <w:rFonts w:ascii="Arial" w:hAnsi="Arial" w:cs="Arial"/>
                <w:bCs/>
                <w:lang w:val="en-US"/>
              </w:rPr>
              <w:t>0.028</w:t>
            </w:r>
          </w:p>
        </w:tc>
        <w:tc>
          <w:tcPr>
            <w:tcW w:w="851" w:type="dxa"/>
            <w:tcBorders>
              <w:top w:val="single" w:sz="2" w:space="0" w:color="auto"/>
              <w:bottom w:val="single" w:sz="2" w:space="0" w:color="auto"/>
            </w:tcBorders>
            <w:vAlign w:val="center"/>
          </w:tcPr>
          <w:p w14:paraId="6752156E" w14:textId="77777777" w:rsidR="004B69A9" w:rsidRPr="006917D8" w:rsidRDefault="004B69A9" w:rsidP="004B69A9">
            <w:pPr>
              <w:jc w:val="center"/>
              <w:rPr>
                <w:rFonts w:ascii="Arial" w:hAnsi="Arial" w:cs="Arial"/>
                <w:bCs/>
              </w:rPr>
            </w:pPr>
            <w:r w:rsidRPr="006917D8">
              <w:rPr>
                <w:rFonts w:ascii="Arial" w:hAnsi="Arial" w:cs="Arial"/>
                <w:bCs/>
                <w:lang w:val="en-US"/>
              </w:rPr>
              <w:t>0.27</w:t>
            </w:r>
          </w:p>
        </w:tc>
        <w:tc>
          <w:tcPr>
            <w:tcW w:w="992" w:type="dxa"/>
            <w:tcBorders>
              <w:top w:val="single" w:sz="2" w:space="0" w:color="auto"/>
              <w:bottom w:val="single" w:sz="2" w:space="0" w:color="auto"/>
            </w:tcBorders>
            <w:vAlign w:val="center"/>
          </w:tcPr>
          <w:p w14:paraId="530CF826" w14:textId="77777777" w:rsidR="004B69A9" w:rsidRPr="006917D8" w:rsidRDefault="004B69A9" w:rsidP="004B69A9">
            <w:pPr>
              <w:jc w:val="center"/>
              <w:rPr>
                <w:rFonts w:ascii="Arial" w:hAnsi="Arial" w:cs="Arial"/>
                <w:bCs/>
                <w:lang w:val="en-US"/>
              </w:rPr>
            </w:pPr>
            <w:r w:rsidRPr="006917D8">
              <w:rPr>
                <w:rFonts w:ascii="Arial" w:hAnsi="Arial" w:cs="Arial"/>
                <w:bCs/>
                <w:lang w:val="en-US"/>
              </w:rPr>
              <w:t>3.36</w:t>
            </w:r>
          </w:p>
        </w:tc>
        <w:tc>
          <w:tcPr>
            <w:tcW w:w="1276" w:type="dxa"/>
            <w:tcBorders>
              <w:top w:val="single" w:sz="2" w:space="0" w:color="auto"/>
              <w:bottom w:val="single" w:sz="2" w:space="0" w:color="auto"/>
            </w:tcBorders>
            <w:vAlign w:val="center"/>
          </w:tcPr>
          <w:p w14:paraId="3398A5D1" w14:textId="77777777" w:rsidR="004B69A9" w:rsidRPr="006917D8" w:rsidRDefault="004B69A9" w:rsidP="004B69A9">
            <w:pPr>
              <w:jc w:val="center"/>
              <w:rPr>
                <w:rFonts w:ascii="Arial" w:hAnsi="Arial" w:cs="Arial"/>
                <w:bCs/>
                <w:lang w:val="en-US"/>
              </w:rPr>
            </w:pPr>
            <w:r w:rsidRPr="006917D8">
              <w:rPr>
                <w:rFonts w:ascii="Arial" w:hAnsi="Arial" w:cs="Arial"/>
                <w:bCs/>
                <w:lang w:val="en-US"/>
              </w:rPr>
              <w:t>0.0151</w:t>
            </w:r>
          </w:p>
        </w:tc>
        <w:tc>
          <w:tcPr>
            <w:tcW w:w="801" w:type="dxa"/>
            <w:tcBorders>
              <w:top w:val="single" w:sz="2" w:space="0" w:color="auto"/>
              <w:bottom w:val="single" w:sz="2" w:space="0" w:color="auto"/>
              <w:right w:val="single" w:sz="2" w:space="0" w:color="000000"/>
            </w:tcBorders>
            <w:vAlign w:val="center"/>
          </w:tcPr>
          <w:p w14:paraId="021E1EDE" w14:textId="77777777" w:rsidR="004B69A9" w:rsidRPr="006917D8" w:rsidRDefault="004B69A9" w:rsidP="004B69A9">
            <w:pPr>
              <w:jc w:val="center"/>
              <w:rPr>
                <w:rFonts w:ascii="Arial" w:hAnsi="Arial" w:cs="Arial"/>
                <w:bCs/>
                <w:lang w:val="en-US"/>
              </w:rPr>
            </w:pPr>
            <w:r w:rsidRPr="006917D8">
              <w:rPr>
                <w:rFonts w:ascii="Arial" w:hAnsi="Arial" w:cs="Arial"/>
                <w:bCs/>
                <w:lang w:val="en-US"/>
              </w:rPr>
              <w:t>3.03</w:t>
            </w:r>
          </w:p>
        </w:tc>
      </w:tr>
      <w:tr w:rsidR="004B69A9" w:rsidRPr="006917D8" w14:paraId="32300786" w14:textId="77777777" w:rsidTr="00FB5972">
        <w:trPr>
          <w:cantSplit/>
          <w:trHeight w:val="20"/>
          <w:jc w:val="center"/>
        </w:trPr>
        <w:tc>
          <w:tcPr>
            <w:tcW w:w="1273" w:type="dxa"/>
            <w:vMerge w:val="restart"/>
            <w:tcBorders>
              <w:top w:val="single" w:sz="2" w:space="0" w:color="000000"/>
              <w:left w:val="single" w:sz="2" w:space="0" w:color="000000"/>
              <w:right w:val="single" w:sz="2" w:space="0" w:color="000000"/>
            </w:tcBorders>
            <w:vAlign w:val="center"/>
          </w:tcPr>
          <w:p w14:paraId="14A56BB5" w14:textId="77777777" w:rsidR="004B69A9" w:rsidRPr="006917D8" w:rsidRDefault="004B69A9" w:rsidP="004B69A9">
            <w:pPr>
              <w:jc w:val="center"/>
              <w:rPr>
                <w:rFonts w:ascii="Arial" w:hAnsi="Arial" w:cs="Arial"/>
                <w:bCs/>
              </w:rPr>
            </w:pPr>
            <w:r w:rsidRPr="006917D8">
              <w:rPr>
                <w:rFonts w:ascii="Arial" w:hAnsi="Arial" w:cs="Arial"/>
                <w:bCs/>
              </w:rPr>
              <w:t>Adventitia</w:t>
            </w:r>
          </w:p>
        </w:tc>
        <w:tc>
          <w:tcPr>
            <w:tcW w:w="1276" w:type="dxa"/>
            <w:tcBorders>
              <w:top w:val="single" w:sz="18" w:space="0" w:color="000000"/>
              <w:left w:val="single" w:sz="2" w:space="0" w:color="000000"/>
              <w:bottom w:val="single" w:sz="2" w:space="0" w:color="auto"/>
            </w:tcBorders>
          </w:tcPr>
          <w:p w14:paraId="2921C81C" w14:textId="77777777" w:rsidR="004B69A9" w:rsidRPr="006917D8" w:rsidRDefault="004B69A9" w:rsidP="004B69A9">
            <w:pPr>
              <w:jc w:val="center"/>
              <w:rPr>
                <w:rFonts w:ascii="Arial" w:hAnsi="Arial" w:cs="Arial"/>
                <w:bCs/>
                <w:i/>
                <w:lang w:val="en-US"/>
              </w:rPr>
            </w:pPr>
            <w:r w:rsidRPr="006917D8">
              <w:rPr>
                <w:rFonts w:ascii="Arial" w:hAnsi="Arial" w:cs="Arial"/>
                <w:bCs/>
                <w:i/>
                <w:lang w:val="en-US"/>
              </w:rPr>
              <w:t>ρ</w:t>
            </w:r>
          </w:p>
          <w:p w14:paraId="1006AD58" w14:textId="77777777" w:rsidR="004B69A9" w:rsidRPr="006917D8" w:rsidRDefault="004B69A9" w:rsidP="004B69A9">
            <w:pPr>
              <w:jc w:val="center"/>
              <w:rPr>
                <w:rFonts w:ascii="Arial" w:hAnsi="Arial" w:cs="Arial"/>
                <w:bCs/>
                <w:lang w:val="en-US"/>
              </w:rPr>
            </w:pPr>
            <w:r w:rsidRPr="006917D8">
              <w:rPr>
                <w:rFonts w:ascii="Arial" w:hAnsi="Arial" w:cs="Arial"/>
                <w:bCs/>
                <w:i/>
                <w:lang w:val="en-US"/>
              </w:rPr>
              <w:t>(</w:t>
            </w:r>
            <w:r w:rsidRPr="006917D8">
              <w:rPr>
                <w:rFonts w:ascii="Arial" w:hAnsi="Arial" w:cs="Arial"/>
                <w:bCs/>
                <w:lang w:val="en-US"/>
              </w:rPr>
              <w:t>t/mm</w:t>
            </w:r>
            <w:r w:rsidRPr="006917D8">
              <w:rPr>
                <w:rFonts w:ascii="Arial" w:hAnsi="Arial" w:cs="Arial"/>
                <w:bCs/>
                <w:vertAlign w:val="superscript"/>
                <w:lang w:val="en-US"/>
              </w:rPr>
              <w:t>3</w:t>
            </w:r>
            <w:r w:rsidRPr="006917D8">
              <w:rPr>
                <w:rFonts w:ascii="Arial" w:hAnsi="Arial" w:cs="Arial"/>
                <w:bCs/>
                <w:lang w:val="en-US"/>
              </w:rPr>
              <w:t>)</w:t>
            </w:r>
          </w:p>
        </w:tc>
        <w:tc>
          <w:tcPr>
            <w:tcW w:w="1559" w:type="dxa"/>
            <w:tcBorders>
              <w:top w:val="single" w:sz="18" w:space="0" w:color="000000"/>
              <w:bottom w:val="single" w:sz="2" w:space="0" w:color="auto"/>
            </w:tcBorders>
          </w:tcPr>
          <w:p w14:paraId="6B34D445" w14:textId="11248239" w:rsidR="004B69A9" w:rsidRPr="006917D8" w:rsidRDefault="00AA7594" w:rsidP="004B69A9">
            <w:pPr>
              <w:jc w:val="center"/>
              <w:rPr>
                <w:rFonts w:ascii="Arial" w:hAnsi="Arial" w:cs="Arial"/>
                <w:bCs/>
              </w:rPr>
            </w:pPr>
            <m:oMathPara>
              <m:oMath>
                <m:sSub>
                  <m:sSubPr>
                    <m:ctrlPr>
                      <w:rPr>
                        <w:rFonts w:ascii="Cambria Math" w:hAnsi="Cambria Math" w:cs="Arial"/>
                        <w:bCs/>
                        <w:i/>
                        <w:iCs/>
                      </w:rPr>
                    </m:ctrlPr>
                  </m:sSubPr>
                  <m:e>
                    <m:r>
                      <w:rPr>
                        <w:rFonts w:ascii="Cambria Math" w:hAnsi="Cambria Math" w:cs="Arial"/>
                      </w:rPr>
                      <m:t>C</m:t>
                    </m:r>
                  </m:e>
                  <m:sub>
                    <m:r>
                      <m:rPr>
                        <m:sty m:val="p"/>
                      </m:rPr>
                      <w:rPr>
                        <w:rFonts w:ascii="Cambria Math" w:hAnsi="Cambria Math" w:cs="Arial"/>
                      </w:rPr>
                      <m:t>10</m:t>
                    </m:r>
                  </m:sub>
                </m:sSub>
              </m:oMath>
            </m:oMathPara>
          </w:p>
          <w:p w14:paraId="64C049F5" w14:textId="77777777" w:rsidR="004B69A9" w:rsidRPr="006917D8" w:rsidRDefault="004B69A9" w:rsidP="004B69A9">
            <w:pPr>
              <w:jc w:val="center"/>
              <w:rPr>
                <w:rFonts w:ascii="Arial" w:hAnsi="Arial" w:cs="Arial"/>
                <w:bCs/>
                <w:lang w:val="en-US"/>
              </w:rPr>
            </w:pPr>
            <w:r w:rsidRPr="006917D8">
              <w:rPr>
                <w:rFonts w:ascii="Arial" w:hAnsi="Arial" w:cs="Arial"/>
                <w:bCs/>
              </w:rPr>
              <w:t>(MPa)</w:t>
            </w:r>
          </w:p>
        </w:tc>
        <w:tc>
          <w:tcPr>
            <w:tcW w:w="992" w:type="dxa"/>
            <w:tcBorders>
              <w:top w:val="single" w:sz="18" w:space="0" w:color="000000"/>
              <w:bottom w:val="single" w:sz="2" w:space="0" w:color="auto"/>
            </w:tcBorders>
          </w:tcPr>
          <w:p w14:paraId="3FE2359D" w14:textId="039492DE" w:rsidR="004B69A9" w:rsidRPr="006917D8" w:rsidRDefault="004B69A9" w:rsidP="004B69A9">
            <w:pPr>
              <w:jc w:val="center"/>
              <w:rPr>
                <w:rFonts w:ascii="Arial" w:hAnsi="Arial" w:cs="Arial"/>
                <w:bCs/>
                <w:lang w:val="en-US"/>
              </w:rPr>
            </w:pPr>
            <m:oMathPara>
              <m:oMath>
                <m:r>
                  <w:rPr>
                    <w:rFonts w:ascii="Cambria Math" w:hAnsi="Cambria Math" w:cs="Arial"/>
                    <w:lang w:val="en-US"/>
                  </w:rPr>
                  <m:t>D</m:t>
                </m:r>
              </m:oMath>
            </m:oMathPara>
          </w:p>
          <w:p w14:paraId="642F9A4E" w14:textId="77777777" w:rsidR="004B69A9" w:rsidRPr="006917D8" w:rsidRDefault="004B69A9" w:rsidP="004B69A9">
            <w:pPr>
              <w:jc w:val="center"/>
              <w:rPr>
                <w:rFonts w:ascii="Arial" w:hAnsi="Arial" w:cs="Arial"/>
                <w:bCs/>
                <w:i/>
                <w:lang w:val="en-US"/>
              </w:rPr>
            </w:pPr>
            <w:r w:rsidRPr="006917D8">
              <w:rPr>
                <w:rFonts w:ascii="Arial" w:hAnsi="Arial" w:cs="Arial"/>
                <w:bCs/>
                <w:lang w:val="en-US"/>
              </w:rPr>
              <w:t>(MPa</w:t>
            </w:r>
            <w:r w:rsidRPr="006917D8">
              <w:rPr>
                <w:rFonts w:ascii="Arial" w:hAnsi="Arial" w:cs="Arial"/>
                <w:bCs/>
                <w:vertAlign w:val="superscript"/>
                <w:lang w:val="en-US"/>
              </w:rPr>
              <w:t>-1</w:t>
            </w:r>
            <w:r w:rsidRPr="006917D8">
              <w:rPr>
                <w:rFonts w:ascii="Arial" w:hAnsi="Arial" w:cs="Arial"/>
                <w:bCs/>
                <w:lang w:val="en-US"/>
              </w:rPr>
              <w:t>)</w:t>
            </w:r>
          </w:p>
        </w:tc>
        <w:tc>
          <w:tcPr>
            <w:tcW w:w="851" w:type="dxa"/>
            <w:tcBorders>
              <w:top w:val="single" w:sz="18" w:space="0" w:color="000000"/>
              <w:bottom w:val="single" w:sz="2" w:space="0" w:color="auto"/>
            </w:tcBorders>
          </w:tcPr>
          <w:p w14:paraId="113F8D1D" w14:textId="3581F5BF" w:rsidR="004B69A9" w:rsidRPr="006917D8" w:rsidRDefault="00AA7594" w:rsidP="004B69A9">
            <w:pPr>
              <w:jc w:val="center"/>
              <w:rPr>
                <w:rFonts w:ascii="Arial" w:hAnsi="Arial" w:cs="Arial"/>
                <w:bCs/>
                <w:lang w:val="en-US"/>
              </w:rPr>
            </w:pPr>
            <m:oMath>
              <m:sSub>
                <m:sSubPr>
                  <m:ctrlPr>
                    <w:rPr>
                      <w:rFonts w:ascii="Cambria Math" w:hAnsi="Cambria Math" w:cs="Arial"/>
                      <w:bCs/>
                      <w:i/>
                      <w:iCs/>
                    </w:rPr>
                  </m:ctrlPr>
                </m:sSubPr>
                <m:e>
                  <m:r>
                    <w:rPr>
                      <w:rFonts w:ascii="Cambria Math" w:hAnsi="Cambria Math" w:cs="Arial"/>
                    </w:rPr>
                    <m:t>k</m:t>
                  </m:r>
                </m:e>
                <m:sub>
                  <m:r>
                    <m:rPr>
                      <m:sty m:val="p"/>
                    </m:rPr>
                    <w:rPr>
                      <w:rFonts w:ascii="Cambria Math" w:hAnsi="Cambria Math" w:cs="Arial"/>
                    </w:rPr>
                    <m:t>1</m:t>
                  </m:r>
                </m:sub>
              </m:sSub>
            </m:oMath>
            <w:r w:rsidR="004B69A9" w:rsidRPr="006917D8">
              <w:rPr>
                <w:rFonts w:ascii="Arial" w:hAnsi="Arial" w:cs="Arial"/>
                <w:bCs/>
              </w:rPr>
              <w:t xml:space="preserve"> (MPa)</w:t>
            </w:r>
          </w:p>
        </w:tc>
        <w:tc>
          <w:tcPr>
            <w:tcW w:w="992" w:type="dxa"/>
            <w:tcBorders>
              <w:top w:val="single" w:sz="18" w:space="0" w:color="000000"/>
              <w:bottom w:val="single" w:sz="2" w:space="0" w:color="auto"/>
            </w:tcBorders>
          </w:tcPr>
          <w:p w14:paraId="4E153ECB" w14:textId="6DCDB5FE" w:rsidR="004B69A9" w:rsidRPr="006917D8" w:rsidRDefault="00AA7594" w:rsidP="004B69A9">
            <w:pPr>
              <w:jc w:val="center"/>
              <w:rPr>
                <w:rFonts w:ascii="Arial" w:hAnsi="Arial" w:cs="Arial"/>
                <w:bCs/>
                <w:lang w:val="en-US"/>
              </w:rPr>
            </w:pPr>
            <m:oMathPara>
              <m:oMath>
                <m:sSub>
                  <m:sSubPr>
                    <m:ctrlPr>
                      <w:rPr>
                        <w:rFonts w:ascii="Cambria Math" w:hAnsi="Cambria Math" w:cs="Arial"/>
                        <w:bCs/>
                        <w:i/>
                        <w:iCs/>
                      </w:rPr>
                    </m:ctrlPr>
                  </m:sSubPr>
                  <m:e>
                    <m:r>
                      <w:rPr>
                        <w:rFonts w:ascii="Cambria Math" w:hAnsi="Cambria Math" w:cs="Arial"/>
                      </w:rPr>
                      <m:t>k</m:t>
                    </m:r>
                  </m:e>
                  <m:sub>
                    <m:r>
                      <m:rPr>
                        <m:sty m:val="p"/>
                      </m:rPr>
                      <w:rPr>
                        <w:rFonts w:ascii="Cambria Math" w:hAnsi="Cambria Math" w:cs="Arial"/>
                      </w:rPr>
                      <m:t>2</m:t>
                    </m:r>
                  </m:sub>
                </m:sSub>
              </m:oMath>
            </m:oMathPara>
          </w:p>
        </w:tc>
        <w:tc>
          <w:tcPr>
            <w:tcW w:w="1276" w:type="dxa"/>
            <w:tcBorders>
              <w:top w:val="single" w:sz="18" w:space="0" w:color="000000"/>
              <w:bottom w:val="single" w:sz="2" w:space="0" w:color="auto"/>
            </w:tcBorders>
          </w:tcPr>
          <w:p w14:paraId="2016C07F" w14:textId="3038D231" w:rsidR="004B69A9" w:rsidRPr="006917D8" w:rsidRDefault="004B69A9" w:rsidP="004B69A9">
            <w:pPr>
              <w:jc w:val="center"/>
              <w:rPr>
                <w:rFonts w:ascii="Arial" w:hAnsi="Arial" w:cs="Arial"/>
                <w:bCs/>
                <w:lang w:val="en-US"/>
              </w:rPr>
            </w:pPr>
            <m:oMathPara>
              <m:oMath>
                <m:r>
                  <w:rPr>
                    <w:rFonts w:ascii="Cambria Math" w:hAnsi="Cambria Math" w:cs="Arial"/>
                    <w:lang w:val="ru-RU"/>
                  </w:rPr>
                  <m:t>κ</m:t>
                </m:r>
              </m:oMath>
            </m:oMathPara>
          </w:p>
        </w:tc>
        <w:tc>
          <w:tcPr>
            <w:tcW w:w="801" w:type="dxa"/>
            <w:tcBorders>
              <w:top w:val="single" w:sz="18" w:space="0" w:color="000000"/>
              <w:bottom w:val="single" w:sz="2" w:space="0" w:color="auto"/>
              <w:right w:val="single" w:sz="2" w:space="0" w:color="000000"/>
            </w:tcBorders>
          </w:tcPr>
          <w:p w14:paraId="23E39E4E" w14:textId="6B011B6F" w:rsidR="004B69A9" w:rsidRPr="006917D8" w:rsidRDefault="004B69A9" w:rsidP="004B69A9">
            <w:pPr>
              <w:jc w:val="center"/>
              <w:rPr>
                <w:rFonts w:ascii="Arial" w:hAnsi="Arial" w:cs="Arial"/>
                <w:bCs/>
              </w:rPr>
            </w:pPr>
            <m:oMathPara>
              <m:oMath>
                <m:r>
                  <w:rPr>
                    <w:rFonts w:ascii="Cambria Math" w:hAnsi="Cambria Math" w:cs="Arial"/>
                  </w:rPr>
                  <m:t>φ</m:t>
                </m:r>
              </m:oMath>
            </m:oMathPara>
          </w:p>
          <w:p w14:paraId="6E3CEBD4" w14:textId="77777777" w:rsidR="004B69A9" w:rsidRPr="006917D8" w:rsidRDefault="004B69A9" w:rsidP="004B69A9">
            <w:pPr>
              <w:jc w:val="center"/>
              <w:rPr>
                <w:rFonts w:ascii="Arial" w:hAnsi="Arial" w:cs="Arial"/>
                <w:bCs/>
                <w:lang w:val="en-US"/>
              </w:rPr>
            </w:pPr>
            <w:r w:rsidRPr="006917D8">
              <w:rPr>
                <w:rFonts w:ascii="Arial" w:hAnsi="Arial" w:cs="Arial"/>
                <w:bCs/>
              </w:rPr>
              <w:t>(°)</w:t>
            </w:r>
          </w:p>
        </w:tc>
      </w:tr>
      <w:tr w:rsidR="004B69A9" w:rsidRPr="006917D8" w14:paraId="18350478" w14:textId="77777777" w:rsidTr="00FB5972">
        <w:trPr>
          <w:cantSplit/>
          <w:trHeight w:val="20"/>
          <w:jc w:val="center"/>
        </w:trPr>
        <w:tc>
          <w:tcPr>
            <w:tcW w:w="1273" w:type="dxa"/>
            <w:vMerge/>
            <w:tcBorders>
              <w:left w:val="single" w:sz="2" w:space="0" w:color="000000"/>
              <w:right w:val="single" w:sz="2" w:space="0" w:color="000000"/>
            </w:tcBorders>
            <w:vAlign w:val="center"/>
          </w:tcPr>
          <w:p w14:paraId="779D5B8B" w14:textId="77777777" w:rsidR="004B69A9" w:rsidRPr="006917D8" w:rsidRDefault="004B69A9" w:rsidP="004B69A9">
            <w:pPr>
              <w:jc w:val="center"/>
              <w:rPr>
                <w:rFonts w:ascii="Arial" w:hAnsi="Arial" w:cs="Arial"/>
                <w:bCs/>
              </w:rPr>
            </w:pPr>
          </w:p>
        </w:tc>
        <w:tc>
          <w:tcPr>
            <w:tcW w:w="1276" w:type="dxa"/>
            <w:tcBorders>
              <w:top w:val="single" w:sz="2" w:space="0" w:color="auto"/>
              <w:left w:val="single" w:sz="2" w:space="0" w:color="000000"/>
              <w:bottom w:val="single" w:sz="18" w:space="0" w:color="auto"/>
            </w:tcBorders>
            <w:vAlign w:val="center"/>
          </w:tcPr>
          <w:p w14:paraId="6ACDE8B7" w14:textId="77777777" w:rsidR="004B69A9" w:rsidRPr="006917D8" w:rsidRDefault="004B69A9" w:rsidP="004B69A9">
            <w:pPr>
              <w:jc w:val="center"/>
              <w:rPr>
                <w:rFonts w:ascii="Arial" w:hAnsi="Arial" w:cs="Arial"/>
                <w:bCs/>
                <w:lang w:val="en-US"/>
              </w:rPr>
            </w:pPr>
            <w:r w:rsidRPr="006917D8">
              <w:rPr>
                <w:rFonts w:ascii="Arial" w:hAnsi="Arial" w:cs="Arial"/>
                <w:bCs/>
                <w:lang w:val="en-US"/>
              </w:rPr>
              <w:t>1.066E-9</w:t>
            </w:r>
          </w:p>
        </w:tc>
        <w:tc>
          <w:tcPr>
            <w:tcW w:w="1559" w:type="dxa"/>
            <w:tcBorders>
              <w:top w:val="single" w:sz="2" w:space="0" w:color="auto"/>
              <w:bottom w:val="single" w:sz="18" w:space="0" w:color="auto"/>
            </w:tcBorders>
            <w:vAlign w:val="center"/>
          </w:tcPr>
          <w:p w14:paraId="7865B32E" w14:textId="77777777" w:rsidR="004B69A9" w:rsidRPr="006917D8" w:rsidRDefault="004B69A9" w:rsidP="004B69A9">
            <w:pPr>
              <w:jc w:val="center"/>
              <w:rPr>
                <w:rFonts w:ascii="Arial" w:hAnsi="Arial" w:cs="Arial"/>
                <w:bCs/>
                <w:lang w:val="en-US"/>
              </w:rPr>
            </w:pPr>
            <w:r w:rsidRPr="006917D8">
              <w:rPr>
                <w:rFonts w:ascii="Arial" w:hAnsi="Arial" w:cs="Arial"/>
                <w:bCs/>
                <w:lang w:val="en-US"/>
              </w:rPr>
              <w:t>0.008</w:t>
            </w:r>
          </w:p>
        </w:tc>
        <w:tc>
          <w:tcPr>
            <w:tcW w:w="992" w:type="dxa"/>
            <w:tcBorders>
              <w:top w:val="single" w:sz="2" w:space="0" w:color="auto"/>
              <w:bottom w:val="single" w:sz="18" w:space="0" w:color="auto"/>
            </w:tcBorders>
            <w:vAlign w:val="center"/>
          </w:tcPr>
          <w:p w14:paraId="7097F1E8" w14:textId="77777777" w:rsidR="004B69A9" w:rsidRPr="006917D8" w:rsidRDefault="004B69A9" w:rsidP="004B69A9">
            <w:pPr>
              <w:jc w:val="center"/>
              <w:rPr>
                <w:rFonts w:ascii="Arial" w:hAnsi="Arial" w:cs="Arial"/>
                <w:bCs/>
              </w:rPr>
            </w:pPr>
            <w:r w:rsidRPr="006917D8">
              <w:rPr>
                <w:rFonts w:ascii="Arial" w:hAnsi="Arial" w:cs="Arial"/>
                <w:bCs/>
              </w:rPr>
              <w:t>0.001</w:t>
            </w:r>
          </w:p>
        </w:tc>
        <w:tc>
          <w:tcPr>
            <w:tcW w:w="851" w:type="dxa"/>
            <w:tcBorders>
              <w:top w:val="single" w:sz="2" w:space="0" w:color="auto"/>
              <w:bottom w:val="single" w:sz="18" w:space="0" w:color="auto"/>
            </w:tcBorders>
            <w:vAlign w:val="center"/>
          </w:tcPr>
          <w:p w14:paraId="10283769" w14:textId="77777777" w:rsidR="004B69A9" w:rsidRPr="006917D8" w:rsidRDefault="004B69A9" w:rsidP="004B69A9">
            <w:pPr>
              <w:jc w:val="center"/>
              <w:rPr>
                <w:rFonts w:ascii="Arial" w:hAnsi="Arial" w:cs="Arial"/>
                <w:bCs/>
              </w:rPr>
            </w:pPr>
            <w:r w:rsidRPr="006917D8">
              <w:rPr>
                <w:rFonts w:ascii="Arial" w:hAnsi="Arial" w:cs="Arial"/>
                <w:bCs/>
                <w:lang w:val="en-US"/>
              </w:rPr>
              <w:t>0.362</w:t>
            </w:r>
          </w:p>
        </w:tc>
        <w:tc>
          <w:tcPr>
            <w:tcW w:w="992" w:type="dxa"/>
            <w:tcBorders>
              <w:top w:val="single" w:sz="2" w:space="0" w:color="auto"/>
              <w:bottom w:val="single" w:sz="18" w:space="0" w:color="auto"/>
            </w:tcBorders>
            <w:vAlign w:val="center"/>
          </w:tcPr>
          <w:p w14:paraId="71E280CC" w14:textId="77777777" w:rsidR="004B69A9" w:rsidRPr="006917D8" w:rsidRDefault="004B69A9" w:rsidP="004B69A9">
            <w:pPr>
              <w:jc w:val="center"/>
              <w:rPr>
                <w:rFonts w:ascii="Arial" w:hAnsi="Arial" w:cs="Arial"/>
                <w:bCs/>
                <w:lang w:val="en-US"/>
              </w:rPr>
            </w:pPr>
            <w:r w:rsidRPr="006917D8">
              <w:rPr>
                <w:rFonts w:ascii="Arial" w:hAnsi="Arial" w:cs="Arial"/>
                <w:bCs/>
                <w:lang w:val="en-US"/>
              </w:rPr>
              <w:t>7.089</w:t>
            </w:r>
          </w:p>
        </w:tc>
        <w:tc>
          <w:tcPr>
            <w:tcW w:w="1276" w:type="dxa"/>
            <w:tcBorders>
              <w:top w:val="single" w:sz="2" w:space="0" w:color="auto"/>
              <w:bottom w:val="single" w:sz="18" w:space="0" w:color="auto"/>
            </w:tcBorders>
            <w:vAlign w:val="center"/>
          </w:tcPr>
          <w:p w14:paraId="19740128" w14:textId="77777777" w:rsidR="004B69A9" w:rsidRPr="006917D8" w:rsidRDefault="004B69A9" w:rsidP="004B69A9">
            <w:pPr>
              <w:jc w:val="center"/>
              <w:rPr>
                <w:rFonts w:ascii="Arial" w:hAnsi="Arial" w:cs="Arial"/>
                <w:bCs/>
                <w:lang w:val="en-US"/>
              </w:rPr>
            </w:pPr>
            <w:r w:rsidRPr="006917D8">
              <w:rPr>
                <w:rFonts w:ascii="Arial" w:hAnsi="Arial" w:cs="Arial"/>
                <w:bCs/>
                <w:lang w:val="en-US"/>
              </w:rPr>
              <w:t>0.17</w:t>
            </w:r>
          </w:p>
        </w:tc>
        <w:tc>
          <w:tcPr>
            <w:tcW w:w="801" w:type="dxa"/>
            <w:tcBorders>
              <w:top w:val="single" w:sz="2" w:space="0" w:color="auto"/>
              <w:bottom w:val="single" w:sz="18" w:space="0" w:color="auto"/>
              <w:right w:val="single" w:sz="2" w:space="0" w:color="000000"/>
            </w:tcBorders>
            <w:vAlign w:val="center"/>
          </w:tcPr>
          <w:p w14:paraId="125D1681" w14:textId="77777777" w:rsidR="004B69A9" w:rsidRPr="006917D8" w:rsidRDefault="004B69A9" w:rsidP="004B69A9">
            <w:pPr>
              <w:jc w:val="center"/>
              <w:rPr>
                <w:rFonts w:ascii="Arial" w:hAnsi="Arial" w:cs="Arial"/>
                <w:bCs/>
                <w:lang w:val="en-US"/>
              </w:rPr>
            </w:pPr>
            <w:r w:rsidRPr="006917D8">
              <w:rPr>
                <w:rFonts w:ascii="Arial" w:hAnsi="Arial" w:cs="Arial"/>
                <w:bCs/>
                <w:lang w:val="en-US"/>
              </w:rPr>
              <w:t>50.1</w:t>
            </w:r>
          </w:p>
        </w:tc>
      </w:tr>
      <w:tr w:rsidR="004B69A9" w:rsidRPr="006917D8" w14:paraId="4011881C" w14:textId="77777777" w:rsidTr="00FB5972">
        <w:trPr>
          <w:cantSplit/>
          <w:trHeight w:val="20"/>
          <w:jc w:val="center"/>
        </w:trPr>
        <w:tc>
          <w:tcPr>
            <w:tcW w:w="1273" w:type="dxa"/>
            <w:vMerge/>
            <w:tcBorders>
              <w:left w:val="single" w:sz="2" w:space="0" w:color="000000"/>
              <w:right w:val="single" w:sz="2" w:space="0" w:color="000000"/>
            </w:tcBorders>
            <w:vAlign w:val="center"/>
          </w:tcPr>
          <w:p w14:paraId="44F92C83" w14:textId="77777777" w:rsidR="004B69A9" w:rsidRPr="006917D8" w:rsidRDefault="004B69A9" w:rsidP="004B69A9">
            <w:pPr>
              <w:jc w:val="center"/>
              <w:rPr>
                <w:rFonts w:ascii="Arial" w:hAnsi="Arial" w:cs="Arial"/>
                <w:bCs/>
              </w:rPr>
            </w:pPr>
          </w:p>
        </w:tc>
        <w:tc>
          <w:tcPr>
            <w:tcW w:w="1276" w:type="dxa"/>
            <w:tcBorders>
              <w:top w:val="single" w:sz="18" w:space="0" w:color="auto"/>
              <w:left w:val="single" w:sz="2" w:space="0" w:color="000000"/>
              <w:bottom w:val="single" w:sz="2" w:space="0" w:color="auto"/>
              <w:right w:val="single" w:sz="2" w:space="0" w:color="auto"/>
            </w:tcBorders>
            <w:vAlign w:val="center"/>
          </w:tcPr>
          <w:p w14:paraId="262D6AEB" w14:textId="6089F0E5" w:rsidR="004B69A9" w:rsidRPr="006917D8" w:rsidRDefault="00AA7594" w:rsidP="004B69A9">
            <w:pPr>
              <w:jc w:val="center"/>
              <w:rPr>
                <w:rFonts w:ascii="Arial" w:hAnsi="Arial" w:cs="Arial"/>
                <w:bCs/>
              </w:rPr>
            </w:pPr>
            <m:oMath>
              <m:sSubSup>
                <m:sSubSupPr>
                  <m:ctrlPr>
                    <w:rPr>
                      <w:rFonts w:ascii="Cambria Math" w:hAnsi="Cambria Math" w:cs="Arial"/>
                      <w:bCs/>
                    </w:rPr>
                  </m:ctrlPr>
                </m:sSubSupPr>
                <m:e>
                  <m:r>
                    <w:rPr>
                      <w:rFonts w:ascii="Cambria Math" w:hAnsi="Cambria Math" w:cs="Arial"/>
                    </w:rPr>
                    <m:t>C</m:t>
                  </m:r>
                </m:e>
                <m:sub>
                  <m:r>
                    <m:rPr>
                      <m:sty m:val="p"/>
                    </m:rPr>
                    <w:rPr>
                      <w:rFonts w:ascii="Cambria Math" w:hAnsi="Cambria Math" w:cs="Arial"/>
                    </w:rPr>
                    <m:t>10</m:t>
                  </m:r>
                </m:sub>
                <m:sup>
                  <m:r>
                    <m:rPr>
                      <m:sty m:val="p"/>
                    </m:rPr>
                    <w:rPr>
                      <w:rFonts w:ascii="Cambria Math" w:hAnsi="Cambria Math" w:cs="Arial"/>
                    </w:rPr>
                    <m:t>*</m:t>
                  </m:r>
                </m:sup>
              </m:sSubSup>
            </m:oMath>
            <w:r w:rsidR="004B69A9" w:rsidRPr="006917D8">
              <w:rPr>
                <w:rFonts w:ascii="Arial" w:hAnsi="Arial" w:cs="Arial"/>
                <w:bCs/>
              </w:rPr>
              <w:t xml:space="preserve"> (MPa)</w:t>
            </w:r>
          </w:p>
        </w:tc>
        <w:tc>
          <w:tcPr>
            <w:tcW w:w="1559" w:type="dxa"/>
            <w:tcBorders>
              <w:top w:val="single" w:sz="18" w:space="0" w:color="auto"/>
              <w:left w:val="single" w:sz="2" w:space="0" w:color="auto"/>
              <w:bottom w:val="single" w:sz="2" w:space="0" w:color="auto"/>
            </w:tcBorders>
            <w:vAlign w:val="center"/>
          </w:tcPr>
          <w:p w14:paraId="376B7E3B" w14:textId="6962FAAE" w:rsidR="004B69A9" w:rsidRPr="006917D8" w:rsidRDefault="00AA7594" w:rsidP="004B69A9">
            <w:pPr>
              <w:jc w:val="center"/>
              <w:rPr>
                <w:rFonts w:ascii="Arial" w:hAnsi="Arial" w:cs="Arial"/>
                <w:bCs/>
              </w:rPr>
            </w:pPr>
            <m:oMathPara>
              <m:oMath>
                <m:sSubSup>
                  <m:sSubSupPr>
                    <m:ctrlPr>
                      <w:rPr>
                        <w:rFonts w:ascii="Cambria Math" w:hAnsi="Cambria Math" w:cs="Arial"/>
                        <w:bCs/>
                      </w:rPr>
                    </m:ctrlPr>
                  </m:sSubSupPr>
                  <m:e>
                    <m:r>
                      <w:rPr>
                        <w:rFonts w:ascii="Cambria Math" w:hAnsi="Cambria Math" w:cs="Arial"/>
                      </w:rPr>
                      <m:t>k</m:t>
                    </m:r>
                  </m:e>
                  <m:sub>
                    <m:r>
                      <m:rPr>
                        <m:sty m:val="p"/>
                      </m:rPr>
                      <w:rPr>
                        <w:rFonts w:ascii="Cambria Math" w:hAnsi="Cambria Math" w:cs="Arial"/>
                      </w:rPr>
                      <m:t>1</m:t>
                    </m:r>
                  </m:sub>
                  <m:sup>
                    <m:r>
                      <m:rPr>
                        <m:sty m:val="p"/>
                      </m:rPr>
                      <w:rPr>
                        <w:rFonts w:ascii="Cambria Math" w:hAnsi="Cambria Math" w:cs="Arial"/>
                      </w:rPr>
                      <m:t>*</m:t>
                    </m:r>
                  </m:sup>
                </m:sSubSup>
              </m:oMath>
            </m:oMathPara>
          </w:p>
          <w:p w14:paraId="31D67480" w14:textId="77777777" w:rsidR="004B69A9" w:rsidRPr="006917D8" w:rsidRDefault="004B69A9" w:rsidP="004B69A9">
            <w:pPr>
              <w:jc w:val="center"/>
              <w:rPr>
                <w:rFonts w:ascii="Arial" w:hAnsi="Arial" w:cs="Arial"/>
                <w:bCs/>
              </w:rPr>
            </w:pPr>
            <w:r w:rsidRPr="006917D8">
              <w:rPr>
                <w:rFonts w:ascii="Arial" w:hAnsi="Arial" w:cs="Arial"/>
                <w:bCs/>
              </w:rPr>
              <w:t>(MPa)</w:t>
            </w:r>
          </w:p>
        </w:tc>
        <w:tc>
          <w:tcPr>
            <w:tcW w:w="992" w:type="dxa"/>
            <w:tcBorders>
              <w:top w:val="single" w:sz="18" w:space="0" w:color="auto"/>
              <w:bottom w:val="single" w:sz="2" w:space="0" w:color="auto"/>
            </w:tcBorders>
            <w:vAlign w:val="center"/>
          </w:tcPr>
          <w:p w14:paraId="0B402EE4" w14:textId="1F232DC2" w:rsidR="004B69A9" w:rsidRPr="006917D8" w:rsidRDefault="00AA7594" w:rsidP="004B69A9">
            <w:pPr>
              <w:jc w:val="center"/>
              <w:rPr>
                <w:rFonts w:ascii="Arial" w:hAnsi="Arial" w:cs="Arial"/>
                <w:bCs/>
              </w:rPr>
            </w:pPr>
            <m:oMathPara>
              <m:oMath>
                <m:sSubSup>
                  <m:sSubSupPr>
                    <m:ctrlPr>
                      <w:rPr>
                        <w:rFonts w:ascii="Cambria Math" w:hAnsi="Cambria Math" w:cs="Arial"/>
                        <w:bCs/>
                      </w:rPr>
                    </m:ctrlPr>
                  </m:sSubSupPr>
                  <m:e>
                    <m:r>
                      <w:rPr>
                        <w:rFonts w:ascii="Cambria Math" w:hAnsi="Cambria Math" w:cs="Arial"/>
                      </w:rPr>
                      <m:t>k</m:t>
                    </m:r>
                  </m:e>
                  <m:sub>
                    <m:r>
                      <m:rPr>
                        <m:sty m:val="p"/>
                      </m:rPr>
                      <w:rPr>
                        <w:rFonts w:ascii="Cambria Math" w:hAnsi="Cambria Math" w:cs="Arial"/>
                      </w:rPr>
                      <m:t>2</m:t>
                    </m:r>
                  </m:sub>
                  <m:sup>
                    <m:r>
                      <m:rPr>
                        <m:sty m:val="p"/>
                      </m:rPr>
                      <w:rPr>
                        <w:rFonts w:ascii="Cambria Math" w:hAnsi="Cambria Math" w:cs="Arial"/>
                      </w:rPr>
                      <m:t>*</m:t>
                    </m:r>
                  </m:sup>
                </m:sSubSup>
              </m:oMath>
            </m:oMathPara>
          </w:p>
        </w:tc>
        <w:tc>
          <w:tcPr>
            <w:tcW w:w="851" w:type="dxa"/>
            <w:tcBorders>
              <w:top w:val="single" w:sz="18" w:space="0" w:color="auto"/>
              <w:bottom w:val="single" w:sz="2" w:space="0" w:color="auto"/>
            </w:tcBorders>
            <w:vAlign w:val="center"/>
          </w:tcPr>
          <w:p w14:paraId="385392E2" w14:textId="5FD256D3" w:rsidR="004B69A9" w:rsidRPr="006917D8" w:rsidRDefault="00AA7594" w:rsidP="004B69A9">
            <w:pPr>
              <w:jc w:val="center"/>
              <w:rPr>
                <w:rFonts w:ascii="Arial" w:hAnsi="Arial" w:cs="Arial"/>
                <w:bCs/>
              </w:rPr>
            </w:pPr>
            <m:oMathPara>
              <m:oMath>
                <m:sSup>
                  <m:sSupPr>
                    <m:ctrlPr>
                      <w:rPr>
                        <w:rFonts w:ascii="Cambria Math" w:hAnsi="Cambria Math" w:cs="Arial"/>
                        <w:bCs/>
                      </w:rPr>
                    </m:ctrlPr>
                  </m:sSupPr>
                  <m:e>
                    <m:r>
                      <w:rPr>
                        <w:rFonts w:ascii="Cambria Math" w:hAnsi="Cambria Math" w:cs="Arial"/>
                        <w:lang w:val="ru-RU"/>
                      </w:rPr>
                      <m:t>κ</m:t>
                    </m:r>
                  </m:e>
                  <m:sup>
                    <m:r>
                      <m:rPr>
                        <m:sty m:val="p"/>
                      </m:rPr>
                      <w:rPr>
                        <w:rFonts w:ascii="Cambria Math" w:hAnsi="Cambria Math" w:cs="Arial"/>
                      </w:rPr>
                      <m:t>*</m:t>
                    </m:r>
                  </m:sup>
                </m:sSup>
              </m:oMath>
            </m:oMathPara>
          </w:p>
        </w:tc>
        <w:tc>
          <w:tcPr>
            <w:tcW w:w="992" w:type="dxa"/>
            <w:tcBorders>
              <w:top w:val="single" w:sz="18" w:space="0" w:color="auto"/>
              <w:bottom w:val="single" w:sz="2" w:space="0" w:color="auto"/>
            </w:tcBorders>
            <w:vAlign w:val="center"/>
          </w:tcPr>
          <w:p w14:paraId="7936A876" w14:textId="022D740C" w:rsidR="004B69A9" w:rsidRPr="006917D8" w:rsidRDefault="00AA7594" w:rsidP="004B69A9">
            <w:pPr>
              <w:jc w:val="center"/>
              <w:rPr>
                <w:rFonts w:ascii="Arial" w:hAnsi="Arial" w:cs="Arial"/>
                <w:bCs/>
                <w:iCs/>
              </w:rPr>
            </w:pPr>
            <m:oMathPara>
              <m:oMath>
                <m:sSub>
                  <m:sSubPr>
                    <m:ctrlPr>
                      <w:rPr>
                        <w:rFonts w:ascii="Cambria Math" w:hAnsi="Cambria Math" w:cs="Arial"/>
                        <w:bCs/>
                        <w:i/>
                        <w:iCs/>
                      </w:rPr>
                    </m:ctrlPr>
                  </m:sSubPr>
                  <m:e>
                    <m:r>
                      <w:rPr>
                        <w:rFonts w:ascii="Cambria Math" w:hAnsi="Cambria Math" w:cs="Arial"/>
                      </w:rPr>
                      <m:t>r</m:t>
                    </m:r>
                  </m:e>
                  <m:sub>
                    <m:r>
                      <w:rPr>
                        <w:rFonts w:ascii="Cambria Math" w:hAnsi="Cambria Math" w:cs="Arial"/>
                      </w:rPr>
                      <m:t>f</m:t>
                    </m:r>
                  </m:sub>
                </m:sSub>
              </m:oMath>
            </m:oMathPara>
          </w:p>
        </w:tc>
        <w:tc>
          <w:tcPr>
            <w:tcW w:w="1276" w:type="dxa"/>
            <w:tcBorders>
              <w:top w:val="single" w:sz="18" w:space="0" w:color="auto"/>
              <w:bottom w:val="single" w:sz="2" w:space="0" w:color="auto"/>
            </w:tcBorders>
            <w:vAlign w:val="center"/>
          </w:tcPr>
          <w:p w14:paraId="40E9B832" w14:textId="76CC4BBD" w:rsidR="004B69A9" w:rsidRPr="006917D8" w:rsidRDefault="00AA7594" w:rsidP="004B69A9">
            <w:pPr>
              <w:jc w:val="center"/>
              <w:rPr>
                <w:rFonts w:ascii="Arial" w:hAnsi="Arial" w:cs="Arial"/>
                <w:bCs/>
                <w:iCs/>
              </w:rPr>
            </w:pPr>
            <m:oMath>
              <m:sSub>
                <m:sSubPr>
                  <m:ctrlPr>
                    <w:rPr>
                      <w:rFonts w:ascii="Cambria Math" w:hAnsi="Cambria Math" w:cs="Arial"/>
                      <w:bCs/>
                      <w:i/>
                      <w:iCs/>
                    </w:rPr>
                  </m:ctrlPr>
                </m:sSubPr>
                <m:e>
                  <m:r>
                    <w:rPr>
                      <w:rFonts w:ascii="Cambria Math" w:hAnsi="Cambria Math" w:cs="Arial"/>
                    </w:rPr>
                    <m:t>m</m:t>
                  </m:r>
                </m:e>
                <m:sub>
                  <m:r>
                    <w:rPr>
                      <w:rFonts w:ascii="Cambria Math" w:hAnsi="Cambria Math" w:cs="Arial"/>
                    </w:rPr>
                    <m:t>f</m:t>
                  </m:r>
                </m:sub>
              </m:sSub>
            </m:oMath>
            <w:r w:rsidR="004B69A9" w:rsidRPr="006917D8">
              <w:rPr>
                <w:rFonts w:ascii="Arial" w:hAnsi="Arial" w:cs="Arial"/>
                <w:bCs/>
                <w:iCs/>
              </w:rPr>
              <w:t xml:space="preserve"> </w:t>
            </w:r>
            <w:r w:rsidR="004B69A9" w:rsidRPr="006917D8">
              <w:rPr>
                <w:rFonts w:ascii="Arial" w:hAnsi="Arial" w:cs="Arial"/>
                <w:bCs/>
              </w:rPr>
              <w:t>(MPa)</w:t>
            </w:r>
          </w:p>
        </w:tc>
        <w:tc>
          <w:tcPr>
            <w:tcW w:w="801" w:type="dxa"/>
            <w:tcBorders>
              <w:top w:val="single" w:sz="18" w:space="0" w:color="auto"/>
              <w:bottom w:val="single" w:sz="2" w:space="0" w:color="auto"/>
              <w:right w:val="single" w:sz="2" w:space="0" w:color="000000"/>
            </w:tcBorders>
            <w:vAlign w:val="center"/>
          </w:tcPr>
          <w:p w14:paraId="614C1D6B" w14:textId="485AD75C" w:rsidR="004B69A9" w:rsidRPr="006917D8" w:rsidRDefault="00AA7594" w:rsidP="004B69A9">
            <w:pPr>
              <w:jc w:val="center"/>
              <w:rPr>
                <w:rFonts w:ascii="Arial" w:hAnsi="Arial" w:cs="Arial"/>
                <w:bCs/>
                <w:iCs/>
              </w:rPr>
            </w:pPr>
            <m:oMathPara>
              <m:oMath>
                <m:sSub>
                  <m:sSubPr>
                    <m:ctrlPr>
                      <w:rPr>
                        <w:rFonts w:ascii="Cambria Math" w:hAnsi="Cambria Math" w:cs="Arial"/>
                        <w:bCs/>
                        <w:i/>
                        <w:iCs/>
                      </w:rPr>
                    </m:ctrlPr>
                  </m:sSubPr>
                  <m:e>
                    <m:r>
                      <w:rPr>
                        <w:rFonts w:ascii="Cambria Math" w:hAnsi="Cambria Math" w:cs="Arial"/>
                      </w:rPr>
                      <m:t>m</m:t>
                    </m:r>
                  </m:e>
                  <m:sub>
                    <m:r>
                      <w:rPr>
                        <w:rFonts w:ascii="Cambria Math" w:hAnsi="Cambria Math" w:cs="Arial"/>
                      </w:rPr>
                      <m:t>2</m:t>
                    </m:r>
                  </m:sub>
                </m:sSub>
              </m:oMath>
            </m:oMathPara>
          </w:p>
        </w:tc>
      </w:tr>
      <w:tr w:rsidR="004B69A9" w:rsidRPr="006917D8" w14:paraId="544DB4B9" w14:textId="77777777" w:rsidTr="00FB5972">
        <w:trPr>
          <w:cantSplit/>
          <w:trHeight w:val="20"/>
          <w:jc w:val="center"/>
        </w:trPr>
        <w:tc>
          <w:tcPr>
            <w:tcW w:w="1273" w:type="dxa"/>
            <w:vMerge/>
            <w:tcBorders>
              <w:left w:val="single" w:sz="2" w:space="0" w:color="000000"/>
              <w:bottom w:val="single" w:sz="2" w:space="0" w:color="000000"/>
              <w:right w:val="single" w:sz="2" w:space="0" w:color="000000"/>
            </w:tcBorders>
            <w:vAlign w:val="center"/>
          </w:tcPr>
          <w:p w14:paraId="7B9F65C5" w14:textId="77777777" w:rsidR="004B69A9" w:rsidRPr="006917D8" w:rsidRDefault="004B69A9" w:rsidP="004B69A9">
            <w:pPr>
              <w:jc w:val="center"/>
              <w:rPr>
                <w:rFonts w:ascii="Arial" w:hAnsi="Arial" w:cs="Arial"/>
              </w:rPr>
            </w:pPr>
          </w:p>
        </w:tc>
        <w:tc>
          <w:tcPr>
            <w:tcW w:w="1276" w:type="dxa"/>
            <w:tcBorders>
              <w:top w:val="single" w:sz="2" w:space="0" w:color="auto"/>
              <w:left w:val="single" w:sz="2" w:space="0" w:color="000000"/>
              <w:bottom w:val="single" w:sz="18" w:space="0" w:color="000000"/>
            </w:tcBorders>
            <w:vAlign w:val="center"/>
          </w:tcPr>
          <w:p w14:paraId="2D104156" w14:textId="77777777" w:rsidR="004B69A9" w:rsidRPr="006917D8" w:rsidRDefault="004B69A9" w:rsidP="004B69A9">
            <w:pPr>
              <w:jc w:val="center"/>
              <w:rPr>
                <w:rFonts w:ascii="Arial" w:hAnsi="Arial" w:cs="Arial"/>
                <w:lang w:val="en-US"/>
              </w:rPr>
            </w:pPr>
            <w:r w:rsidRPr="006917D8">
              <w:rPr>
                <w:rFonts w:ascii="Arial" w:hAnsi="Arial" w:cs="Arial"/>
                <w:lang w:val="en-US"/>
              </w:rPr>
              <w:t>0.000333</w:t>
            </w:r>
          </w:p>
        </w:tc>
        <w:tc>
          <w:tcPr>
            <w:tcW w:w="1559" w:type="dxa"/>
            <w:tcBorders>
              <w:top w:val="single" w:sz="2" w:space="0" w:color="auto"/>
              <w:bottom w:val="single" w:sz="18" w:space="0" w:color="000000"/>
            </w:tcBorders>
            <w:vAlign w:val="center"/>
          </w:tcPr>
          <w:p w14:paraId="63A74300" w14:textId="77777777" w:rsidR="004B69A9" w:rsidRPr="006917D8" w:rsidRDefault="004B69A9" w:rsidP="004B69A9">
            <w:pPr>
              <w:jc w:val="center"/>
              <w:rPr>
                <w:rFonts w:ascii="Arial" w:hAnsi="Arial" w:cs="Arial"/>
                <w:lang w:val="en-US"/>
              </w:rPr>
            </w:pPr>
            <w:r w:rsidRPr="006917D8">
              <w:rPr>
                <w:rFonts w:ascii="Arial" w:hAnsi="Arial" w:cs="Arial"/>
                <w:lang w:val="en-US"/>
              </w:rPr>
              <w:t>0.001445</w:t>
            </w:r>
          </w:p>
        </w:tc>
        <w:tc>
          <w:tcPr>
            <w:tcW w:w="992" w:type="dxa"/>
            <w:tcBorders>
              <w:top w:val="single" w:sz="2" w:space="0" w:color="auto"/>
              <w:bottom w:val="single" w:sz="18" w:space="0" w:color="000000"/>
            </w:tcBorders>
            <w:vAlign w:val="center"/>
          </w:tcPr>
          <w:p w14:paraId="22C25123" w14:textId="77777777" w:rsidR="004B69A9" w:rsidRPr="006917D8" w:rsidRDefault="004B69A9" w:rsidP="004B69A9">
            <w:pPr>
              <w:jc w:val="center"/>
              <w:rPr>
                <w:rFonts w:ascii="Arial" w:hAnsi="Arial" w:cs="Arial"/>
                <w:lang w:val="en-US"/>
              </w:rPr>
            </w:pPr>
            <w:r w:rsidRPr="006917D8">
              <w:rPr>
                <w:rFonts w:ascii="Arial" w:hAnsi="Arial" w:cs="Arial"/>
                <w:lang w:val="en-US"/>
              </w:rPr>
              <w:t>0.460</w:t>
            </w:r>
          </w:p>
        </w:tc>
        <w:tc>
          <w:tcPr>
            <w:tcW w:w="851" w:type="dxa"/>
            <w:tcBorders>
              <w:top w:val="single" w:sz="2" w:space="0" w:color="auto"/>
              <w:bottom w:val="single" w:sz="18" w:space="0" w:color="000000"/>
            </w:tcBorders>
            <w:vAlign w:val="center"/>
          </w:tcPr>
          <w:p w14:paraId="13AF620A" w14:textId="77777777" w:rsidR="004B69A9" w:rsidRPr="006917D8" w:rsidRDefault="004B69A9" w:rsidP="004B69A9">
            <w:pPr>
              <w:jc w:val="center"/>
              <w:rPr>
                <w:rFonts w:ascii="Arial" w:hAnsi="Arial" w:cs="Arial"/>
                <w:lang w:val="en-US"/>
              </w:rPr>
            </w:pPr>
            <w:r w:rsidRPr="006917D8">
              <w:rPr>
                <w:rFonts w:ascii="Arial" w:hAnsi="Arial" w:cs="Arial"/>
                <w:lang w:val="en-US"/>
              </w:rPr>
              <w:t>0.27</w:t>
            </w:r>
          </w:p>
        </w:tc>
        <w:tc>
          <w:tcPr>
            <w:tcW w:w="992" w:type="dxa"/>
            <w:tcBorders>
              <w:top w:val="single" w:sz="2" w:space="0" w:color="auto"/>
              <w:bottom w:val="single" w:sz="18" w:space="0" w:color="000000"/>
            </w:tcBorders>
            <w:vAlign w:val="center"/>
          </w:tcPr>
          <w:p w14:paraId="4A50E78F" w14:textId="77777777" w:rsidR="004B69A9" w:rsidRPr="006917D8" w:rsidRDefault="004B69A9" w:rsidP="004B69A9">
            <w:pPr>
              <w:jc w:val="center"/>
              <w:rPr>
                <w:rFonts w:ascii="Arial" w:hAnsi="Arial" w:cs="Arial"/>
                <w:lang w:val="en-US"/>
              </w:rPr>
            </w:pPr>
            <w:r w:rsidRPr="006917D8">
              <w:rPr>
                <w:rFonts w:ascii="Arial" w:hAnsi="Arial" w:cs="Arial"/>
                <w:lang w:val="en-US"/>
              </w:rPr>
              <w:t>2.70</w:t>
            </w:r>
          </w:p>
        </w:tc>
        <w:tc>
          <w:tcPr>
            <w:tcW w:w="1276" w:type="dxa"/>
            <w:tcBorders>
              <w:top w:val="single" w:sz="2" w:space="0" w:color="auto"/>
              <w:bottom w:val="single" w:sz="18" w:space="0" w:color="000000"/>
            </w:tcBorders>
            <w:vAlign w:val="center"/>
          </w:tcPr>
          <w:p w14:paraId="1CD02F32" w14:textId="77777777" w:rsidR="004B69A9" w:rsidRPr="006917D8" w:rsidRDefault="004B69A9" w:rsidP="004B69A9">
            <w:pPr>
              <w:jc w:val="center"/>
              <w:rPr>
                <w:rFonts w:ascii="Arial" w:hAnsi="Arial" w:cs="Arial"/>
                <w:lang w:val="en-US"/>
              </w:rPr>
            </w:pPr>
            <w:r w:rsidRPr="006917D8">
              <w:rPr>
                <w:rFonts w:ascii="Arial" w:hAnsi="Arial" w:cs="Arial"/>
                <w:lang w:val="en-US"/>
              </w:rPr>
              <w:t>0.0200</w:t>
            </w:r>
          </w:p>
        </w:tc>
        <w:tc>
          <w:tcPr>
            <w:tcW w:w="801" w:type="dxa"/>
            <w:tcBorders>
              <w:top w:val="single" w:sz="2" w:space="0" w:color="auto"/>
              <w:bottom w:val="single" w:sz="18" w:space="0" w:color="000000"/>
              <w:right w:val="single" w:sz="2" w:space="0" w:color="000000"/>
            </w:tcBorders>
            <w:vAlign w:val="center"/>
          </w:tcPr>
          <w:p w14:paraId="79AF4742" w14:textId="77777777" w:rsidR="004B69A9" w:rsidRPr="006917D8" w:rsidRDefault="004B69A9" w:rsidP="004B69A9">
            <w:pPr>
              <w:jc w:val="center"/>
              <w:rPr>
                <w:rFonts w:ascii="Arial" w:hAnsi="Arial" w:cs="Arial"/>
                <w:lang w:val="en-US"/>
              </w:rPr>
            </w:pPr>
            <w:r w:rsidRPr="006917D8">
              <w:rPr>
                <w:rFonts w:ascii="Arial" w:hAnsi="Arial" w:cs="Arial"/>
                <w:lang w:val="en-US"/>
              </w:rPr>
              <w:t>2.23</w:t>
            </w:r>
          </w:p>
        </w:tc>
      </w:tr>
    </w:tbl>
    <w:p w14:paraId="441AFFE3" w14:textId="0AF98BC2" w:rsidR="004B69A9" w:rsidRPr="006917D8" w:rsidRDefault="004B69A9" w:rsidP="004B69A9">
      <w:pPr>
        <w:spacing w:line="240" w:lineRule="auto"/>
        <w:jc w:val="center"/>
        <w:rPr>
          <w:rFonts w:ascii="Arial" w:hAnsi="Arial" w:cs="Arial"/>
        </w:rPr>
      </w:pPr>
    </w:p>
    <w:p w14:paraId="227347A7" w14:textId="77777777" w:rsidR="004B69A9" w:rsidRPr="006917D8" w:rsidRDefault="004B69A9" w:rsidP="004B69A9">
      <w:pPr>
        <w:spacing w:line="240" w:lineRule="auto"/>
        <w:jc w:val="center"/>
        <w:rPr>
          <w:rFonts w:ascii="Arial" w:hAnsi="Arial" w:cs="Arial"/>
        </w:rPr>
      </w:pPr>
    </w:p>
    <w:p w14:paraId="5AD789C5" w14:textId="42CA09A2" w:rsidR="004B69A9" w:rsidRPr="006917D8" w:rsidRDefault="004B69A9" w:rsidP="004B69A9">
      <w:pPr>
        <w:spacing w:line="240" w:lineRule="auto"/>
        <w:jc w:val="center"/>
        <w:rPr>
          <w:rFonts w:ascii="Arial" w:hAnsi="Arial" w:cs="Arial"/>
          <w:iCs/>
        </w:rPr>
      </w:pPr>
      <w:r w:rsidRPr="006917D8">
        <w:rPr>
          <w:rFonts w:ascii="Arial" w:hAnsi="Arial" w:cs="Arial"/>
          <w:bCs/>
          <w:iCs/>
        </w:rPr>
        <w:t>Table A2.</w:t>
      </w:r>
      <w:r w:rsidRPr="006917D8">
        <w:rPr>
          <w:rFonts w:ascii="Arial" w:hAnsi="Arial" w:cs="Arial"/>
          <w:iCs/>
        </w:rPr>
        <w:t xml:space="preserve"> Parameter values of Ogden model with Mullins effect for plaque.</w:t>
      </w:r>
    </w:p>
    <w:tbl>
      <w:tblPr>
        <w:tblStyle w:val="LightGrid"/>
        <w:tblW w:w="0" w:type="auto"/>
        <w:jc w:val="center"/>
        <w:tblLook w:val="0620" w:firstRow="1" w:lastRow="0" w:firstColumn="0" w:lastColumn="0" w:noHBand="1" w:noVBand="1"/>
      </w:tblPr>
      <w:tblGrid>
        <w:gridCol w:w="1117"/>
        <w:gridCol w:w="1379"/>
        <w:gridCol w:w="1012"/>
        <w:gridCol w:w="1160"/>
        <w:gridCol w:w="522"/>
        <w:gridCol w:w="1406"/>
      </w:tblGrid>
      <w:tr w:rsidR="004B69A9" w:rsidRPr="006917D8" w14:paraId="18BC7F52" w14:textId="77777777" w:rsidTr="00FB5972">
        <w:trPr>
          <w:cnfStyle w:val="100000000000" w:firstRow="1" w:lastRow="0" w:firstColumn="0" w:lastColumn="0" w:oddVBand="0" w:evenVBand="0" w:oddHBand="0" w:evenHBand="0" w:firstRowFirstColumn="0" w:firstRowLastColumn="0" w:lastRowFirstColumn="0" w:lastRowLastColumn="0"/>
          <w:cantSplit/>
          <w:trHeight w:hRule="exact" w:val="454"/>
          <w:jc w:val="center"/>
        </w:trPr>
        <w:tc>
          <w:tcPr>
            <w:tcW w:w="0" w:type="auto"/>
            <w:vAlign w:val="center"/>
            <w:hideMark/>
          </w:tcPr>
          <w:p w14:paraId="19CD3066" w14:textId="77777777" w:rsidR="004B69A9" w:rsidRPr="006917D8" w:rsidRDefault="004B69A9" w:rsidP="004B69A9">
            <w:pPr>
              <w:jc w:val="center"/>
              <w:rPr>
                <w:rFonts w:ascii="Arial" w:eastAsiaTheme="minorEastAsia" w:hAnsi="Arial" w:cs="Arial"/>
                <w:lang w:val="en-US"/>
              </w:rPr>
            </w:pPr>
            <w:r w:rsidRPr="006917D8">
              <w:rPr>
                <w:rFonts w:ascii="Arial" w:eastAsiaTheme="minorEastAsia" w:hAnsi="Arial" w:cs="Arial"/>
                <w:i/>
                <w:lang w:val="en-US"/>
              </w:rPr>
              <w:t>ρ</w:t>
            </w:r>
            <w:r w:rsidRPr="006917D8">
              <w:rPr>
                <w:rFonts w:ascii="Arial" w:eastAsiaTheme="minorEastAsia" w:hAnsi="Arial" w:cs="Arial"/>
                <w:lang w:val="en-US"/>
              </w:rPr>
              <w:t xml:space="preserve"> (t/mm</w:t>
            </w:r>
            <w:r w:rsidRPr="006917D8">
              <w:rPr>
                <w:rFonts w:ascii="Arial" w:eastAsiaTheme="minorEastAsia" w:hAnsi="Arial" w:cs="Arial"/>
                <w:vertAlign w:val="superscript"/>
                <w:lang w:val="en-US"/>
              </w:rPr>
              <w:t>3</w:t>
            </w:r>
            <w:r w:rsidRPr="006917D8">
              <w:rPr>
                <w:rFonts w:ascii="Arial" w:eastAsiaTheme="minorEastAsia" w:hAnsi="Arial" w:cs="Arial"/>
                <w:lang w:val="en-US"/>
              </w:rPr>
              <w:t>)</w:t>
            </w:r>
          </w:p>
        </w:tc>
        <w:tc>
          <w:tcPr>
            <w:tcW w:w="0" w:type="auto"/>
            <w:vAlign w:val="center"/>
            <w:hideMark/>
          </w:tcPr>
          <w:p w14:paraId="6FC666C2" w14:textId="31B8F9DE" w:rsidR="004B69A9" w:rsidRPr="006917D8" w:rsidRDefault="004B69A9" w:rsidP="004B69A9">
            <w:pPr>
              <w:jc w:val="center"/>
              <w:rPr>
                <w:rFonts w:ascii="Arial" w:eastAsiaTheme="minorEastAsia" w:hAnsi="Arial" w:cs="Arial"/>
              </w:rPr>
            </w:pPr>
            <m:oMath>
              <m:r>
                <w:rPr>
                  <w:rFonts w:ascii="Cambria Math" w:hAnsi="Cambria Math" w:cs="Arial"/>
                </w:rPr>
                <m:t>μ</m:t>
              </m:r>
            </m:oMath>
            <w:r w:rsidRPr="006917D8">
              <w:rPr>
                <w:rFonts w:ascii="Arial" w:eastAsiaTheme="minorEastAsia" w:hAnsi="Arial" w:cs="Arial"/>
              </w:rPr>
              <w:t xml:space="preserve"> (MPa)</w:t>
            </w:r>
          </w:p>
        </w:tc>
        <w:tc>
          <w:tcPr>
            <w:tcW w:w="0" w:type="auto"/>
            <w:vAlign w:val="center"/>
            <w:hideMark/>
          </w:tcPr>
          <w:p w14:paraId="2961190A" w14:textId="2FEA07AF" w:rsidR="004B69A9" w:rsidRPr="006917D8" w:rsidRDefault="004B69A9" w:rsidP="004B69A9">
            <w:pPr>
              <w:jc w:val="center"/>
              <w:rPr>
                <w:rFonts w:ascii="Arial" w:eastAsiaTheme="minorEastAsia" w:hAnsi="Arial" w:cs="Arial"/>
              </w:rPr>
            </w:pPr>
            <m:oMathPara>
              <m:oMath>
                <m:r>
                  <w:rPr>
                    <w:rFonts w:ascii="Cambria Math" w:hAnsi="Cambria Math" w:cs="Arial"/>
                  </w:rPr>
                  <m:t>α</m:t>
                </m:r>
              </m:oMath>
            </m:oMathPara>
          </w:p>
        </w:tc>
        <w:tc>
          <w:tcPr>
            <w:tcW w:w="0" w:type="auto"/>
            <w:vAlign w:val="center"/>
            <w:hideMark/>
          </w:tcPr>
          <w:p w14:paraId="0D0A5227" w14:textId="632DC423" w:rsidR="004B69A9" w:rsidRPr="006917D8" w:rsidRDefault="004B69A9" w:rsidP="004B69A9">
            <w:pPr>
              <w:jc w:val="center"/>
              <w:rPr>
                <w:rFonts w:ascii="Arial" w:eastAsiaTheme="minorEastAsia" w:hAnsi="Arial" w:cs="Arial"/>
              </w:rPr>
            </w:pPr>
            <m:oMath>
              <m:r>
                <w:rPr>
                  <w:rFonts w:ascii="Cambria Math" w:hAnsi="Cambria Math" w:cs="Arial"/>
                  <w:lang w:val="en-US"/>
                </w:rPr>
                <m:t>D</m:t>
              </m:r>
            </m:oMath>
            <w:r w:rsidRPr="006917D8">
              <w:rPr>
                <w:rFonts w:ascii="Arial" w:eastAsiaTheme="minorEastAsia" w:hAnsi="Arial" w:cs="Arial"/>
                <w:lang w:val="en-US"/>
              </w:rPr>
              <w:t xml:space="preserve"> (MPa</w:t>
            </w:r>
            <w:r w:rsidRPr="006917D8">
              <w:rPr>
                <w:rFonts w:ascii="Arial" w:eastAsiaTheme="minorEastAsia" w:hAnsi="Arial" w:cs="Arial"/>
                <w:vertAlign w:val="superscript"/>
                <w:lang w:val="en-US"/>
              </w:rPr>
              <w:t>-1</w:t>
            </w:r>
            <w:r w:rsidRPr="006917D8">
              <w:rPr>
                <w:rFonts w:ascii="Arial" w:eastAsiaTheme="minorEastAsia" w:hAnsi="Arial" w:cs="Arial"/>
                <w:lang w:val="en-US"/>
              </w:rPr>
              <w:t>)</w:t>
            </w:r>
          </w:p>
        </w:tc>
        <w:tc>
          <w:tcPr>
            <w:tcW w:w="0" w:type="auto"/>
            <w:vAlign w:val="center"/>
            <w:hideMark/>
          </w:tcPr>
          <w:p w14:paraId="5FFE5A83" w14:textId="77777777" w:rsidR="004B69A9" w:rsidRPr="006917D8" w:rsidRDefault="004B69A9" w:rsidP="004B69A9">
            <w:pPr>
              <w:jc w:val="center"/>
              <w:rPr>
                <w:rFonts w:ascii="Arial" w:eastAsiaTheme="minorEastAsia" w:hAnsi="Arial" w:cs="Arial"/>
                <w:i/>
              </w:rPr>
            </w:pPr>
            <w:r w:rsidRPr="006917D8">
              <w:rPr>
                <w:rFonts w:ascii="Arial" w:eastAsiaTheme="minorEastAsia" w:hAnsi="Arial" w:cs="Arial"/>
                <w:i/>
                <w:lang w:val="en-US"/>
              </w:rPr>
              <w:t>r</w:t>
            </w:r>
          </w:p>
        </w:tc>
        <w:tc>
          <w:tcPr>
            <w:tcW w:w="0" w:type="auto"/>
            <w:vAlign w:val="center"/>
            <w:hideMark/>
          </w:tcPr>
          <w:p w14:paraId="3BE34435" w14:textId="77777777" w:rsidR="004B69A9" w:rsidRPr="006917D8" w:rsidRDefault="004B69A9" w:rsidP="004B69A9">
            <w:pPr>
              <w:jc w:val="center"/>
              <w:rPr>
                <w:rFonts w:ascii="Arial" w:eastAsiaTheme="minorEastAsia" w:hAnsi="Arial" w:cs="Arial"/>
              </w:rPr>
            </w:pPr>
            <w:r w:rsidRPr="006917D8">
              <w:rPr>
                <w:rFonts w:ascii="Arial" w:eastAsiaTheme="minorEastAsia" w:hAnsi="Arial" w:cs="Arial"/>
                <w:i/>
                <w:lang w:val="en-US"/>
              </w:rPr>
              <w:t>m</w:t>
            </w:r>
            <w:r w:rsidRPr="006917D8">
              <w:rPr>
                <w:rFonts w:ascii="Arial" w:eastAsiaTheme="minorEastAsia" w:hAnsi="Arial" w:cs="Arial"/>
                <w:lang w:val="en-US"/>
              </w:rPr>
              <w:t xml:space="preserve"> </w:t>
            </w:r>
            <w:r w:rsidRPr="006917D8">
              <w:rPr>
                <w:rFonts w:ascii="Arial" w:eastAsiaTheme="minorEastAsia" w:hAnsi="Arial" w:cs="Arial"/>
              </w:rPr>
              <w:t>(</w:t>
            </w:r>
            <w:proofErr w:type="spellStart"/>
            <w:r w:rsidRPr="006917D8">
              <w:rPr>
                <w:rFonts w:ascii="Arial" w:eastAsiaTheme="minorEastAsia" w:hAnsi="Arial" w:cs="Arial"/>
              </w:rPr>
              <w:t>mJ</w:t>
            </w:r>
            <w:proofErr w:type="spellEnd"/>
            <w:r w:rsidRPr="006917D8">
              <w:rPr>
                <w:rFonts w:ascii="Arial" w:eastAsiaTheme="minorEastAsia" w:hAnsi="Arial" w:cs="Arial"/>
              </w:rPr>
              <w:t>/mm</w:t>
            </w:r>
            <w:r w:rsidRPr="006917D8">
              <w:rPr>
                <w:rFonts w:ascii="Arial" w:eastAsiaTheme="minorEastAsia" w:hAnsi="Arial" w:cs="Arial"/>
                <w:vertAlign w:val="superscript"/>
              </w:rPr>
              <w:t>3</w:t>
            </w:r>
            <w:r w:rsidRPr="006917D8">
              <w:rPr>
                <w:rFonts w:ascii="Arial" w:eastAsiaTheme="minorEastAsia" w:hAnsi="Arial" w:cs="Arial"/>
              </w:rPr>
              <w:t>)</w:t>
            </w:r>
          </w:p>
        </w:tc>
      </w:tr>
      <w:tr w:rsidR="004B69A9" w:rsidRPr="006917D8" w14:paraId="282C9C2E" w14:textId="77777777" w:rsidTr="00FB5972">
        <w:trPr>
          <w:cantSplit/>
          <w:trHeight w:hRule="exact" w:val="454"/>
          <w:jc w:val="center"/>
        </w:trPr>
        <w:tc>
          <w:tcPr>
            <w:tcW w:w="0" w:type="auto"/>
            <w:vAlign w:val="center"/>
            <w:hideMark/>
          </w:tcPr>
          <w:p w14:paraId="126D2D01" w14:textId="77777777" w:rsidR="004B69A9" w:rsidRPr="006917D8" w:rsidRDefault="004B69A9" w:rsidP="004B69A9">
            <w:pPr>
              <w:jc w:val="center"/>
              <w:rPr>
                <w:rFonts w:ascii="Arial" w:hAnsi="Arial" w:cs="Arial"/>
                <w:bCs/>
              </w:rPr>
            </w:pPr>
            <w:bookmarkStart w:id="0" w:name="_Hlk520265894"/>
            <w:r w:rsidRPr="006917D8">
              <w:rPr>
                <w:rFonts w:ascii="Arial" w:hAnsi="Arial" w:cs="Arial"/>
                <w:bCs/>
                <w:lang w:val="en-US"/>
              </w:rPr>
              <w:t>1.22E-9</w:t>
            </w:r>
          </w:p>
        </w:tc>
        <w:tc>
          <w:tcPr>
            <w:tcW w:w="0" w:type="auto"/>
            <w:vAlign w:val="center"/>
            <w:hideMark/>
          </w:tcPr>
          <w:p w14:paraId="01644C65" w14:textId="77777777" w:rsidR="004B69A9" w:rsidRPr="006917D8" w:rsidRDefault="004B69A9" w:rsidP="004B69A9">
            <w:pPr>
              <w:jc w:val="center"/>
              <w:rPr>
                <w:rFonts w:ascii="Arial" w:hAnsi="Arial" w:cs="Arial"/>
                <w:bCs/>
              </w:rPr>
            </w:pPr>
            <w:bookmarkStart w:id="1" w:name="OLE_LINK45"/>
            <w:bookmarkStart w:id="2" w:name="OLE_LINK46"/>
            <w:r w:rsidRPr="006917D8">
              <w:rPr>
                <w:rFonts w:ascii="Arial" w:hAnsi="Arial" w:cs="Arial"/>
                <w:bCs/>
                <w:lang w:val="en-US"/>
              </w:rPr>
              <w:t>0.00396803</w:t>
            </w:r>
            <w:bookmarkEnd w:id="1"/>
            <w:bookmarkEnd w:id="2"/>
          </w:p>
        </w:tc>
        <w:tc>
          <w:tcPr>
            <w:tcW w:w="0" w:type="auto"/>
            <w:vAlign w:val="center"/>
            <w:hideMark/>
          </w:tcPr>
          <w:p w14:paraId="7FD367AC" w14:textId="77777777" w:rsidR="004B69A9" w:rsidRPr="006917D8" w:rsidRDefault="004B69A9" w:rsidP="004B69A9">
            <w:pPr>
              <w:jc w:val="center"/>
              <w:rPr>
                <w:rFonts w:ascii="Arial" w:hAnsi="Arial" w:cs="Arial"/>
                <w:bCs/>
              </w:rPr>
            </w:pPr>
            <w:bookmarkStart w:id="3" w:name="OLE_LINK47"/>
            <w:bookmarkStart w:id="4" w:name="OLE_LINK48"/>
            <w:r w:rsidRPr="006917D8">
              <w:rPr>
                <w:rFonts w:ascii="Arial" w:hAnsi="Arial" w:cs="Arial"/>
                <w:bCs/>
              </w:rPr>
              <w:t>13.8367</w:t>
            </w:r>
            <w:bookmarkEnd w:id="3"/>
            <w:bookmarkEnd w:id="4"/>
          </w:p>
        </w:tc>
        <w:tc>
          <w:tcPr>
            <w:tcW w:w="0" w:type="auto"/>
            <w:vAlign w:val="center"/>
            <w:hideMark/>
          </w:tcPr>
          <w:p w14:paraId="6C3D3F66" w14:textId="77777777" w:rsidR="004B69A9" w:rsidRPr="006917D8" w:rsidRDefault="004B69A9" w:rsidP="004B69A9">
            <w:pPr>
              <w:jc w:val="center"/>
              <w:rPr>
                <w:rFonts w:ascii="Arial" w:hAnsi="Arial" w:cs="Arial"/>
                <w:bCs/>
              </w:rPr>
            </w:pPr>
            <w:r w:rsidRPr="006917D8">
              <w:rPr>
                <w:rFonts w:ascii="Arial" w:hAnsi="Arial" w:cs="Arial"/>
                <w:bCs/>
                <w:lang w:val="en-US"/>
              </w:rPr>
              <w:t>0.239019</w:t>
            </w:r>
          </w:p>
        </w:tc>
        <w:tc>
          <w:tcPr>
            <w:tcW w:w="0" w:type="auto"/>
            <w:vAlign w:val="center"/>
            <w:hideMark/>
          </w:tcPr>
          <w:p w14:paraId="04B6127C" w14:textId="77777777" w:rsidR="004B69A9" w:rsidRPr="006917D8" w:rsidRDefault="004B69A9" w:rsidP="004B69A9">
            <w:pPr>
              <w:jc w:val="center"/>
              <w:rPr>
                <w:rFonts w:ascii="Arial" w:hAnsi="Arial" w:cs="Arial"/>
                <w:bCs/>
              </w:rPr>
            </w:pPr>
            <w:r w:rsidRPr="006917D8">
              <w:rPr>
                <w:rFonts w:ascii="Arial" w:hAnsi="Arial" w:cs="Arial"/>
                <w:bCs/>
                <w:lang w:val="en-US"/>
              </w:rPr>
              <w:t>1.3</w:t>
            </w:r>
          </w:p>
        </w:tc>
        <w:tc>
          <w:tcPr>
            <w:tcW w:w="0" w:type="auto"/>
            <w:vAlign w:val="center"/>
            <w:hideMark/>
          </w:tcPr>
          <w:p w14:paraId="57EFDE36" w14:textId="77777777" w:rsidR="004B69A9" w:rsidRPr="006917D8" w:rsidRDefault="004B69A9" w:rsidP="004B69A9">
            <w:pPr>
              <w:jc w:val="center"/>
              <w:rPr>
                <w:rFonts w:ascii="Arial" w:hAnsi="Arial" w:cs="Arial"/>
                <w:bCs/>
              </w:rPr>
            </w:pPr>
            <w:r w:rsidRPr="006917D8">
              <w:rPr>
                <w:rFonts w:ascii="Arial" w:hAnsi="Arial" w:cs="Arial"/>
                <w:bCs/>
                <w:lang w:val="en-US"/>
              </w:rPr>
              <w:t>0.008</w:t>
            </w:r>
          </w:p>
        </w:tc>
      </w:tr>
      <w:bookmarkEnd w:id="0"/>
    </w:tbl>
    <w:p w14:paraId="52704D07" w14:textId="77777777" w:rsidR="004B69A9" w:rsidRPr="006917D8" w:rsidRDefault="004B69A9" w:rsidP="004B69A9">
      <w:pPr>
        <w:spacing w:line="240" w:lineRule="auto"/>
        <w:rPr>
          <w:rFonts w:ascii="Arial" w:hAnsi="Arial" w:cs="Arial"/>
        </w:rPr>
      </w:pPr>
    </w:p>
    <w:p w14:paraId="3947E7DA" w14:textId="77777777" w:rsidR="004B69A9" w:rsidRPr="006917D8" w:rsidRDefault="004B69A9" w:rsidP="004B69A9">
      <w:pPr>
        <w:spacing w:line="240" w:lineRule="auto"/>
        <w:jc w:val="center"/>
        <w:rPr>
          <w:rFonts w:ascii="Arial" w:hAnsi="Arial" w:cs="Arial"/>
          <w:iCs/>
        </w:rPr>
      </w:pPr>
      <w:r w:rsidRPr="006917D8">
        <w:rPr>
          <w:rFonts w:ascii="Arial" w:hAnsi="Arial" w:cs="Arial"/>
          <w:noProof/>
        </w:rPr>
        <w:lastRenderedPageBreak/>
        <w:drawing>
          <wp:inline distT="0" distB="0" distL="0" distR="0" wp14:anchorId="58B14328" wp14:editId="236A4A46">
            <wp:extent cx="4991100" cy="709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7096125"/>
                    </a:xfrm>
                    <a:prstGeom prst="rect">
                      <a:avLst/>
                    </a:prstGeom>
                    <a:noFill/>
                    <a:ln>
                      <a:noFill/>
                    </a:ln>
                  </pic:spPr>
                </pic:pic>
              </a:graphicData>
            </a:graphic>
          </wp:inline>
        </w:drawing>
      </w:r>
    </w:p>
    <w:p w14:paraId="169655AA" w14:textId="53DE8D50" w:rsidR="004B69A9" w:rsidRPr="006917D8" w:rsidRDefault="004B69A9" w:rsidP="004B69A9">
      <w:pPr>
        <w:spacing w:line="240" w:lineRule="auto"/>
        <w:jc w:val="center"/>
        <w:rPr>
          <w:rFonts w:ascii="Arial" w:hAnsi="Arial" w:cs="Arial"/>
          <w:iCs/>
        </w:rPr>
      </w:pPr>
      <w:r w:rsidRPr="006917D8">
        <w:rPr>
          <w:rFonts w:ascii="Arial" w:hAnsi="Arial" w:cs="Arial"/>
          <w:iCs/>
        </w:rPr>
        <w:t xml:space="preserve">Fig. </w:t>
      </w:r>
      <w:r w:rsidR="00ED6402" w:rsidRPr="006917D8">
        <w:rPr>
          <w:rFonts w:ascii="Arial" w:hAnsi="Arial" w:cs="Arial"/>
          <w:iCs/>
        </w:rPr>
        <w:t>A2</w:t>
      </w:r>
      <w:r w:rsidRPr="006917D8">
        <w:rPr>
          <w:rFonts w:ascii="Arial" w:hAnsi="Arial" w:cs="Arial"/>
          <w:iCs/>
        </w:rPr>
        <w:t xml:space="preserve">. Stress-stretch responses of media (a) and adventitia (b) simulated using modified HGO-C model with damage, in comparison with those for thoracic aortas in </w:t>
      </w:r>
      <w:r w:rsidRPr="006917D8">
        <w:rPr>
          <w:rFonts w:ascii="Arial" w:hAnsi="Arial" w:cs="Arial"/>
          <w:iCs/>
        </w:rPr>
        <w:fldChar w:fldCharType="begin" w:fldLock="1"/>
      </w:r>
      <w:r w:rsidRPr="006917D8">
        <w:rPr>
          <w:rFonts w:ascii="Arial" w:hAnsi="Arial" w:cs="Arial"/>
          <w:iCs/>
        </w:rPr>
        <w:instrText>ADDIN CSL_CITATION {"citationItems":[{"id":"ITEM-1","itemData":{"DOI":"10.1016/j.jmbbm.2016.03.026","ISBN":"1751-6161","ISSN":"18780180","abstract":"Inelastic phenomena such as stress softening and unrecoverable inelastic deformations induced by supra-physiological loading have been observed experimentally in soft tissues such as arteries. These phenomena need to be accounted for in constitutive models of arterial tissues so that computational models can properly predict the outcome of interventional procedures such as arterial clamping and balloon angioplasty that involve non-physiological tissue loading. Motivated by experimental data, a novel pseudo-elastic damage model is proposed to describe discontinuous softening and permanent deformation in arterial tissues. The model is fitted to experimental data and specific material parameters for 9 abdominal and 14 thoracic aortas are provided. Furthermore, the model was implemented in a finite element code and numerically analyzed with respect to experimental tests, i.e. cyclic uniaxial tension in circumferential and longitudinal directions. Results showed that the model is able to capture specific features including anisotropy, nonlinearity, and damage-induced inelastic phenomena, i.e. stress softening and permanent deformation. Finite element results of a more complex boundary-value problem, i.e. aortic clamping considering the three aortic layers, residual stress, non-symmetric blood pressure after clamping, and patient-specific data are also presented.","author":[{"dropping-particle":"","family":"Fereidoonnezhad","given":"B.","non-dropping-particle":"","parse-names":false,"suffix":""},{"dropping-particle":"","family":"Naghdabadi","given":"R.","non-dropping-particle":"","parse-names":false,"suffix":""},{"dropping-particle":"","family":"Holzapfel","given":"G. A.","non-dropping-particle":"","parse-names":false,"suffix":""}],"container-title":"Journal of the Mechanical Behavior of Biomedical Materials","id":"ITEM-1","issued":{"date-parts":[["2016"]]},"page":"600-616","title":"Stress softening and permanent deformation in human aortas: Continuum and computational modeling with application to arterial clamping","type":"article-journal","volume":"61"},"uris":["http://www.mendeley.com/documents/?uuid=53b51325-a22b-4296-9013-7a4287c2b317"]}],"mendeley":{"formattedCitation":"(Fereidoonnezhad et al., 2016)","manualFormatting":"Fereidoonnezhad et al. (2016)","plainTextFormattedCitation":"(Fereidoonnezhad et al., 2016)","previouslyFormattedCitation":"(Fereidoonnezhad et al., 2016)"},"properties":{"noteIndex":0},"schema":"https://github.com/citation-style-language/schema/raw/master/csl-citation.json"}</w:instrText>
      </w:r>
      <w:r w:rsidRPr="006917D8">
        <w:rPr>
          <w:rFonts w:ascii="Arial" w:hAnsi="Arial" w:cs="Arial"/>
          <w:iCs/>
        </w:rPr>
        <w:fldChar w:fldCharType="separate"/>
      </w:r>
      <w:r w:rsidRPr="006917D8">
        <w:rPr>
          <w:rFonts w:ascii="Arial" w:hAnsi="Arial" w:cs="Arial"/>
          <w:iCs/>
          <w:noProof/>
        </w:rPr>
        <w:t>Fereidoonnezhad et al. (2016)</w:t>
      </w:r>
      <w:r w:rsidRPr="006917D8">
        <w:rPr>
          <w:rFonts w:ascii="Arial" w:hAnsi="Arial" w:cs="Arial"/>
        </w:rPr>
        <w:fldChar w:fldCharType="end"/>
      </w:r>
      <w:r w:rsidRPr="006917D8">
        <w:rPr>
          <w:rFonts w:ascii="Arial" w:hAnsi="Arial" w:cs="Arial"/>
          <w:iCs/>
        </w:rPr>
        <w:t xml:space="preserve"> (black squares indicate unloading points).</w:t>
      </w:r>
    </w:p>
    <w:p w14:paraId="20610877" w14:textId="77777777" w:rsidR="004B69A9" w:rsidRPr="006917D8" w:rsidRDefault="004B69A9" w:rsidP="004B69A9">
      <w:pPr>
        <w:spacing w:line="240" w:lineRule="auto"/>
        <w:rPr>
          <w:rFonts w:ascii="Arial" w:hAnsi="Arial" w:cs="Arial"/>
          <w:iCs/>
        </w:rPr>
      </w:pPr>
    </w:p>
    <w:p w14:paraId="458E8F6D" w14:textId="77777777" w:rsidR="004B69A9" w:rsidRPr="006917D8" w:rsidRDefault="004B69A9" w:rsidP="004B69A9">
      <w:pPr>
        <w:spacing w:line="240" w:lineRule="auto"/>
        <w:jc w:val="center"/>
        <w:rPr>
          <w:rFonts w:ascii="Arial" w:hAnsi="Arial" w:cs="Arial"/>
        </w:rPr>
      </w:pPr>
      <w:r w:rsidRPr="006917D8">
        <w:rPr>
          <w:rFonts w:ascii="Arial" w:hAnsi="Arial" w:cs="Arial"/>
        </w:rPr>
        <w:object w:dxaOrig="7248" w:dyaOrig="4357" w14:anchorId="58E8F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17.5pt" o:ole="">
            <v:imagedata r:id="rId13" o:title=""/>
          </v:shape>
          <o:OLEObject Type="Embed" ProgID="Visio.Drawing.15" ShapeID="_x0000_i1025" DrawAspect="Content" ObjectID="_1680415146" r:id="rId14"/>
        </w:object>
      </w:r>
    </w:p>
    <w:p w14:paraId="09212C68" w14:textId="08E39697" w:rsidR="004B69A9" w:rsidRPr="006917D8" w:rsidRDefault="004B69A9" w:rsidP="004B69A9">
      <w:pPr>
        <w:spacing w:line="240" w:lineRule="auto"/>
        <w:jc w:val="center"/>
        <w:rPr>
          <w:rFonts w:ascii="Arial" w:hAnsi="Arial" w:cs="Arial"/>
          <w:iCs/>
        </w:rPr>
      </w:pPr>
      <w:r w:rsidRPr="006917D8">
        <w:rPr>
          <w:rFonts w:ascii="Arial" w:hAnsi="Arial" w:cs="Arial"/>
          <w:iCs/>
        </w:rPr>
        <w:t xml:space="preserve">Fig. </w:t>
      </w:r>
      <w:r w:rsidR="00ED6402" w:rsidRPr="006917D8">
        <w:rPr>
          <w:rFonts w:ascii="Arial" w:hAnsi="Arial" w:cs="Arial"/>
          <w:iCs/>
        </w:rPr>
        <w:t>A3</w:t>
      </w:r>
      <w:r w:rsidRPr="006917D8">
        <w:rPr>
          <w:rFonts w:ascii="Arial" w:hAnsi="Arial" w:cs="Arial"/>
          <w:iCs/>
        </w:rPr>
        <w:t xml:space="preserve">. Stress-stretch response of plaque simulated using Ogden model with Mullins effect, in comparison with </w:t>
      </w:r>
      <w:bookmarkStart w:id="5" w:name="OLE_LINK8"/>
      <w:r w:rsidRPr="006917D8">
        <w:rPr>
          <w:rFonts w:ascii="Arial" w:hAnsi="Arial" w:cs="Arial"/>
          <w:iCs/>
        </w:rPr>
        <w:t xml:space="preserve">experimental data for </w:t>
      </w:r>
      <w:proofErr w:type="spellStart"/>
      <w:r w:rsidRPr="006917D8">
        <w:rPr>
          <w:rFonts w:ascii="Arial" w:hAnsi="Arial" w:cs="Arial"/>
          <w:iCs/>
        </w:rPr>
        <w:t>echolucent</w:t>
      </w:r>
      <w:proofErr w:type="spellEnd"/>
      <w:r w:rsidRPr="006917D8">
        <w:rPr>
          <w:rFonts w:ascii="Arial" w:hAnsi="Arial" w:cs="Arial"/>
          <w:iCs/>
        </w:rPr>
        <w:t xml:space="preserve"> plaque in </w:t>
      </w:r>
      <w:r w:rsidRPr="006917D8">
        <w:rPr>
          <w:rFonts w:ascii="Arial" w:hAnsi="Arial" w:cs="Arial"/>
          <w:iCs/>
        </w:rPr>
        <w:fldChar w:fldCharType="begin" w:fldLock="1"/>
      </w:r>
      <w:r w:rsidRPr="006917D8">
        <w:rPr>
          <w:rFonts w:ascii="Arial" w:hAnsi="Arial" w:cs="Arial"/>
          <w:iCs/>
        </w:rPr>
        <w:instrText>ADDIN CSL_CITATION {"citationItems":[{"id":"ITEM-1","itemData":{"DOI":"10.1007/s10439-011-0331-4","ISBN":"1573-9686","ISSN":"00906964","PMID":"21618044","abstract":"Little mechanical test data exists regarding the inelastic behavior of atherosclerotic plaques. As a result finite element (FE) models of stenting procedures commonly use hyperelastic material models to describe the soft tissue response thus limiting the accuracy of the model to the expansion stage of stent implantation and leave them unable to predict the lumen gain. In this study, cyclic mechanical tests were performed to characterize the inelastic behavior of fresh human carotid atherosclerotic plaque tissue due to radial compressive loading. Plaques were classified clinically as either mixed (M), calcified (Ca), or echolucent (E). An approximately linear increase in the plastic deformation was observed with increases in the peak applied strain for all plaque types. While calcified plaques generally appeared stiffest, it was observed that the clinical classification of plaques had no significant effect on the magnitude of permanent deformation on unloading. The test data was characterized using a constitutive model that accounts for both permanent deformation and stress softening to describe the compressive plaque behavior on unloading. Material constants are reported for individual plaques as well as mean values for each plaque classification. This data can be considered as a first step in characterizing the inelastic behavior of atherosclerotic plaques and could be used in combination with future mechanical data to improve the predictive capabilities of FE models of angioplasty and stenting procedures particularly in relation to lumen gain.","author":[{"dropping-particle":"","family":"Maher","given":"Eoghan","non-dropping-particle":"","parse-names":false,"suffix":""},{"dropping-particle":"","family":"Creane","given":"Arthur","non-dropping-particle":"","parse-names":false,"suffix":""},{"dropping-particle":"","family":"Sultan","given":"Sherif","non-dropping-particle":"","parse-names":false,"suffix":""},{"dropping-particle":"","family":"Hynes","given":"Niamh","non-dropping-particle":"","parse-names":false,"suffix":""},{"dropping-particle":"","family":"Lally","given":"Caitríona","non-dropping-particle":"","parse-names":false,"suffix":""},{"dropping-particle":"","family":"Kelly","given":"Daniel J.","non-dropping-particle":"","parse-names":false,"suffix":""}],"container-title":"Annals of Biomedical Engineering","id":"ITEM-1","issue":"9","issued":{"date-parts":[["2011"]]},"page":"2445-2455","title":"Inelasticity of human carotid atherosclerotic plaque","type":"article-journal","volume":"39"},"uris":["http://www.mendeley.com/documents/?uuid=0521e3bb-751f-4ef5-b3fb-f7337edf91f0"]}],"mendeley":{"formattedCitation":"(Maher et al., 2011)","manualFormatting":"Maher et al. (2011)","plainTextFormattedCitation":"(Maher et al., 2011)","previouslyFormattedCitation":"(Maher et al., 2011)"},"properties":{"noteIndex":0},"schema":"https://github.com/citation-style-language/schema/raw/master/csl-citation.json"}</w:instrText>
      </w:r>
      <w:r w:rsidRPr="006917D8">
        <w:rPr>
          <w:rFonts w:ascii="Arial" w:hAnsi="Arial" w:cs="Arial"/>
          <w:iCs/>
        </w:rPr>
        <w:fldChar w:fldCharType="separate"/>
      </w:r>
      <w:r w:rsidRPr="006917D8">
        <w:rPr>
          <w:rFonts w:ascii="Arial" w:hAnsi="Arial" w:cs="Arial"/>
          <w:iCs/>
          <w:noProof/>
        </w:rPr>
        <w:t>Maher et al. (2011)</w:t>
      </w:r>
      <w:r w:rsidRPr="006917D8">
        <w:rPr>
          <w:rFonts w:ascii="Arial" w:hAnsi="Arial" w:cs="Arial"/>
        </w:rPr>
        <w:fldChar w:fldCharType="end"/>
      </w:r>
      <w:bookmarkEnd w:id="5"/>
      <w:r w:rsidRPr="006917D8">
        <w:rPr>
          <w:rFonts w:ascii="Arial" w:hAnsi="Arial" w:cs="Arial"/>
          <w:iCs/>
        </w:rPr>
        <w:t xml:space="preserve"> (unloading occurred at stretch levels of about 1.2, 1.3, 1.4 and 1.5).</w:t>
      </w:r>
    </w:p>
    <w:p w14:paraId="6F9C386D" w14:textId="77777777" w:rsidR="004B69A9" w:rsidRPr="006917D8" w:rsidRDefault="004B69A9" w:rsidP="004E2A21">
      <w:pPr>
        <w:spacing w:line="240" w:lineRule="auto"/>
        <w:rPr>
          <w:rFonts w:ascii="Arial" w:hAnsi="Arial" w:cs="Arial"/>
        </w:rPr>
      </w:pPr>
    </w:p>
    <w:p w14:paraId="0A3893D9" w14:textId="77777777" w:rsidR="004B69A9" w:rsidRPr="006917D8" w:rsidRDefault="004B69A9" w:rsidP="004E2A21">
      <w:pPr>
        <w:spacing w:line="240" w:lineRule="auto"/>
        <w:rPr>
          <w:rFonts w:ascii="Arial" w:hAnsi="Arial" w:cs="Arial"/>
        </w:rPr>
      </w:pPr>
    </w:p>
    <w:p w14:paraId="4AF97AD2" w14:textId="06828080" w:rsidR="00056851" w:rsidRPr="006917D8" w:rsidRDefault="00056851" w:rsidP="004E2A21">
      <w:pPr>
        <w:spacing w:line="240" w:lineRule="auto"/>
        <w:rPr>
          <w:rFonts w:ascii="Arial" w:hAnsi="Arial" w:cs="Arial"/>
        </w:rPr>
      </w:pPr>
      <w:r w:rsidRPr="006917D8">
        <w:rPr>
          <w:rFonts w:ascii="Arial" w:hAnsi="Arial" w:cs="Arial"/>
        </w:rPr>
        <w:t>The parameters of the modified anisotropic model with damage, used for describing the arterial layers, were determined by fitting the experimental data for thoracic aortas, while the plaque parameters were detected by fitting the experimental data from human carotid atherosclerotic plaque. Thus, it should be noted that the mechanical properties of femoropopliteal artery and plaque differ from those of thoracic aorta and carotid plaque, respectively, which may affect the simulation results.</w:t>
      </w:r>
      <w:r w:rsidR="0066580E" w:rsidRPr="006917D8">
        <w:rPr>
          <w:rFonts w:ascii="Arial" w:hAnsi="Arial" w:cs="Arial"/>
        </w:rPr>
        <w:t xml:space="preserve"> The diseased arteries are vastly inhomogeneous within each layer, and the most inhomogeneous part is actually the atherosclerotic plaque that was modelled as a homogeneous material in this study.</w:t>
      </w:r>
      <w:r w:rsidRPr="006917D8">
        <w:rPr>
          <w:rFonts w:ascii="Arial" w:hAnsi="Arial" w:cs="Arial"/>
        </w:rPr>
        <w:t xml:space="preserve"> However, experimental data for specific arterial layers and plaque in a femoropopliteal artery were not available in the literature. </w:t>
      </w:r>
      <w:r w:rsidRPr="006917D8">
        <w:rPr>
          <w:rFonts w:ascii="Arial" w:hAnsi="Arial" w:cs="Arial"/>
        </w:rPr>
        <w:fldChar w:fldCharType="begin" w:fldLock="1"/>
      </w:r>
      <w:r w:rsidR="00D31967" w:rsidRPr="006917D8">
        <w:rPr>
          <w:rFonts w:ascii="Arial" w:hAnsi="Arial" w:cs="Arial"/>
        </w:rPr>
        <w:instrText>ADDIN CSL_CITATION {"citationItems":[{"id":"ITEM-1","itemData":{"DOI":"10.1016/j.actbio.2019.03.053","ISSN":"18787568","PMID":"30928732","abstract":"Endovascular treatment of Peripheral Arterial Disease (PAD)is notorious for high failure rates, and interaction between the arterial wall and the repair devices plays a significant role. Computational modeling can help improve clinical outcomes of these interventions, but it requires accurate inputs of elastic and damage characteristics of the femoropopliteal artery (FPA)which are currently not available. Fresh human FPAs from n = 104 tissue donors 14–80 years old were tested using planar biaxial extension to capture elastic and damage characteristics. Damage initiation stretches and stresses were determined for both longitudinal and circumferential directions, and their correlations with age and risk factors were assessed. Two and four-fiber-family invariant-based constitutive models augmented with damage functions were used to describe stress softening with accumulating damage. In FPAs younger than 50 years, damage began accumulating after 1.51 ± 0.13 and 1.49 ± 0.11 stretch, or 196 ± 110 kPa and 239 ± 79 kPa Cauchy stress in the longitudinal and circumferential directions, respectively. In FPAs older than 50 years, damage initiation stretches and stresses decreased to 1.27 ± 0.09 (106 ± 52 kPa)and 1.26 ± 0.09 (104 ± 59 kPa), respectively. Damage manifested primarily as tears at the internal and external elastic laminae and within the tunica media layer. Higher body mass index and presence of diabetes were associated with lower damage initiation stretches and higher stresses. The selected constitutive models were able to accurately portray the FPA behavior in both elastic and inelastic domains, and properties were derived for six age groups. Presented data can help improve fidelity of computational models simulating endovascular PAD repairs that involve arterial damage. Statement of significance: This manuscript describes inelastic, i.e. damage, behavior of human femoropopliteal arteries, and provides values for three constitutive models simulating this behavior computationally. Using a set of 104 human FPAs 14–80 years old, we have investigated stress and stretch levels corresponding to damage initiation, and have studied how these damage characteristics change across different age groups. Presented inelastic arterial characteristics are important for computational simulations modeling balloon angioplasty and stenting of peripheral arterial disease lesions.","author":[{"dropping-particle":"","family":"Anttila","given":"Eric","non-dropping-particle":"","parse-names":false,"suffix":""},{"dropping-particle":"","family":"Balzani","given":"Daniel","non-dropping-particle":"","parse-names":false,"suffix":""},{"dropping-particle":"","family":"Desyatova","given":"Anastasia","non-dropping-particle":"","parse-names":false,"suffix":""},{"dropping-particle":"","family":"Deegan","given":"Paul","non-dropping-particle":"","parse-names":false,"suffix":""},{"dropping-particle":"","family":"MacTaggart","given":"Jason","non-dropping-particle":"","parse-names":false,"suffix":""},{"dropping-particle":"","family":"Kamenskiy","given":"Alexey","non-dropping-particle":"","parse-names":false,"suffix":""}],"container-title":"Acta Biomaterialia","id":"ITEM-1","issued":{"date-parts":[["2019"]]},"page":"225-240","title":"Mechanical damage characterization in human femoropopliteal arteries of different ages","type":"article-journal","volume":"90"},"uris":["http://www.mendeley.com/documents/?uuid=40c25f67-128e-4861-9305-167759b2d056"]}],"mendeley":{"formattedCitation":"(Anttila et al., 2019)","manualFormatting":"Anttila et al. (2019)","plainTextFormattedCitation":"(Anttila et al., 2019)","previouslyFormattedCitation":"(Anttila et al., 2019)"},"properties":{"noteIndex":0},"schema":"https://github.com/citation-style-language/schema/raw/master/csl-citation.json"}</w:instrText>
      </w:r>
      <w:r w:rsidRPr="006917D8">
        <w:rPr>
          <w:rFonts w:ascii="Arial" w:hAnsi="Arial" w:cs="Arial"/>
        </w:rPr>
        <w:fldChar w:fldCharType="separate"/>
      </w:r>
      <w:r w:rsidRPr="006917D8">
        <w:rPr>
          <w:rFonts w:ascii="Arial" w:hAnsi="Arial" w:cs="Arial"/>
          <w:noProof/>
        </w:rPr>
        <w:t>Anttila et al. (2019)</w:t>
      </w:r>
      <w:r w:rsidRPr="006917D8">
        <w:rPr>
          <w:rFonts w:ascii="Arial" w:hAnsi="Arial" w:cs="Arial"/>
        </w:rPr>
        <w:fldChar w:fldCharType="end"/>
      </w:r>
      <w:r w:rsidRPr="006917D8">
        <w:rPr>
          <w:rFonts w:ascii="Arial" w:hAnsi="Arial" w:cs="Arial"/>
        </w:rPr>
        <w:t xml:space="preserve"> tested the behaviour of a human femoropopliteal arterial wall but as a single layer (i.e. no separation of media and adventitia layers), making the data not suitable for the current work. This is the main reason that we used the experimental data for thoracic aortas and human carotid atherosclerotic plaque</w:t>
      </w:r>
      <w:r w:rsidR="002C2058" w:rsidRPr="006917D8">
        <w:rPr>
          <w:rFonts w:ascii="Arial" w:hAnsi="Arial" w:cs="Arial"/>
        </w:rPr>
        <w:t>, will need to be tackled in future research efforts.</w:t>
      </w:r>
    </w:p>
    <w:p w14:paraId="1F956B52" w14:textId="138BDDB3" w:rsidR="00056851" w:rsidRPr="006917D8" w:rsidRDefault="00056851" w:rsidP="004E2A21">
      <w:pPr>
        <w:spacing w:line="240" w:lineRule="auto"/>
        <w:rPr>
          <w:rFonts w:ascii="Arial" w:hAnsi="Arial" w:cs="Arial"/>
        </w:rPr>
      </w:pPr>
    </w:p>
    <w:p w14:paraId="77C4DF63" w14:textId="13EFD38B" w:rsidR="003273F3" w:rsidRPr="006917D8" w:rsidRDefault="00E85B19" w:rsidP="004E2A21">
      <w:pPr>
        <w:spacing w:line="240" w:lineRule="auto"/>
        <w:rPr>
          <w:rFonts w:ascii="Arial" w:hAnsi="Arial" w:cs="Arial"/>
        </w:rPr>
      </w:pPr>
      <w:r w:rsidRPr="006917D8">
        <w:rPr>
          <w:rFonts w:ascii="Arial" w:hAnsi="Arial" w:cs="Arial"/>
        </w:rPr>
        <w:t xml:space="preserve">It should be noted that we did not calibrate the artery model ourselves, and it was done by </w:t>
      </w:r>
      <w:proofErr w:type="spellStart"/>
      <w:r w:rsidRPr="006917D8">
        <w:rPr>
          <w:rFonts w:ascii="Arial" w:hAnsi="Arial" w:cs="Arial"/>
        </w:rPr>
        <w:t>Fereidoonnezhad</w:t>
      </w:r>
      <w:proofErr w:type="spellEnd"/>
      <w:r w:rsidRPr="006917D8">
        <w:rPr>
          <w:rFonts w:ascii="Arial" w:hAnsi="Arial" w:cs="Arial"/>
        </w:rPr>
        <w:t xml:space="preserve"> et al. (2016) using the experimental data given in</w:t>
      </w:r>
      <w:r w:rsidR="00B66D46" w:rsidRPr="006917D8">
        <w:rPr>
          <w:rFonts w:ascii="Arial" w:hAnsi="Arial" w:cs="Arial"/>
        </w:rPr>
        <w:t xml:space="preserve"> </w:t>
      </w:r>
      <w:r w:rsidR="00B66D46" w:rsidRPr="006917D8">
        <w:rPr>
          <w:rFonts w:ascii="Arial" w:hAnsi="Arial" w:cs="Arial"/>
        </w:rPr>
        <w:fldChar w:fldCharType="begin" w:fldLock="1"/>
      </w:r>
      <w:r w:rsidR="00704A9D" w:rsidRPr="006917D8">
        <w:rPr>
          <w:rFonts w:ascii="Arial" w:hAnsi="Arial" w:cs="Arial"/>
        </w:rPr>
        <w:instrText>ADDIN CSL_CITATION {"citationItems":[{"id":"ITEM-1","itemData":{"DOI":"10.1016/j.jmbbm.2012.03.012","ISBN":"1878-0180 (Electronic)\\r1878-0180 (Linking)","ISSN":"17516161","PMID":"22659370","abstract":"Many treatments for cardiovascular diseases include an endovascular insertion of stents or stent grafts into arteries, a procedure which may cause high tissue stresses and even damage in the arterial wall. In order to study such problems by using finite element methods, both appropriate constitutive models and experimental data on human tissue samples are required. Layer-specific experimental data for human tissue tested up to the supra-physiological loading range are rare in the literature. In this study, intact and layer-separated experimental data from uniaxial extension tests are presented for human thoracic and abdominal aortas with non-atherosclerotic intimal thickening undergoing supra-physiological loading. A novel pseudo-elastic damage model, proposed to describe discontinuous softening in aortic arterial tissues, is fit to the obtained experimental data. Fitting of the model with and without consideration of damage accumulation in the non-collagenous matrix material reveals that tissue damage is primarily related to the collagen fiber fabric. By employing the fit model, the effect of aortic tissue pre-conditioning on the material parameters from the resulting data fits is evaluated. Histological examination of the collagen fibers under different applied stretches is used to gain more insights into the structural changes of the tissue under supra-physiological loading. © 2012 Elsevier Ltd.","author":[{"dropping-particle":"","family":"Weisbecker","given":"Hannah","non-dropping-particle":"","parse-names":false,"suffix":""},{"dropping-particle":"","family":"Pierce","given":"David M.","non-dropping-particle":"","parse-names":false,"suffix":""},{"dropping-particle":"","family":"Regitnig","given":"Peter","non-dropping-particle":"","parse-names":false,"suffix":""},{"dropping-particle":"","family":"Holzapfel","given":"Gerhard A.","non-dropping-particle":"","parse-names":false,"suffix":""}],"container-title":"Journal of the Mechanical Behavior of Biomedical Materials","id":"ITEM-1","issued":{"date-parts":[["2012"]]},"page":"93-106","title":"Layer-specific damage experiments and modeling of human thoracic and abdominal aortas with non-atherosclerotic intimal thickening","type":"article-journal","volume":"12"},"uris":["http://www.mendeley.com/documents/?uuid=790f22d1-24fd-4c37-949b-099209e51bdc"]}],"mendeley":{"formattedCitation":"(Weisbecker et al., 2012)","manualFormatting":"Weisbecker et al. (2012)","plainTextFormattedCitation":"(Weisbecker et al., 2012)","previouslyFormattedCitation":"(Weisbecker et al., 2012)"},"properties":{"noteIndex":0},"schema":"https://github.com/citation-style-language/schema/raw/master/csl-citation.json"}</w:instrText>
      </w:r>
      <w:r w:rsidR="00B66D46" w:rsidRPr="006917D8">
        <w:rPr>
          <w:rFonts w:ascii="Arial" w:hAnsi="Arial" w:cs="Arial"/>
        </w:rPr>
        <w:fldChar w:fldCharType="separate"/>
      </w:r>
      <w:r w:rsidR="00B66D46" w:rsidRPr="006917D8">
        <w:rPr>
          <w:rFonts w:ascii="Arial" w:hAnsi="Arial" w:cs="Arial"/>
          <w:noProof/>
        </w:rPr>
        <w:t>Weisbecker et al. (2012)</w:t>
      </w:r>
      <w:r w:rsidR="00B66D46" w:rsidRPr="006917D8">
        <w:rPr>
          <w:rFonts w:ascii="Arial" w:hAnsi="Arial" w:cs="Arial"/>
        </w:rPr>
        <w:fldChar w:fldCharType="end"/>
      </w:r>
      <w:r w:rsidRPr="006917D8">
        <w:rPr>
          <w:rFonts w:ascii="Arial" w:hAnsi="Arial" w:cs="Arial"/>
        </w:rPr>
        <w:t xml:space="preserve">. In their work, the constitutive parameter identification was conducted by employing the nonlinear least-square algorithm to minimize the objective function (difference between experimental and model results), using the optimization toolbox MATLAB. However, we did programme the VUMATs (user-defined material subroutines to interface with Abaqus) for the tissues and used them in all our simulations. In particular, we have re-checked the parameters calibrated by </w:t>
      </w:r>
      <w:proofErr w:type="spellStart"/>
      <w:r w:rsidRPr="006917D8">
        <w:rPr>
          <w:rFonts w:ascii="Arial" w:hAnsi="Arial" w:cs="Arial"/>
        </w:rPr>
        <w:t>Fereidoonnezhad</w:t>
      </w:r>
      <w:proofErr w:type="spellEnd"/>
      <w:r w:rsidRPr="006917D8">
        <w:rPr>
          <w:rFonts w:ascii="Arial" w:hAnsi="Arial" w:cs="Arial"/>
        </w:rPr>
        <w:t xml:space="preserve"> et al. (2016) using our VUMATs and good agreements were confirmed between the modelling and experimental results (</w:t>
      </w:r>
      <w:r w:rsidR="002E78B3" w:rsidRPr="006917D8">
        <w:rPr>
          <w:rFonts w:ascii="Arial" w:hAnsi="Arial" w:cs="Arial"/>
        </w:rPr>
        <w:t>s</w:t>
      </w:r>
      <w:r w:rsidRPr="006917D8">
        <w:rPr>
          <w:rFonts w:ascii="Arial" w:hAnsi="Arial" w:cs="Arial"/>
        </w:rPr>
        <w:t xml:space="preserve">ee Figs. </w:t>
      </w:r>
      <w:r w:rsidR="0064393E" w:rsidRPr="006917D8">
        <w:rPr>
          <w:rFonts w:ascii="Arial" w:hAnsi="Arial" w:cs="Arial"/>
        </w:rPr>
        <w:t>A2</w:t>
      </w:r>
      <w:r w:rsidRPr="006917D8">
        <w:rPr>
          <w:rFonts w:ascii="Arial" w:hAnsi="Arial" w:cs="Arial"/>
        </w:rPr>
        <w:t xml:space="preserve"> and </w:t>
      </w:r>
      <w:r w:rsidR="0064393E" w:rsidRPr="006917D8">
        <w:rPr>
          <w:rFonts w:ascii="Arial" w:hAnsi="Arial" w:cs="Arial"/>
        </w:rPr>
        <w:t>A3</w:t>
      </w:r>
      <w:r w:rsidRPr="006917D8">
        <w:rPr>
          <w:rFonts w:ascii="Arial" w:hAnsi="Arial" w:cs="Arial"/>
        </w:rPr>
        <w:t>).</w:t>
      </w:r>
    </w:p>
    <w:p w14:paraId="551C6721" w14:textId="77777777" w:rsidR="003273F3" w:rsidRPr="006917D8" w:rsidRDefault="003273F3" w:rsidP="004E2A21">
      <w:pPr>
        <w:spacing w:line="240" w:lineRule="auto"/>
        <w:rPr>
          <w:rFonts w:ascii="Arial" w:hAnsi="Arial" w:cs="Arial"/>
        </w:rPr>
      </w:pPr>
    </w:p>
    <w:p w14:paraId="4C2A52DA" w14:textId="7E8FCA88" w:rsidR="003E56E6" w:rsidRPr="006917D8" w:rsidRDefault="00056851" w:rsidP="004E2A21">
      <w:pPr>
        <w:spacing w:line="240" w:lineRule="auto"/>
        <w:rPr>
          <w:rFonts w:ascii="Arial" w:hAnsi="Arial" w:cs="Arial"/>
        </w:rPr>
      </w:pPr>
      <w:r w:rsidRPr="006917D8">
        <w:rPr>
          <w:rFonts w:ascii="Arial" w:hAnsi="Arial" w:cs="Arial"/>
        </w:rPr>
        <w:t xml:space="preserve">Also, due to the lack of experimental data for </w:t>
      </w:r>
      <w:proofErr w:type="spellStart"/>
      <w:r w:rsidRPr="006917D8">
        <w:rPr>
          <w:rFonts w:ascii="Arial" w:hAnsi="Arial" w:cs="Arial"/>
        </w:rPr>
        <w:t>Zilver</w:t>
      </w:r>
      <w:proofErr w:type="spellEnd"/>
      <w:r w:rsidRPr="006917D8">
        <w:rPr>
          <w:rFonts w:ascii="Arial" w:hAnsi="Arial" w:cs="Arial"/>
        </w:rPr>
        <w:t xml:space="preserve"> stent, we took the material properties from </w:t>
      </w:r>
      <w:r w:rsidRPr="006917D8">
        <w:rPr>
          <w:rFonts w:ascii="Arial" w:hAnsi="Arial" w:cs="Arial"/>
        </w:rPr>
        <w:fldChar w:fldCharType="begin" w:fldLock="1"/>
      </w:r>
      <w:r w:rsidR="00921D30" w:rsidRPr="006917D8">
        <w:rPr>
          <w:rFonts w:ascii="Arial" w:hAnsi="Arial" w:cs="Arial"/>
        </w:rPr>
        <w:instrText>ADDIN CSL_CITATION {"citationItems":[{"id":"ITEM-1","itemData":{"DOI":"10.1016/j.matdes.2013.03.012","ISSN":"18734197","abstract":"Self-expanding Nitinol (nickel-titanium alloy) stents are tubular, often mesh like structure, which are expanded inside a diseased (stenosed) artery segment to restore blood flow and keep the vessel open following angioplasty. The super-elastic and shape memory properties of Nitinol reduce the risk of damage to the stent both during delivery into the body and due to accidents while in operation. However, as Nitinol stents are subjected to a long-term cyclic pulsating load due to the heart beating (typically 4×107cycles/year) fatigue fracture may occur. One of the major design requirements in medical implants is the device lifetime or, in engineering terms, fatigue life. In order to improve the mechanical properties of Nitinol stents, at first, a reliable procedure of finite element analysis (FEA) is established to provide quantitative measures of the stent's strain amplitude and mean strain which are generated by the cyclic pulsating load. This allows prediction of the device's life and optimization of stent designs. Secondly, the objective is to optimize the stent design by reducing the strain amplitude and mean strain over the stent, which are generated by the cyclic pulsating load. An optimization based simulation methodology was developed in order to improve the fatigue endurance of the stent. The design optimization approach is based on the Response Surface Method (RSM), which is used in conjunction with Kriging interpolation and Sequential Quadratic Programming (SQP) algorithm. © 2013 Elsevier Ltd.","author":[{"dropping-particle":"","family":"Azaouzi","given":"M.","non-dropping-particle":"","parse-names":false,"suffix":""},{"dropping-particle":"","family":"Lebaal","given":"N.","non-dropping-particle":"","parse-names":false,"suffix":""},{"dropping-particle":"","family":"Makradi","given":"A.","non-dropping-particle":"","parse-names":false,"suffix":""},{"dropping-particle":"","family":"Belouettar","given":"S.","non-dropping-particle":"","parse-names":false,"suffix":""}],"container-title":"Materials and Design","id":"ITEM-1","issued":{"date-parts":[["2013"]]},"page":"917–928","title":"Optimization based simulation of self-expanding Nitinol stent","type":"article-journal","volume":"50"},"uris":["http://www.mendeley.com/documents/?uuid=9e73cba2-4852-4c29-9df0-f617ff92f914"]}],"mendeley":{"formattedCitation":"(Azaouzi et al., 2013)","manualFormatting":"Azaouzi et al. (2013)","plainTextFormattedCitation":"(Azaouzi et al., 2013)","previouslyFormattedCitation":"(Azaouzi et al., 2013)"},"properties":{"noteIndex":0},"schema":"https://github.com/citation-style-language/schema/raw/master/csl-citation.json"}</w:instrText>
      </w:r>
      <w:r w:rsidRPr="006917D8">
        <w:rPr>
          <w:rFonts w:ascii="Arial" w:hAnsi="Arial" w:cs="Arial"/>
        </w:rPr>
        <w:fldChar w:fldCharType="separate"/>
      </w:r>
      <w:r w:rsidRPr="006917D8">
        <w:rPr>
          <w:rFonts w:ascii="Arial" w:hAnsi="Arial" w:cs="Arial"/>
          <w:noProof/>
        </w:rPr>
        <w:t>Azaouzi et al. (2013)</w:t>
      </w:r>
      <w:r w:rsidRPr="006917D8">
        <w:rPr>
          <w:rFonts w:ascii="Arial" w:hAnsi="Arial" w:cs="Arial"/>
        </w:rPr>
        <w:fldChar w:fldCharType="end"/>
      </w:r>
      <w:r w:rsidRPr="006917D8">
        <w:rPr>
          <w:rFonts w:ascii="Arial" w:hAnsi="Arial" w:cs="Arial"/>
        </w:rPr>
        <w:t xml:space="preserve">. This might yield some variance to the predicted fatigue life of the </w:t>
      </w:r>
      <w:proofErr w:type="spellStart"/>
      <w:r w:rsidRPr="006917D8">
        <w:rPr>
          <w:rFonts w:ascii="Arial" w:hAnsi="Arial" w:cs="Arial"/>
        </w:rPr>
        <w:t>Zilver</w:t>
      </w:r>
      <w:proofErr w:type="spellEnd"/>
      <w:r w:rsidRPr="006917D8">
        <w:rPr>
          <w:rFonts w:ascii="Arial" w:hAnsi="Arial" w:cs="Arial"/>
        </w:rPr>
        <w:t xml:space="preserve"> stent; however, the main conclusions, comparing the effects of various loading conditions on the fatigue behaviour of nitinol stents, are reasonable.</w:t>
      </w:r>
    </w:p>
    <w:p w14:paraId="632AAA4E" w14:textId="77777777" w:rsidR="00056851" w:rsidRPr="006917D8" w:rsidRDefault="00056851" w:rsidP="004E2A21">
      <w:pPr>
        <w:spacing w:line="240" w:lineRule="auto"/>
        <w:rPr>
          <w:rFonts w:ascii="Arial" w:hAnsi="Arial" w:cs="Arial"/>
        </w:rPr>
      </w:pPr>
    </w:p>
    <w:p w14:paraId="265FE30E" w14:textId="4CD12CB7" w:rsidR="003E012F" w:rsidRPr="006917D8" w:rsidRDefault="0010713C" w:rsidP="004E2A21">
      <w:pPr>
        <w:spacing w:line="240" w:lineRule="auto"/>
        <w:rPr>
          <w:rFonts w:ascii="Arial" w:hAnsi="Arial" w:cs="Arial"/>
          <w:b/>
          <w:bCs/>
          <w:lang w:val="en-US"/>
        </w:rPr>
      </w:pPr>
      <w:r w:rsidRPr="006917D8">
        <w:rPr>
          <w:rFonts w:ascii="Arial" w:hAnsi="Arial" w:cs="Arial"/>
          <w:b/>
          <w:bCs/>
          <w:lang w:val="en-US"/>
        </w:rPr>
        <w:t>3</w:t>
      </w:r>
      <w:r w:rsidR="00BE6F70" w:rsidRPr="006917D8">
        <w:rPr>
          <w:rFonts w:ascii="Arial" w:hAnsi="Arial" w:cs="Arial"/>
          <w:b/>
          <w:bCs/>
          <w:lang w:val="en-US"/>
        </w:rPr>
        <w:t xml:space="preserve">. </w:t>
      </w:r>
      <w:r w:rsidR="003E56E6" w:rsidRPr="006917D8">
        <w:rPr>
          <w:rFonts w:ascii="Arial" w:hAnsi="Arial" w:cs="Arial"/>
          <w:b/>
          <w:bCs/>
          <w:lang w:val="en-US"/>
        </w:rPr>
        <w:t>Loading conditions</w:t>
      </w:r>
    </w:p>
    <w:p w14:paraId="786A3EDB" w14:textId="3BB47DE9" w:rsidR="006B75CE" w:rsidRPr="006917D8" w:rsidRDefault="006B75CE" w:rsidP="004E2A21">
      <w:pPr>
        <w:spacing w:line="240" w:lineRule="auto"/>
        <w:rPr>
          <w:rFonts w:ascii="Arial" w:hAnsi="Arial" w:cs="Arial"/>
        </w:rPr>
      </w:pPr>
      <w:r w:rsidRPr="006917D8">
        <w:rPr>
          <w:rFonts w:ascii="Arial" w:hAnsi="Arial" w:cs="Arial"/>
        </w:rPr>
        <w:t xml:space="preserve">In </w:t>
      </w:r>
      <w:r w:rsidR="007B3B40" w:rsidRPr="006917D8">
        <w:rPr>
          <w:rFonts w:ascii="Arial" w:hAnsi="Arial" w:cs="Arial"/>
        </w:rPr>
        <w:t>the combined loading case</w:t>
      </w:r>
      <w:r w:rsidRPr="006917D8">
        <w:rPr>
          <w:rFonts w:ascii="Arial" w:hAnsi="Arial" w:cs="Arial"/>
        </w:rPr>
        <w:t xml:space="preserve">, it was assumed that </w:t>
      </w:r>
      <w:r w:rsidR="007B3B40" w:rsidRPr="006917D8">
        <w:rPr>
          <w:rFonts w:ascii="Arial" w:hAnsi="Arial" w:cs="Arial"/>
        </w:rPr>
        <w:t xml:space="preserve">all the loadings were applied in a sine waveform with the same frequency, i.e., they reached their peak loadings simultaneously, </w:t>
      </w:r>
      <w:r w:rsidR="007B3B40" w:rsidRPr="006917D8">
        <w:rPr>
          <w:rFonts w:ascii="Arial" w:hAnsi="Arial" w:cs="Arial"/>
        </w:rPr>
        <w:lastRenderedPageBreak/>
        <w:t xml:space="preserve">which represents the worst-case scenario for fatigue failure. </w:t>
      </w:r>
      <w:r w:rsidRPr="006917D8">
        <w:rPr>
          <w:rFonts w:ascii="Arial" w:hAnsi="Arial" w:cs="Arial"/>
        </w:rPr>
        <w:t xml:space="preserve">This was also the case for the measurements taken in </w:t>
      </w:r>
      <w:r w:rsidR="00CB182E" w:rsidRPr="006917D8">
        <w:rPr>
          <w:rFonts w:ascii="Arial" w:hAnsi="Arial" w:cs="Arial"/>
        </w:rPr>
        <w:fldChar w:fldCharType="begin" w:fldLock="1"/>
      </w:r>
      <w:r w:rsidR="00704A9D" w:rsidRPr="006917D8">
        <w:rPr>
          <w:rFonts w:ascii="Arial" w:hAnsi="Arial" w:cs="Arial"/>
        </w:rPr>
        <w:instrText>ADDIN CSL_CITATION {"citationItems":[{"id":"ITEM-1","itemData":{"DOI":"10.1098/rsif.2017.0025","ISSN":"17425662","abstract":"High failure rates of femoropopliteal artery (FPA) interventions are often attributed to severe mechanical deformations that occur with limb movement. Torsion of the FPA likely plays a significant role, but is poorly characterized and the associated intramural stresses are currently unknown. FPA torsion in the walking, sitting and gardening postures was characterized in n = 28 in situ FPAs using intra-arterial markers. Principal mechanical stresses and strains were quantified in the superficial femoral artery (SFA), adductor hiatus segment (AH) and the popliteal artery (PA) using analytical modelling. The FPA experienced significant torsion during limb flexion that was most severe in the gardening posture. The associated mechanical stresses were non-uniformly distributed along the length of the artery, increasing distally and achieving maximum values in the PA. Maximum twist in the SFA ranged 10-13° cm-1, at the AH 8-16° cm-1, and in the PA 14-26° cm-1 in the walking, sitting and gardening postures. Maximum principal stresses were 30-35 kPa in the SFA, 27-37 kPa at the AH and 39-43 kPa in the PA. Understanding torsional deformations and intramural stresses in the FPA can assist with device selection for peripheral arterial disease interventions and may help guide the development of devices with improved characteristics.","author":[{"dropping-particle":"","family":"Desyatova","given":"Anastasia","non-dropping-particle":"","parse-names":false,"suffix":""},{"dropping-particle":"","family":"Poulson","given":"William","non-dropping-particle":"","parse-names":false,"suffix":""},{"dropping-particle":"","family":"Deegan","given":"Paul","non-dropping-particle":"","parse-names":false,"suffix":""},{"dropping-particle":"","family":"Lomneth","given":"Carol","non-dropping-particle":"","parse-names":false,"suffix":""},{"dropping-particle":"","family":"Seas","given":"Andreas","non-dropping-particle":"","parse-names":false,"suffix":""},{"dropping-particle":"","family":"Maleckis","given":"Kaspars","non-dropping-particle":"","parse-names":false,"suffix":""},{"dropping-particle":"","family":"MacTaggart","given":"Jason","non-dropping-particle":"","parse-names":false,"suffix":""},{"dropping-particle":"","family":"Kamenskiy","given":"Alexey","non-dropping-particle":"","parse-names":false,"suffix":""}],"container-title":"Journal of the Royal Society, Interface","id":"ITEM-1","issue":"128","issued":{"date-parts":[["2017"]]},"page":"20170025","title":"Limb flexion-induced twist and associated intramural stresses in the human femoropopliteal artery","type":"article-journal","volume":"14"},"uris":["http://www.mendeley.com/documents/?uuid=c20cacfa-827b-40ab-9261-9185fdbb8d3b"]}],"mendeley":{"formattedCitation":"(Desyatova et al., 2017)","manualFormatting":"Desyatova et al. (2017), ","plainTextFormattedCitation":"(Desyatova et al., 2017)","previouslyFormattedCitation":"(Desyatova et al., 2017)"},"properties":{"noteIndex":0},"schema":"https://github.com/citation-style-language/schema/raw/master/csl-citation.json"}</w:instrText>
      </w:r>
      <w:r w:rsidR="00CB182E" w:rsidRPr="006917D8">
        <w:rPr>
          <w:rFonts w:ascii="Arial" w:hAnsi="Arial" w:cs="Arial"/>
        </w:rPr>
        <w:fldChar w:fldCharType="separate"/>
      </w:r>
      <w:r w:rsidR="00CB182E" w:rsidRPr="006917D8">
        <w:rPr>
          <w:rFonts w:ascii="Arial" w:hAnsi="Arial" w:cs="Arial"/>
          <w:noProof/>
        </w:rPr>
        <w:t xml:space="preserve">Desyatova et al. (2017), </w:t>
      </w:r>
      <w:r w:rsidR="00CB182E" w:rsidRPr="006917D8">
        <w:rPr>
          <w:rFonts w:ascii="Arial" w:hAnsi="Arial" w:cs="Arial"/>
        </w:rPr>
        <w:fldChar w:fldCharType="end"/>
      </w:r>
      <w:r w:rsidR="00CB182E" w:rsidRPr="006917D8">
        <w:rPr>
          <w:rFonts w:ascii="Arial" w:hAnsi="Arial" w:cs="Arial"/>
        </w:rPr>
        <w:fldChar w:fldCharType="begin" w:fldLock="1"/>
      </w:r>
      <w:r w:rsidR="00704A9D" w:rsidRPr="006917D8">
        <w:rPr>
          <w:rFonts w:ascii="Arial" w:hAnsi="Arial" w:cs="Arial"/>
        </w:rPr>
        <w:instrText>ADDIN CSL_CITATION {"citationItems":[{"id":"ITEM-1","itemData":{"DOI":"10.1016/j.jvs.2017.01.071","ISSN":"10976809","abstract":"Background: High failure rates of femoropopliteal artery (FPA) interventions are often attributed in part to severe mechanical deformations that occur with limb movement. Axial compression and bending of the FPA likely play significant roles in FPA disease development and reconstruction failure, but these deformations are poorly characterized. The goal of this study was to quantify axial compression and bending of human FPAs that are placed in positions commonly assumed during the normal course of daily activities. Methods: Retrievable nitinol markers were deployed using a custom-made catheter system into 28 in situ FPAs of 14 human cadavers. Contrast-enhanced, thin-section computed tomography images were acquired with each limb in the standing (180 degrees), walking (110 degrees), sitting (90 degrees), and gardening (60 degrees) postures. Image segmentation and analysis allowed relative comparison of spatial locations of each intra-arterial marker to determine axial compression and bending using the arterial centerlines. Results: Axial compression in the popliteal artery (PA) was greater than in the proximal superficial femoral artery (SFA) or the adductor hiatus (AH) segments in all postures (P =.02). Average compression in the SFA, AH, and PA ranged from 9% to 15%, 11% to 19%, and 13% to 25%, respectively. The FPA experienced significantly more acute bending in the AH and PA segments compared with the proximal SFA (P &lt;.05) in all postures. In the walking, sitting, and gardening postures, average sphere radii in the SFA, AH, and PA ranged from 21 to 27 mm, 10 to 18 mm, and 8 to 19 mm, whereas bending angles ranged from 150 to 157 degrees, 136 to 147 degrees, and 137 to 148 degrees, respectively. Conclusions: The FPA experiences significant axial compression and bending during limb flexion that occur at even modest limb angles. Moreover, different segments of the FPA appear to undergo significantly different degrees of deformation. Understanding the effects of limb flexion on axial compression and bending might assist with reconstructive device selection for patients requiring peripheral arterial disease intervention and may also help guide the development of devices with improved characteristics that can better adapt to the dynamic environment of the lower extremity vasculature. Clinical Relevance: This work investigates deformations of the femoropopliteal artery with limb flexion. Understanding these deformations might assist with reconstructive devi…","author":[{"dropping-particle":"","family":"Poulson","given":"William","non-dropping-particle":"","parse-names":false,"suffix":""},{"dropping-particle":"","family":"Kamenskiy","given":"Alexey","non-dropping-particle":"","parse-names":false,"suffix":""},{"dropping-particle":"","family":"Seas","given":"Andreas","non-dropping-particle":"","parse-names":false,"suffix":""},{"dropping-particle":"","family":"Deegan","given":"Paul","non-dropping-particle":"","parse-names":false,"suffix":""},{"dropping-particle":"","family":"Lomneth","given":"Carol","non-dropping-particle":"","parse-names":false,"suffix":""},{"dropping-particle":"","family":"MacTaggart","given":"Jason","non-dropping-particle":"","parse-names":false,"suffix":""}],"container-title":"Journal of Vascular Surgery","id":"ITEM-1","issue":"2","issued":{"date-parts":[["2018"]]},"page":"607–613","title":"Limb flexion-induced axial compression and bending in human femoropopliteal artery segments","type":"article-journal","volume":"67"},"uris":["http://www.mendeley.com/documents/?uuid=dda727b9-2445-430f-be68-b4f0280949e8"]}],"mendeley":{"formattedCitation":"(Poulson et al., 2018)","manualFormatting":"Poulson et al. (2018) and ","plainTextFormattedCitation":"(Poulson et al., 2018)","previouslyFormattedCitation":"(Poulson et al., 2018)"},"properties":{"noteIndex":0},"schema":"https://github.com/citation-style-language/schema/raw/master/csl-citation.json"}</w:instrText>
      </w:r>
      <w:r w:rsidR="00CB182E" w:rsidRPr="006917D8">
        <w:rPr>
          <w:rFonts w:ascii="Arial" w:hAnsi="Arial" w:cs="Arial"/>
        </w:rPr>
        <w:fldChar w:fldCharType="separate"/>
      </w:r>
      <w:r w:rsidR="00CB182E" w:rsidRPr="006917D8">
        <w:rPr>
          <w:rFonts w:ascii="Arial" w:hAnsi="Arial" w:cs="Arial"/>
          <w:noProof/>
        </w:rPr>
        <w:t xml:space="preserve">Poulson et al. (2018) and </w:t>
      </w:r>
      <w:r w:rsidR="00CB182E" w:rsidRPr="006917D8">
        <w:rPr>
          <w:rFonts w:ascii="Arial" w:hAnsi="Arial" w:cs="Arial"/>
        </w:rPr>
        <w:fldChar w:fldCharType="end"/>
      </w:r>
      <w:r w:rsidR="00CB182E" w:rsidRPr="006917D8">
        <w:rPr>
          <w:rFonts w:ascii="Arial" w:hAnsi="Arial" w:cs="Arial"/>
        </w:rPr>
        <w:fldChar w:fldCharType="begin" w:fldLock="1"/>
      </w:r>
      <w:r w:rsidR="00A76991" w:rsidRPr="006917D8">
        <w:rPr>
          <w:rFonts w:ascii="Arial" w:hAnsi="Arial" w:cs="Arial"/>
        </w:rPr>
        <w:instrText>ADDIN CSL_CITATION {"citationItems":[{"id":"ITEM-1","itemData":{"DOI":"10.1097/SLA.0000000000002747","ISSN":"15281140","PMID":"29578912","abstract":"Background:Poor durability of femoropopliteal artery (FPA) stenting is multifactorial, and severe FPA deformations occurring with limb flexion are likely involved. Different stent designs result in dissimilar stent-artery interactions, but the degree of these effects in the FPA is insufficiently understood. Objectives:To determine how different stent designs affect limb flexion-induced FPA deformations.Methods:Retrievable markers were deployed into n = 28 FPAs of lightly embalmed human cadavers. Bodies were perfused and CT images were acquired with limbs in the standing, walking, sitting, and gardening postures. Image analysis allowed measurement of baseline FPA foreshortening, bending, and twisting associated with each posture. Markers were retrieved and 7 different stents were deployed across the adductor hiatus in the same limbs. Markers were then redeployed in the stented FPAs, and limbs were reimaged. Baseline and stented FPA deformations were compared to determine the influence of each stent design.Results:Proximal to the stent, Innova, Supera, and SmartFlex exacerbated foreshortening, SmartFlex exacerbated twisting, and SmartControl restricted bending of the FPA. Within the stent, all devices except Viabahn restricted foreshortening; Supera, SmartControl, and AbsolutePro restricted twisting; SmartFlex and Innova exacerbated twisting; and Supera and Viabahn restricted bending. Distal to the stents, all devices except AbsolutePro and Innova exacerbated foreshortening, and Viabahn, Supera, Zilver, and SmartControl exacerbated twisting. All stents except Supera were pinched in flexed limb postures.Conclusions:Peripheral self-expanding stents significantly affect limb flexion-induced FPA deformations, but in different ways. Although certain designs seem to accommodate some deformation modes, no device was able to match all FPA deformations.","author":[{"dropping-particle":"","family":"MacTaggart","given":"Jason","non-dropping-particle":"","parse-names":false,"suffix":""},{"dropping-particle":"","family":"Poulson","given":"William","non-dropping-particle":"","parse-names":false,"suffix":""},{"dropping-particle":"","family":"Seas","given":"Andreas","non-dropping-particle":"","parse-names":false,"suffix":""},{"dropping-particle":"","family":"Deegan","given":"Paul","non-dropping-particle":"","parse-names":false,"suffix":""},{"dropping-particle":"","family":"Lomneth","given":"Carol","non-dropping-particle":"","parse-names":false,"suffix":""},{"dropping-particle":"","family":"Desyatova","given":"Anastasia","non-dropping-particle":"","parse-names":false,"suffix":""},{"dropping-particle":"","family":"Maleckis","given":"Kaspars","non-dropping-particle":"","parse-names":false,"suffix":""},{"dropping-particle":"","family":"Kamenskiy","given":"Alexey","non-dropping-particle":"","parse-names":false,"suffix":""}],"container-title":"Annals of Surgery","id":"ITEM-1","issue":"1","issued":{"date-parts":[["2019"]]},"page":"180–187","title":"Stent design affects femoropopliteal artery deformation","type":"article-journal","volume":"270"},"uris":["http://www.mendeley.com/documents/?uuid=ebcb71c5-67df-42fb-ac59-35c30cdc5d26"]}],"mendeley":{"formattedCitation":"(MacTaggart et al., 2019)","manualFormatting":"MacTaggart et al. (2019","plainTextFormattedCitation":"(MacTaggart et al., 2019)","previouslyFormattedCitation":"(MacTaggart et al., 2019)"},"properties":{"noteIndex":0},"schema":"https://github.com/citation-style-language/schema/raw/master/csl-citation.json"}</w:instrText>
      </w:r>
      <w:r w:rsidR="00CB182E" w:rsidRPr="006917D8">
        <w:rPr>
          <w:rFonts w:ascii="Arial" w:hAnsi="Arial" w:cs="Arial"/>
        </w:rPr>
        <w:fldChar w:fldCharType="separate"/>
      </w:r>
      <w:r w:rsidR="00CB182E" w:rsidRPr="006917D8">
        <w:rPr>
          <w:rFonts w:ascii="Arial" w:hAnsi="Arial" w:cs="Arial"/>
          <w:noProof/>
        </w:rPr>
        <w:t>MacTaggart et al. (2019</w:t>
      </w:r>
      <w:r w:rsidR="00CB182E" w:rsidRPr="006917D8">
        <w:rPr>
          <w:rFonts w:ascii="Arial" w:hAnsi="Arial" w:cs="Arial"/>
        </w:rPr>
        <w:fldChar w:fldCharType="end"/>
      </w:r>
      <w:r w:rsidR="00CB182E" w:rsidRPr="006917D8">
        <w:rPr>
          <w:rFonts w:ascii="Arial" w:hAnsi="Arial" w:cs="Arial"/>
        </w:rPr>
        <w:t>).</w:t>
      </w:r>
      <w:r w:rsidRPr="006917D8">
        <w:rPr>
          <w:rFonts w:ascii="Arial" w:hAnsi="Arial" w:cs="Arial"/>
        </w:rPr>
        <w:t>The impact of frequency difference for different loading type was not studied, and further research is required in order to gain a meaningful understanding of such impact due to the complexity of combined loading conditions</w:t>
      </w:r>
      <w:r w:rsidR="00967C9A" w:rsidRPr="006917D8">
        <w:rPr>
          <w:rFonts w:ascii="Arial" w:hAnsi="Arial" w:cs="Arial"/>
        </w:rPr>
        <w:t>.</w:t>
      </w:r>
    </w:p>
    <w:p w14:paraId="5A461A9A" w14:textId="5BA44AA4" w:rsidR="00EB109F" w:rsidRPr="006917D8" w:rsidRDefault="00EB109F" w:rsidP="004E2A21">
      <w:pPr>
        <w:spacing w:line="240" w:lineRule="auto"/>
        <w:rPr>
          <w:rFonts w:ascii="Arial" w:hAnsi="Arial" w:cs="Arial"/>
          <w:lang w:val="en-US"/>
        </w:rPr>
      </w:pPr>
    </w:p>
    <w:p w14:paraId="557B744C" w14:textId="02AAF1DC" w:rsidR="007916EE" w:rsidRPr="006917D8" w:rsidRDefault="007916EE" w:rsidP="007916EE">
      <w:pPr>
        <w:spacing w:line="240" w:lineRule="auto"/>
        <w:rPr>
          <w:rFonts w:ascii="Arial" w:hAnsi="Arial" w:cs="Arial"/>
          <w:b/>
          <w:bCs/>
          <w:lang w:val="en-US"/>
        </w:rPr>
      </w:pPr>
      <w:r w:rsidRPr="006917D8">
        <w:rPr>
          <w:rFonts w:ascii="Arial" w:hAnsi="Arial" w:cs="Arial"/>
          <w:b/>
          <w:bCs/>
          <w:lang w:val="en-US"/>
        </w:rPr>
        <w:t>4. Effect of angioplasty</w:t>
      </w:r>
    </w:p>
    <w:p w14:paraId="4D6499AB" w14:textId="2FC57B34" w:rsidR="00B923FB" w:rsidRPr="006917D8" w:rsidRDefault="00005248" w:rsidP="00B923FB">
      <w:pPr>
        <w:spacing w:line="240" w:lineRule="auto"/>
        <w:rPr>
          <w:rFonts w:ascii="Arial" w:hAnsi="Arial" w:cs="Arial"/>
        </w:rPr>
      </w:pPr>
      <w:r w:rsidRPr="006917D8">
        <w:rPr>
          <w:rFonts w:ascii="Arial" w:hAnsi="Arial" w:cs="Arial"/>
        </w:rPr>
        <w:t>W</w:t>
      </w:r>
      <w:r w:rsidR="00B923FB" w:rsidRPr="006917D8">
        <w:rPr>
          <w:rFonts w:ascii="Arial" w:hAnsi="Arial" w:cs="Arial"/>
        </w:rPr>
        <w:t>e have simulated the angioplasty</w:t>
      </w:r>
      <w:r w:rsidR="00962F4F" w:rsidRPr="006917D8">
        <w:rPr>
          <w:rFonts w:ascii="Arial" w:hAnsi="Arial" w:cs="Arial"/>
        </w:rPr>
        <w:t xml:space="preserve"> (Fig. A4</w:t>
      </w:r>
      <w:r w:rsidR="00567F71" w:rsidRPr="006917D8">
        <w:rPr>
          <w:rFonts w:ascii="Arial" w:hAnsi="Arial" w:cs="Arial"/>
        </w:rPr>
        <w:t>)</w:t>
      </w:r>
      <w:r w:rsidR="00B923FB" w:rsidRPr="006917D8">
        <w:rPr>
          <w:rFonts w:ascii="Arial" w:hAnsi="Arial" w:cs="Arial"/>
        </w:rPr>
        <w:t xml:space="preserve"> and then </w:t>
      </w:r>
      <w:proofErr w:type="gramStart"/>
      <w:r w:rsidR="00B923FB" w:rsidRPr="006917D8">
        <w:rPr>
          <w:rFonts w:ascii="Arial" w:hAnsi="Arial" w:cs="Arial"/>
        </w:rPr>
        <w:t>stenting, and</w:t>
      </w:r>
      <w:proofErr w:type="gramEnd"/>
      <w:r w:rsidR="00B923FB" w:rsidRPr="006917D8">
        <w:rPr>
          <w:rFonts w:ascii="Arial" w:hAnsi="Arial" w:cs="Arial"/>
        </w:rPr>
        <w:t xml:space="preserve"> compared the stress/strain results in the stents to those without angioplasty (i.e. stenting only) (see Figs. </w:t>
      </w:r>
      <w:r w:rsidR="00D86FD2" w:rsidRPr="006917D8">
        <w:rPr>
          <w:rFonts w:ascii="Arial" w:hAnsi="Arial" w:cs="Arial"/>
        </w:rPr>
        <w:t>A</w:t>
      </w:r>
      <w:r w:rsidR="00567F71" w:rsidRPr="006917D8">
        <w:rPr>
          <w:rFonts w:ascii="Arial" w:hAnsi="Arial" w:cs="Arial"/>
        </w:rPr>
        <w:t>5</w:t>
      </w:r>
      <w:r w:rsidR="00B923FB" w:rsidRPr="006917D8">
        <w:rPr>
          <w:rFonts w:ascii="Arial" w:hAnsi="Arial" w:cs="Arial"/>
        </w:rPr>
        <w:t xml:space="preserve"> and </w:t>
      </w:r>
      <w:r w:rsidR="00D86FD2" w:rsidRPr="006917D8">
        <w:rPr>
          <w:rFonts w:ascii="Arial" w:hAnsi="Arial" w:cs="Arial"/>
        </w:rPr>
        <w:t>A</w:t>
      </w:r>
      <w:r w:rsidR="00567F71" w:rsidRPr="006917D8">
        <w:rPr>
          <w:rFonts w:ascii="Arial" w:hAnsi="Arial" w:cs="Arial"/>
        </w:rPr>
        <w:t>6</w:t>
      </w:r>
      <w:r w:rsidR="00B923FB" w:rsidRPr="006917D8">
        <w:rPr>
          <w:rFonts w:ascii="Arial" w:hAnsi="Arial" w:cs="Arial"/>
        </w:rPr>
        <w:t xml:space="preserve">). The maximum stress/strain values appear to be lower for the stent when deployed after angioplasty, as angioplasty introduces pre-dilation to the diseased artery which facilitates the expansion of stent and lowers the stress/strain levels in the stent after deployment. The differences were around 10% which seems not negligible. Therefore, we have </w:t>
      </w:r>
      <w:r w:rsidR="00D86FD2" w:rsidRPr="006917D8">
        <w:rPr>
          <w:rFonts w:ascii="Arial" w:hAnsi="Arial" w:cs="Arial"/>
        </w:rPr>
        <w:t xml:space="preserve">considered </w:t>
      </w:r>
      <w:r w:rsidR="00B923FB" w:rsidRPr="006917D8">
        <w:rPr>
          <w:rFonts w:ascii="Arial" w:hAnsi="Arial" w:cs="Arial"/>
        </w:rPr>
        <w:t>angioplasty</w:t>
      </w:r>
      <w:r w:rsidR="00D86FD2" w:rsidRPr="006917D8">
        <w:rPr>
          <w:rFonts w:ascii="Arial" w:hAnsi="Arial" w:cs="Arial"/>
        </w:rPr>
        <w:t xml:space="preserve"> in all the simulations</w:t>
      </w:r>
      <w:r w:rsidR="00B923FB" w:rsidRPr="006917D8">
        <w:rPr>
          <w:rFonts w:ascii="Arial" w:hAnsi="Arial" w:cs="Arial"/>
        </w:rPr>
        <w:t xml:space="preserve">. </w:t>
      </w:r>
    </w:p>
    <w:p w14:paraId="27680838" w14:textId="4614463E" w:rsidR="00B923FB" w:rsidRPr="006917D8" w:rsidRDefault="00B923FB" w:rsidP="00B923FB">
      <w:pPr>
        <w:spacing w:line="240" w:lineRule="auto"/>
        <w:rPr>
          <w:rFonts w:ascii="Arial" w:hAnsi="Arial" w:cs="Arial"/>
        </w:rPr>
      </w:pPr>
    </w:p>
    <w:p w14:paraId="12D795E3" w14:textId="0598B63E" w:rsidR="00567F71" w:rsidRPr="006917D8" w:rsidRDefault="00567F71" w:rsidP="00567F71">
      <w:pPr>
        <w:spacing w:line="240" w:lineRule="auto"/>
        <w:jc w:val="center"/>
        <w:rPr>
          <w:rFonts w:ascii="Arial" w:hAnsi="Arial" w:cs="Arial"/>
          <w:color w:val="0000FF"/>
        </w:rPr>
      </w:pPr>
      <w:r w:rsidRPr="006917D8">
        <w:rPr>
          <w:rFonts w:ascii="Arial" w:hAnsi="Arial" w:cs="Arial"/>
          <w:noProof/>
        </w:rPr>
        <w:drawing>
          <wp:inline distT="0" distB="0" distL="0" distR="0" wp14:anchorId="33B73A8B" wp14:editId="242DA17B">
            <wp:extent cx="5731510" cy="938530"/>
            <wp:effectExtent l="0" t="0" r="254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938530"/>
                    </a:xfrm>
                    <a:prstGeom prst="rect">
                      <a:avLst/>
                    </a:prstGeom>
                  </pic:spPr>
                </pic:pic>
              </a:graphicData>
            </a:graphic>
          </wp:inline>
        </w:drawing>
      </w:r>
    </w:p>
    <w:p w14:paraId="4E9411BC" w14:textId="774B4EF4" w:rsidR="00567F71" w:rsidRPr="006917D8" w:rsidRDefault="00567F71" w:rsidP="00567F71">
      <w:pPr>
        <w:spacing w:line="240" w:lineRule="auto"/>
        <w:jc w:val="center"/>
        <w:rPr>
          <w:rFonts w:ascii="Arial" w:hAnsi="Arial" w:cs="Arial"/>
          <w:color w:val="0000FF"/>
        </w:rPr>
      </w:pPr>
      <w:r w:rsidRPr="006917D8">
        <w:rPr>
          <w:rFonts w:ascii="Arial" w:hAnsi="Arial" w:cs="Arial"/>
          <w:color w:val="0000FF"/>
        </w:rPr>
        <w:t xml:space="preserve">Fig. A4. </w:t>
      </w:r>
      <w:r w:rsidR="001808BC" w:rsidRPr="006917D8">
        <w:rPr>
          <w:rFonts w:ascii="Arial" w:hAnsi="Arial" w:cs="Arial"/>
          <w:color w:val="0000FF"/>
        </w:rPr>
        <w:t>Artery and balloon in a</w:t>
      </w:r>
      <w:r w:rsidR="009F1439" w:rsidRPr="006917D8">
        <w:rPr>
          <w:rFonts w:ascii="Arial" w:hAnsi="Arial" w:cs="Arial"/>
          <w:color w:val="0000FF"/>
        </w:rPr>
        <w:t>ngioplasty at peak inflating pressure.</w:t>
      </w:r>
    </w:p>
    <w:p w14:paraId="1F20CE32" w14:textId="77777777" w:rsidR="009F1439" w:rsidRPr="006917D8" w:rsidRDefault="009F1439" w:rsidP="00567F71">
      <w:pPr>
        <w:spacing w:line="240" w:lineRule="auto"/>
        <w:jc w:val="center"/>
        <w:rPr>
          <w:rFonts w:ascii="Arial" w:hAnsi="Arial" w:cs="Arial"/>
          <w:color w:val="0000FF"/>
        </w:rPr>
      </w:pPr>
    </w:p>
    <w:p w14:paraId="5D1010AD" w14:textId="77777777" w:rsidR="00B923FB" w:rsidRPr="006917D8" w:rsidRDefault="00B923FB" w:rsidP="00B923FB">
      <w:pPr>
        <w:spacing w:line="240" w:lineRule="auto"/>
        <w:jc w:val="center"/>
        <w:rPr>
          <w:rFonts w:ascii="Arial" w:hAnsi="Arial" w:cs="Arial"/>
        </w:rPr>
      </w:pPr>
      <w:r w:rsidRPr="006917D8">
        <w:rPr>
          <w:rFonts w:ascii="Arial" w:hAnsi="Arial" w:cs="Arial"/>
          <w:noProof/>
        </w:rPr>
        <w:drawing>
          <wp:inline distT="0" distB="0" distL="0" distR="0" wp14:anchorId="70EEF12A" wp14:editId="30522A8F">
            <wp:extent cx="4960620" cy="2194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07469" cy="2214842"/>
                    </a:xfrm>
                    <a:prstGeom prst="rect">
                      <a:avLst/>
                    </a:prstGeom>
                    <a:noFill/>
                    <a:ln>
                      <a:noFill/>
                    </a:ln>
                  </pic:spPr>
                </pic:pic>
              </a:graphicData>
            </a:graphic>
          </wp:inline>
        </w:drawing>
      </w:r>
    </w:p>
    <w:p w14:paraId="4C5CAFDD" w14:textId="6B556B57" w:rsidR="00B923FB" w:rsidRPr="006917D8" w:rsidRDefault="00B923FB" w:rsidP="00B923FB">
      <w:pPr>
        <w:spacing w:line="240" w:lineRule="auto"/>
        <w:jc w:val="center"/>
        <w:rPr>
          <w:rFonts w:ascii="Arial" w:hAnsi="Arial" w:cs="Arial"/>
          <w:color w:val="0000FF"/>
        </w:rPr>
      </w:pPr>
      <w:r w:rsidRPr="006917D8">
        <w:rPr>
          <w:rFonts w:ascii="Arial" w:hAnsi="Arial" w:cs="Arial"/>
          <w:color w:val="0000FF"/>
        </w:rPr>
        <w:t xml:space="preserve">Fig. </w:t>
      </w:r>
      <w:r w:rsidR="00005248" w:rsidRPr="006917D8">
        <w:rPr>
          <w:rFonts w:ascii="Arial" w:hAnsi="Arial" w:cs="Arial"/>
          <w:color w:val="0000FF"/>
        </w:rPr>
        <w:t>A</w:t>
      </w:r>
      <w:r w:rsidR="009F1439" w:rsidRPr="006917D8">
        <w:rPr>
          <w:rFonts w:ascii="Arial" w:hAnsi="Arial" w:cs="Arial"/>
          <w:color w:val="0000FF"/>
        </w:rPr>
        <w:t>5</w:t>
      </w:r>
      <w:r w:rsidRPr="006917D8">
        <w:rPr>
          <w:rFonts w:ascii="Arial" w:hAnsi="Arial" w:cs="Arial"/>
          <w:color w:val="0000FF"/>
        </w:rPr>
        <w:t>. Contour plots of von Mises stress (in MPa) in stent after deployment (a) with angioplasty and (b) without angioplasty.</w:t>
      </w:r>
    </w:p>
    <w:p w14:paraId="4703DFE4" w14:textId="77777777" w:rsidR="00D327C5" w:rsidRPr="006917D8" w:rsidRDefault="00D327C5" w:rsidP="00B923FB">
      <w:pPr>
        <w:spacing w:line="240" w:lineRule="auto"/>
        <w:jc w:val="center"/>
        <w:rPr>
          <w:rFonts w:ascii="Arial" w:hAnsi="Arial" w:cs="Arial"/>
          <w:color w:val="0000FF"/>
        </w:rPr>
      </w:pPr>
    </w:p>
    <w:p w14:paraId="1AD38429" w14:textId="00A1F78D" w:rsidR="00B923FB" w:rsidRPr="006917D8" w:rsidRDefault="003849F8" w:rsidP="00B923FB">
      <w:pPr>
        <w:spacing w:line="240" w:lineRule="auto"/>
        <w:jc w:val="center"/>
      </w:pPr>
      <w:r w:rsidRPr="006917D8">
        <w:object w:dxaOrig="8220" w:dyaOrig="3636" w14:anchorId="08DEBFC0">
          <v:shape id="_x0000_i1026" type="#_x0000_t75" style="width:389.25pt;height:171.75pt" o:ole="">
            <v:imagedata r:id="rId17" o:title=""/>
          </v:shape>
          <o:OLEObject Type="Embed" ProgID="Visio.Drawing.15" ShapeID="_x0000_i1026" DrawAspect="Content" ObjectID="_1680415147" r:id="rId18"/>
        </w:object>
      </w:r>
    </w:p>
    <w:p w14:paraId="3F81C853" w14:textId="5F3D59CE" w:rsidR="00B923FB" w:rsidRPr="006917D8" w:rsidRDefault="00B923FB" w:rsidP="00B923FB">
      <w:pPr>
        <w:spacing w:line="240" w:lineRule="auto"/>
        <w:jc w:val="center"/>
        <w:rPr>
          <w:rFonts w:ascii="Arial" w:hAnsi="Arial" w:cs="Arial"/>
          <w:color w:val="0000FF"/>
        </w:rPr>
      </w:pPr>
      <w:r w:rsidRPr="006917D8">
        <w:rPr>
          <w:rFonts w:ascii="Arial" w:hAnsi="Arial" w:cs="Arial"/>
          <w:color w:val="0000FF"/>
        </w:rPr>
        <w:t xml:space="preserve">Fig. </w:t>
      </w:r>
      <w:r w:rsidR="00005248" w:rsidRPr="006917D8">
        <w:rPr>
          <w:rFonts w:ascii="Arial" w:hAnsi="Arial" w:cs="Arial"/>
          <w:color w:val="0000FF"/>
        </w:rPr>
        <w:t>A</w:t>
      </w:r>
      <w:r w:rsidR="009F1439" w:rsidRPr="006917D8">
        <w:rPr>
          <w:rFonts w:ascii="Arial" w:hAnsi="Arial" w:cs="Arial"/>
          <w:color w:val="0000FF"/>
        </w:rPr>
        <w:t>6</w:t>
      </w:r>
      <w:r w:rsidRPr="006917D8">
        <w:rPr>
          <w:rFonts w:ascii="Arial" w:hAnsi="Arial" w:cs="Arial"/>
          <w:color w:val="0000FF"/>
        </w:rPr>
        <w:t>. Contour plots of effective strain in stent after deployment (a) with angioplasty and (b) without angioplasty.</w:t>
      </w:r>
    </w:p>
    <w:p w14:paraId="160BA20F" w14:textId="293F0514" w:rsidR="003E56E6" w:rsidRPr="006917D8" w:rsidRDefault="007916EE" w:rsidP="004E2A21">
      <w:pPr>
        <w:spacing w:line="240" w:lineRule="auto"/>
        <w:rPr>
          <w:rFonts w:ascii="Arial" w:hAnsi="Arial" w:cs="Arial"/>
          <w:b/>
          <w:bCs/>
          <w:lang w:val="en-US"/>
        </w:rPr>
      </w:pPr>
      <w:r w:rsidRPr="006917D8">
        <w:rPr>
          <w:rFonts w:ascii="Arial" w:hAnsi="Arial" w:cs="Arial"/>
          <w:b/>
          <w:bCs/>
          <w:lang w:val="en-US"/>
        </w:rPr>
        <w:lastRenderedPageBreak/>
        <w:t>5</w:t>
      </w:r>
      <w:r w:rsidR="00BE6F70" w:rsidRPr="006917D8">
        <w:rPr>
          <w:rFonts w:ascii="Arial" w:hAnsi="Arial" w:cs="Arial"/>
          <w:b/>
          <w:bCs/>
          <w:lang w:val="en-US"/>
        </w:rPr>
        <w:t xml:space="preserve">. </w:t>
      </w:r>
      <w:r w:rsidR="003E56E6" w:rsidRPr="006917D8">
        <w:rPr>
          <w:rFonts w:ascii="Arial" w:hAnsi="Arial" w:cs="Arial"/>
          <w:b/>
          <w:bCs/>
          <w:lang w:val="en-US"/>
        </w:rPr>
        <w:t>Fatigue assessment</w:t>
      </w:r>
      <w:r w:rsidR="00340CC8" w:rsidRPr="006917D8">
        <w:rPr>
          <w:rFonts w:ascii="Arial" w:hAnsi="Arial" w:cs="Arial"/>
          <w:b/>
          <w:bCs/>
          <w:lang w:val="en-US"/>
        </w:rPr>
        <w:t xml:space="preserve"> using stress</w:t>
      </w:r>
    </w:p>
    <w:p w14:paraId="112E893A" w14:textId="71B295B9" w:rsidR="00D9050A" w:rsidRPr="006917D8" w:rsidRDefault="004E79AC" w:rsidP="00D9050A">
      <w:pPr>
        <w:spacing w:line="240" w:lineRule="auto"/>
        <w:rPr>
          <w:rFonts w:ascii="Arial" w:hAnsi="Arial" w:cs="Arial"/>
        </w:rPr>
      </w:pPr>
      <w:r w:rsidRPr="006917D8">
        <w:rPr>
          <w:rFonts w:ascii="Arial" w:hAnsi="Arial" w:cs="Arial"/>
        </w:rPr>
        <w:t xml:space="preserve">Here, we also looked at the stress amplitude and mean stress </w:t>
      </w:r>
      <w:r w:rsidR="00C506C9" w:rsidRPr="006917D8">
        <w:rPr>
          <w:rFonts w:ascii="Arial" w:hAnsi="Arial" w:cs="Arial"/>
        </w:rPr>
        <w:t>for fatigue a</w:t>
      </w:r>
      <w:r w:rsidR="00E6225F" w:rsidRPr="006917D8">
        <w:rPr>
          <w:rFonts w:ascii="Arial" w:hAnsi="Arial" w:cs="Arial"/>
        </w:rPr>
        <w:t>ssessment</w:t>
      </w:r>
      <w:r w:rsidR="00C506C9" w:rsidRPr="006917D8">
        <w:rPr>
          <w:rFonts w:ascii="Arial" w:hAnsi="Arial" w:cs="Arial"/>
        </w:rPr>
        <w:t>. Specifically</w:t>
      </w:r>
      <w:r w:rsidR="00D9050A" w:rsidRPr="006917D8">
        <w:rPr>
          <w:rFonts w:ascii="Arial" w:hAnsi="Arial" w:cs="Arial"/>
        </w:rPr>
        <w:t>, the Goodman’s rule was considered in this study, expressed as</w:t>
      </w:r>
    </w:p>
    <w:p w14:paraId="415330AA" w14:textId="561374EF" w:rsidR="00D9050A" w:rsidRPr="006917D8" w:rsidRDefault="00AA7594" w:rsidP="00D9050A">
      <w:pPr>
        <w:spacing w:line="240" w:lineRule="auto"/>
        <w:rPr>
          <w:rFonts w:ascii="Arial" w:hAnsi="Arial" w:cs="Arial"/>
        </w:rPr>
      </w:pPr>
      <m:oMathPara>
        <m:oMath>
          <m:eqArr>
            <m:eqArrPr>
              <m:maxDist m:val="1"/>
              <m:ctrlPr>
                <w:rPr>
                  <w:rFonts w:ascii="Cambria Math" w:hAnsi="Cambria Math" w:cs="Arial"/>
                  <w:i/>
                </w:rPr>
              </m:ctrlPr>
            </m:eqArr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num>
                <m:den>
                  <m:sSub>
                    <m:sSubPr>
                      <m:ctrlPr>
                        <w:rPr>
                          <w:rFonts w:ascii="Cambria Math" w:hAnsi="Cambria Math" w:cs="Arial"/>
                          <w:i/>
                        </w:rPr>
                      </m:ctrlPr>
                    </m:sSubPr>
                    <m:e>
                      <m:r>
                        <w:rPr>
                          <w:rFonts w:ascii="Cambria Math" w:hAnsi="Cambria Math" w:cs="Arial"/>
                        </w:rPr>
                        <m:t>σ</m:t>
                      </m:r>
                    </m:e>
                    <m:sub>
                      <m:r>
                        <w:rPr>
                          <w:rFonts w:ascii="Cambria Math" w:hAnsi="Cambria Math" w:cs="Arial"/>
                        </w:rPr>
                        <m:t>fat</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σ</m:t>
                      </m:r>
                    </m:e>
                    <m:sub>
                      <m:r>
                        <w:rPr>
                          <w:rFonts w:ascii="Cambria Math" w:hAnsi="Cambria Math" w:cs="Arial"/>
                        </w:rPr>
                        <m:t>ts</m:t>
                      </m:r>
                    </m:sub>
                  </m:sSub>
                </m:den>
              </m:f>
              <m:r>
                <w:rPr>
                  <w:rFonts w:ascii="Cambria Math" w:hAnsi="Cambria Math" w:cs="Arial"/>
                </w:rPr>
                <m:t>=1,#</m:t>
              </m:r>
              <m:d>
                <m:dPr>
                  <m:ctrlPr>
                    <w:rPr>
                      <w:rFonts w:ascii="Cambria Math" w:hAnsi="Cambria Math" w:cs="Arial"/>
                      <w:i/>
                    </w:rPr>
                  </m:ctrlPr>
                </m:dPr>
                <m:e>
                  <m:r>
                    <m:rPr>
                      <m:sty m:val="p"/>
                    </m:rPr>
                    <w:rPr>
                      <w:rFonts w:ascii="Cambria Math" w:hAnsi="Cambria Math" w:cs="Arial"/>
                    </w:rPr>
                    <m:t>A</m:t>
                  </m:r>
                  <m:r>
                    <w:rPr>
                      <w:rFonts w:ascii="Cambria Math" w:hAnsi="Cambria Math" w:cs="Arial"/>
                    </w:rPr>
                    <m:t>1</m:t>
                  </m:r>
                </m:e>
              </m:d>
            </m:e>
          </m:eqArr>
        </m:oMath>
      </m:oMathPara>
    </w:p>
    <w:p w14:paraId="2F7EC53F" w14:textId="5A966CCB" w:rsidR="00D9050A" w:rsidRPr="006917D8" w:rsidRDefault="00D9050A" w:rsidP="00D9050A">
      <w:pPr>
        <w:spacing w:line="240" w:lineRule="auto"/>
        <w:rPr>
          <w:rFonts w:ascii="Arial" w:hAnsi="Arial" w:cs="Arial"/>
        </w:rPr>
      </w:pPr>
      <w:r w:rsidRPr="006917D8">
        <w:rPr>
          <w:rFonts w:ascii="Arial" w:hAnsi="Arial" w:cs="Arial"/>
        </w:rPr>
        <w:t xml:space="preserve">where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oMath>
      <w:r w:rsidRPr="006917D8">
        <w:rPr>
          <w:rFonts w:ascii="Arial" w:hAnsi="Arial" w:cs="Arial"/>
        </w:rPr>
        <w:t xml:space="preserve">  is the stress amplitude, </w:t>
      </w:r>
      <w:r w:rsidRPr="006917D8">
        <w:rPr>
          <w:rFonts w:ascii="Arial" w:hAnsi="Arial" w:cs="Arial"/>
          <w:vanish/>
        </w:rPr>
        <w:t>{\displaystyle \sigma _{\text{m}}}</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oMath>
      <w:r w:rsidRPr="006917D8">
        <w:rPr>
          <w:rFonts w:ascii="Arial" w:hAnsi="Arial" w:cs="Arial"/>
        </w:rPr>
        <w:t> is the mean stress, and </w:t>
      </w:r>
      <m:oMath>
        <m:sSub>
          <m:sSubPr>
            <m:ctrlPr>
              <w:rPr>
                <w:rFonts w:ascii="Cambria Math" w:hAnsi="Cambria Math" w:cs="Arial"/>
                <w:i/>
              </w:rPr>
            </m:ctrlPr>
          </m:sSubPr>
          <m:e>
            <m:r>
              <w:rPr>
                <w:rFonts w:ascii="Cambria Math" w:hAnsi="Cambria Math" w:cs="Arial"/>
              </w:rPr>
              <m:t>σ</m:t>
            </m:r>
          </m:e>
          <m:sub>
            <m:r>
              <w:rPr>
                <w:rFonts w:ascii="Cambria Math" w:hAnsi="Cambria Math" w:cs="Arial"/>
              </w:rPr>
              <m:t>fat</m:t>
            </m:r>
          </m:sub>
        </m:sSub>
      </m:oMath>
      <w:r w:rsidRPr="006917D8">
        <w:rPr>
          <w:rFonts w:ascii="Arial" w:hAnsi="Arial" w:cs="Arial"/>
        </w:rPr>
        <w:t xml:space="preserve"> and</w:t>
      </w:r>
      <w:r w:rsidRPr="006917D8">
        <w:rPr>
          <w:rFonts w:ascii="Arial" w:hAnsi="Arial" w:cs="Arial"/>
          <w:vanish/>
        </w:rPr>
        <w:t>{\displaystyle \sigma _{\text{fat}}}</w:t>
      </w:r>
      <w:r w:rsidRPr="006917D8">
        <w:rPr>
          <w:rFonts w:ascii="Arial" w:hAnsi="Arial" w:cs="Arial"/>
        </w:rPr>
        <w:t> </w:t>
      </w:r>
      <m:oMath>
        <m:sSub>
          <m:sSubPr>
            <m:ctrlPr>
              <w:rPr>
                <w:rFonts w:ascii="Cambria Math" w:hAnsi="Cambria Math" w:cs="Arial"/>
                <w:i/>
              </w:rPr>
            </m:ctrlPr>
          </m:sSubPr>
          <m:e>
            <m:r>
              <w:rPr>
                <w:rFonts w:ascii="Cambria Math" w:hAnsi="Cambria Math" w:cs="Arial"/>
              </w:rPr>
              <m:t>σ</m:t>
            </m:r>
          </m:e>
          <m:sub>
            <m:r>
              <w:rPr>
                <w:rFonts w:ascii="Cambria Math" w:hAnsi="Cambria Math" w:cs="Arial"/>
              </w:rPr>
              <m:t>ts</m:t>
            </m:r>
          </m:sub>
        </m:sSub>
      </m:oMath>
      <w:r w:rsidRPr="006917D8">
        <w:rPr>
          <w:rFonts w:ascii="Arial" w:hAnsi="Arial" w:cs="Arial"/>
        </w:rPr>
        <w:t xml:space="preserve"> are the fatigue </w:t>
      </w:r>
      <w:r w:rsidR="00D97031" w:rsidRPr="006917D8">
        <w:rPr>
          <w:rFonts w:ascii="Arial" w:hAnsi="Arial" w:cs="Arial"/>
        </w:rPr>
        <w:t xml:space="preserve">stress </w:t>
      </w:r>
      <w:r w:rsidRPr="006917D8">
        <w:rPr>
          <w:rFonts w:ascii="Arial" w:hAnsi="Arial" w:cs="Arial"/>
        </w:rPr>
        <w:t xml:space="preserve">limit and ultimate tensile strength of the nitinol, respectively.  In this study, </w:t>
      </w:r>
      <m:oMath>
        <m:sSub>
          <m:sSubPr>
            <m:ctrlPr>
              <w:rPr>
                <w:rFonts w:ascii="Cambria Math" w:hAnsi="Cambria Math" w:cs="Arial"/>
                <w:i/>
              </w:rPr>
            </m:ctrlPr>
          </m:sSubPr>
          <m:e>
            <m:r>
              <w:rPr>
                <w:rFonts w:ascii="Cambria Math" w:hAnsi="Cambria Math" w:cs="Arial"/>
              </w:rPr>
              <m:t>σ</m:t>
            </m:r>
          </m:e>
          <m:sub>
            <m:r>
              <w:rPr>
                <w:rFonts w:ascii="Cambria Math" w:hAnsi="Cambria Math" w:cs="Arial"/>
              </w:rPr>
              <m:t>fat</m:t>
            </m:r>
          </m:sub>
        </m:sSub>
      </m:oMath>
      <w:r w:rsidRPr="006917D8">
        <w:rPr>
          <w:rFonts w:ascii="Arial" w:hAnsi="Arial" w:cs="Arial"/>
        </w:rPr>
        <w:t xml:space="preserve"> and</w:t>
      </w:r>
      <w:r w:rsidRPr="006917D8">
        <w:rPr>
          <w:rFonts w:ascii="Arial" w:hAnsi="Arial" w:cs="Arial"/>
          <w:vanish/>
        </w:rPr>
        <w:t>{\displaystyle \sigma _{\text{fat}}}</w:t>
      </w:r>
      <w:r w:rsidRPr="006917D8">
        <w:rPr>
          <w:rFonts w:ascii="Arial" w:hAnsi="Arial" w:cs="Arial"/>
        </w:rPr>
        <w:t> </w:t>
      </w:r>
      <m:oMath>
        <m:sSub>
          <m:sSubPr>
            <m:ctrlPr>
              <w:rPr>
                <w:rFonts w:ascii="Cambria Math" w:hAnsi="Cambria Math" w:cs="Arial"/>
                <w:i/>
              </w:rPr>
            </m:ctrlPr>
          </m:sSubPr>
          <m:e>
            <m:r>
              <w:rPr>
                <w:rFonts w:ascii="Cambria Math" w:hAnsi="Cambria Math" w:cs="Arial"/>
              </w:rPr>
              <m:t>σ</m:t>
            </m:r>
          </m:e>
          <m:sub>
            <m:r>
              <w:rPr>
                <w:rFonts w:ascii="Cambria Math" w:hAnsi="Cambria Math" w:cs="Arial"/>
              </w:rPr>
              <m:t>ts</m:t>
            </m:r>
          </m:sub>
        </m:sSub>
      </m:oMath>
      <w:r w:rsidRPr="006917D8">
        <w:rPr>
          <w:rFonts w:ascii="Arial" w:hAnsi="Arial" w:cs="Arial"/>
        </w:rPr>
        <w:t xml:space="preserve"> were taken as 272 MPa and 878 MPa, respectively </w:t>
      </w:r>
      <w:r w:rsidRPr="006917D8">
        <w:rPr>
          <w:rFonts w:ascii="Arial" w:hAnsi="Arial" w:cs="Arial"/>
        </w:rPr>
        <w:fldChar w:fldCharType="begin" w:fldLock="1"/>
      </w:r>
      <w:r w:rsidR="00921D30" w:rsidRPr="006917D8">
        <w:rPr>
          <w:rFonts w:ascii="Arial" w:hAnsi="Arial" w:cs="Arial"/>
        </w:rPr>
        <w:instrText>ADDIN CSL_CITATION {"citationItems":[{"id":"ITEM-1","itemData":{"DOI":"10.1016/j.jmbbm.2007.08.001","ISSN":"17516161","PMID":"19627780","abstract":"Nitinol self-expanding stents are effective in treating peripheral artery disease, including the superficial femoral, carotid, and renal arteries. However, fracture occurrences of up to 50% have been reported in some stents after one year. These stent fractures are likely due to in vivo cyclic displacements. As such, the cyclic fatigue and durability properties of Nitinol-based endovascular stents are discussed in terms of an engineering-based experimental testing program. In this paper, the combined effects of cardiac pulsatile fatigue and stent-vessel oversizing are evaluated for application to both stents and stent subcomponents. In particular, displacement-controlled fatigue tests were performed on stent-like specimens processed from Nitinol microtubing. Fatigue data were collected with combinations of simulated oversizing conditions and pulsatile cycles that were identified by computer modeling of the stent that mimic in vivo deformation conditions. These data are analyzed with non-linear finite element computations and are illustrated with strain-life and strain-based constant-life diagrams. The utility of this approach is demonstrated in conjunction with 10 million cycle pulsatile fatigue tests of Cordis SMART Control® Nitinol self-expanding stents to calculate fatigue safety factors and thereby predict in vivo fatigue resistance. These results demonstrate the non-linear constant fatigue-life response of Nitinol stents, whereby, contrary to conventional engineering materials, the fatigue life of Nitinol is observed to increase with increasing mean strain. © 2007 Elsevier Ltd. All rights reserved.","author":[{"dropping-particle":"","family":"Pelton","given":"A. R.","non-dropping-particle":"","parse-names":false,"suffix":""},{"dropping-particle":"","family":"Schroeder","given":"V.","non-dropping-particle":"","parse-names":false,"suffix":""},{"dropping-particle":"","family":"Mitchell","given":"M. R.","non-dropping-particle":"","parse-names":false,"suffix":""},{"dropping-particle":"","family":"Gong","given":"Xiao Yan","non-dropping-particle":"","parse-names":false,"suffix":""},{"dropping-particle":"","family":"Barney","given":"M.","non-dropping-particle":"","parse-names":false,"suffix":""},{"dropping-particle":"","family":"Robertson","given":"S. W.","non-dropping-particle":"","parse-names":false,"suffix":""}],"container-title":"Journal of the Mechanical Behavior of Biomedical Materials","id":"ITEM-1","issue":"2","issued":{"date-parts":[["2008"]]},"page":"153-164","title":"Fatigue and durability of Nitinol stents","type":"article-journal","volume":"1"},"uris":["http://www.mendeley.com/documents/?uuid=6d46353d-442f-4a30-aa5c-c0b59e12c584"]},{"id":"ITEM-2","itemData":{"DOI":"10.1002/adem.200800403","ISSN":"14381656","abstract":"This paper presents the first characterization of anisotropic stress-strain behavior in micron-sized specimens cut directly from hypotubes, the starting material for the manufacture of endovascular stents and other biomedical devices, of a new radiopaque alloy NiTiPt. Experimental results show that NiTiPt hypotube has very different anisotropic characteristics when compared to its NiTi counterpart including higher tensile strength and strain, higher stress-strain nonlinearity, smaller hysteresis loop, and sharper tails during loading-unloading. © 2009 WILEY-VCH Verlag GmbH &amp; Co. KGaA.","author":[{"dropping-particle":"","family":"Lin","given":"Zhicheng","non-dropping-particle":"","parse-names":false,"suffix":""},{"dropping-particle":"","family":"Hsiao","given":"Hao Ming","non-dropping-particle":"","parse-names":false,"suffix":""},{"dropping-particle":"","family":"Mackiewicz","given":"David","non-dropping-particle":"","parse-names":false,"suffix":""},{"dropping-particle":"","family":"Anukhin","given":"Boris","non-dropping-particle":"","parse-names":false,"suffix":""},{"dropping-particle":"","family":"Pike","given":"Kelly","non-dropping-particle":"","parse-names":false,"suffix":""}],"container-title":"Advanced Engineering Materials","id":"ITEM-2","issue":"11","issued":{"date-parts":[["2009"]]},"page":"B189-B193","title":"Anisotropic behavior of radiopaque NiTiPt hypotube for biomedical applications","type":"article-journal","volume":"11"},"uris":["http://www.mendeley.com/documents/?uuid=7cc6b456-6741-4ee0-a211-b2d6a522fe3e"]}],"mendeley":{"formattedCitation":"(Lin et al., 2009; Pelton et al., 2008)","manualFormatting":"(Pelton et al., 2008; Lin et al., 2009)","plainTextFormattedCitation":"(Lin et al., 2009; Pelton et al., 2008)","previouslyFormattedCitation":"(Lin et al., 2009; Pelton et al., 2008)"},"properties":{"noteIndex":0},"schema":"https://github.com/citation-style-language/schema/raw/master/csl-citation.json"}</w:instrText>
      </w:r>
      <w:r w:rsidRPr="006917D8">
        <w:rPr>
          <w:rFonts w:ascii="Arial" w:hAnsi="Arial" w:cs="Arial"/>
        </w:rPr>
        <w:fldChar w:fldCharType="separate"/>
      </w:r>
      <w:r w:rsidRPr="006917D8">
        <w:rPr>
          <w:rFonts w:ascii="Arial" w:hAnsi="Arial" w:cs="Arial"/>
          <w:noProof/>
        </w:rPr>
        <w:t>(Pelton et al., 2008; Lin et al., 2009)</w:t>
      </w:r>
      <w:r w:rsidRPr="006917D8">
        <w:rPr>
          <w:rFonts w:ascii="Arial" w:hAnsi="Arial" w:cs="Arial"/>
          <w:lang w:val="en-US"/>
        </w:rPr>
        <w:fldChar w:fldCharType="end"/>
      </w:r>
      <w:r w:rsidRPr="006917D8">
        <w:rPr>
          <w:rFonts w:ascii="Arial" w:hAnsi="Arial" w:cs="Arial"/>
        </w:rPr>
        <w:t>. A Python script was written to extract the peak and valley stresses for all the elements in the modelled stent in the last cycle for each loading case, which were used to calculate the mean stress and stress amplitude</w:t>
      </w:r>
      <w:r w:rsidR="00956A36" w:rsidRPr="006917D8">
        <w:rPr>
          <w:rFonts w:ascii="Arial" w:hAnsi="Arial" w:cs="Arial"/>
        </w:rPr>
        <w:t xml:space="preserve"> (von Mises stress)</w:t>
      </w:r>
      <w:r w:rsidRPr="006917D8">
        <w:rPr>
          <w:rFonts w:ascii="Arial" w:hAnsi="Arial" w:cs="Arial"/>
        </w:rPr>
        <w:t xml:space="preserve"> and then plotted in the Goodman’s diagram for fatigue assessment.</w:t>
      </w:r>
    </w:p>
    <w:p w14:paraId="3F86E363" w14:textId="77777777" w:rsidR="00816227" w:rsidRPr="006917D8" w:rsidRDefault="00816227" w:rsidP="004E2A21">
      <w:pPr>
        <w:spacing w:line="240" w:lineRule="auto"/>
        <w:rPr>
          <w:rFonts w:ascii="Arial" w:hAnsi="Arial" w:cs="Arial"/>
        </w:rPr>
      </w:pPr>
    </w:p>
    <w:p w14:paraId="0C5EBA0C" w14:textId="3A14D4BC" w:rsidR="00213AD2" w:rsidRPr="006917D8" w:rsidRDefault="007916EE" w:rsidP="00213AD2">
      <w:pPr>
        <w:spacing w:line="240" w:lineRule="auto"/>
        <w:rPr>
          <w:rFonts w:ascii="Arial" w:hAnsi="Arial" w:cs="Arial"/>
          <w:b/>
          <w:bCs/>
        </w:rPr>
      </w:pPr>
      <w:r w:rsidRPr="006917D8">
        <w:rPr>
          <w:rFonts w:ascii="Arial" w:hAnsi="Arial" w:cs="Arial"/>
          <w:b/>
          <w:bCs/>
        </w:rPr>
        <w:t>5</w:t>
      </w:r>
      <w:r w:rsidR="00213AD2" w:rsidRPr="006917D8">
        <w:rPr>
          <w:rFonts w:ascii="Arial" w:hAnsi="Arial" w:cs="Arial"/>
          <w:b/>
          <w:bCs/>
        </w:rPr>
        <w:t>.1. Fatigue performance under blood pressure</w:t>
      </w:r>
    </w:p>
    <w:p w14:paraId="291418F4" w14:textId="7AC345CE" w:rsidR="00213AD2" w:rsidRPr="006917D8" w:rsidRDefault="00213AD2" w:rsidP="00213AD2">
      <w:pPr>
        <w:spacing w:line="240" w:lineRule="auto"/>
        <w:rPr>
          <w:rFonts w:ascii="Arial" w:hAnsi="Arial" w:cs="Arial"/>
        </w:rPr>
      </w:pPr>
      <w:r w:rsidRPr="006917D8">
        <w:rPr>
          <w:rFonts w:ascii="Arial" w:hAnsi="Arial" w:cs="Arial"/>
        </w:rPr>
        <w:t xml:space="preserve">Analysis of distribution of von Mises stress in the stent at systole and diastole pressures, demonstrated that high stress gradient occurred in all conditions, ranging between </w:t>
      </w:r>
      <w:r w:rsidR="004D6BFB" w:rsidRPr="006917D8">
        <w:rPr>
          <w:rFonts w:ascii="Arial" w:hAnsi="Arial" w:cs="Arial"/>
        </w:rPr>
        <w:t>0</w:t>
      </w:r>
      <w:r w:rsidRPr="006917D8">
        <w:rPr>
          <w:rFonts w:ascii="Arial" w:hAnsi="Arial" w:cs="Arial"/>
        </w:rPr>
        <w:t xml:space="preserve"> MPa and </w:t>
      </w:r>
      <w:r w:rsidR="004D6BFB" w:rsidRPr="006917D8">
        <w:rPr>
          <w:rFonts w:ascii="Arial" w:hAnsi="Arial" w:cs="Arial"/>
        </w:rPr>
        <w:t>496</w:t>
      </w:r>
      <w:r w:rsidRPr="006917D8">
        <w:rPr>
          <w:rFonts w:ascii="Arial" w:hAnsi="Arial" w:cs="Arial"/>
        </w:rPr>
        <w:t xml:space="preserve"> MPa (Fig. </w:t>
      </w:r>
      <w:r w:rsidR="004D6BFB" w:rsidRPr="006917D8">
        <w:rPr>
          <w:rFonts w:ascii="Arial" w:hAnsi="Arial" w:cs="Arial"/>
        </w:rPr>
        <w:t>A</w:t>
      </w:r>
      <w:r w:rsidR="00FA66E8" w:rsidRPr="006917D8">
        <w:rPr>
          <w:rFonts w:ascii="Arial" w:hAnsi="Arial" w:cs="Arial"/>
        </w:rPr>
        <w:t>7</w:t>
      </w:r>
      <w:r w:rsidRPr="006917D8">
        <w:rPr>
          <w:rFonts w:ascii="Arial" w:hAnsi="Arial" w:cs="Arial"/>
        </w:rPr>
        <w:t xml:space="preserve">a). The maximum stress in the stent for a systole was somewhat </w:t>
      </w:r>
      <w:r w:rsidR="004D6BFB" w:rsidRPr="006917D8">
        <w:rPr>
          <w:rFonts w:ascii="Arial" w:hAnsi="Arial" w:cs="Arial"/>
        </w:rPr>
        <w:t>higher</w:t>
      </w:r>
      <w:r w:rsidRPr="006917D8">
        <w:rPr>
          <w:rFonts w:ascii="Arial" w:hAnsi="Arial" w:cs="Arial"/>
        </w:rPr>
        <w:t xml:space="preserve"> than that for a diastole (</w:t>
      </w:r>
      <w:r w:rsidR="004D6BFB" w:rsidRPr="006917D8">
        <w:rPr>
          <w:rFonts w:ascii="Arial" w:hAnsi="Arial" w:cs="Arial"/>
        </w:rPr>
        <w:t>496</w:t>
      </w:r>
      <w:r w:rsidRPr="006917D8">
        <w:rPr>
          <w:rFonts w:ascii="Arial" w:hAnsi="Arial" w:cs="Arial"/>
        </w:rPr>
        <w:t xml:space="preserve"> MPa </w:t>
      </w:r>
      <w:r w:rsidRPr="006917D8">
        <w:rPr>
          <w:rFonts w:ascii="Arial" w:hAnsi="Arial" w:cs="Arial"/>
          <w:i/>
          <w:iCs/>
        </w:rPr>
        <w:t>vs.</w:t>
      </w:r>
      <w:r w:rsidR="004D6BFB" w:rsidRPr="006917D8">
        <w:rPr>
          <w:rFonts w:ascii="Arial" w:hAnsi="Arial" w:cs="Arial"/>
        </w:rPr>
        <w:t>487</w:t>
      </w:r>
      <w:r w:rsidRPr="006917D8">
        <w:rPr>
          <w:rFonts w:ascii="Arial" w:hAnsi="Arial" w:cs="Arial"/>
        </w:rPr>
        <w:t xml:space="preserve"> MPa)</w:t>
      </w:r>
      <w:r w:rsidR="009F1439" w:rsidRPr="006917D8">
        <w:rPr>
          <w:rFonts w:ascii="Arial" w:hAnsi="Arial" w:cs="Arial"/>
        </w:rPr>
        <w:t>.</w:t>
      </w:r>
      <w:r w:rsidRPr="006917D8">
        <w:rPr>
          <w:rFonts w:ascii="Arial" w:hAnsi="Arial" w:cs="Arial"/>
        </w:rPr>
        <w:t xml:space="preserve"> Also, high-level stresses (red zones) were mainly found at the inner corner of U-bends in the stent, while low stresses (blue zones) occurred at the middle of bridging struts. The results suggested that the inner corners of U-bends had a higher risk of fatigue failure due to blood pressure. The evolution of von Mises stress at the high stress region (Fig. </w:t>
      </w:r>
      <w:r w:rsidR="004D6BFB" w:rsidRPr="006917D8">
        <w:rPr>
          <w:rFonts w:ascii="Arial" w:hAnsi="Arial" w:cs="Arial"/>
        </w:rPr>
        <w:t>A</w:t>
      </w:r>
      <w:r w:rsidR="00FA66E8" w:rsidRPr="006917D8">
        <w:rPr>
          <w:rFonts w:ascii="Arial" w:hAnsi="Arial" w:cs="Arial"/>
        </w:rPr>
        <w:t>7</w:t>
      </w:r>
      <w:r w:rsidRPr="006917D8">
        <w:rPr>
          <w:rFonts w:ascii="Arial" w:hAnsi="Arial" w:cs="Arial"/>
        </w:rPr>
        <w:t>a) under cyclic systolic-diastolic loading showed that the stress fluctuation tended to stabilize at Cycle 1</w:t>
      </w:r>
      <w:r w:rsidR="00A62773" w:rsidRPr="006917D8">
        <w:rPr>
          <w:rFonts w:ascii="Arial" w:hAnsi="Arial" w:cs="Arial"/>
        </w:rPr>
        <w:t>0</w:t>
      </w:r>
      <w:r w:rsidRPr="006917D8">
        <w:rPr>
          <w:rFonts w:ascii="Arial" w:hAnsi="Arial" w:cs="Arial"/>
        </w:rPr>
        <w:t xml:space="preserve"> (Fig. </w:t>
      </w:r>
      <w:r w:rsidR="004D6BFB" w:rsidRPr="006917D8">
        <w:rPr>
          <w:rFonts w:ascii="Arial" w:hAnsi="Arial" w:cs="Arial"/>
        </w:rPr>
        <w:t>A</w:t>
      </w:r>
      <w:r w:rsidR="00FA66E8" w:rsidRPr="006917D8">
        <w:rPr>
          <w:rFonts w:ascii="Arial" w:hAnsi="Arial" w:cs="Arial"/>
        </w:rPr>
        <w:t>7</w:t>
      </w:r>
      <w:r w:rsidRPr="006917D8">
        <w:rPr>
          <w:rFonts w:ascii="Arial" w:hAnsi="Arial" w:cs="Arial"/>
        </w:rPr>
        <w:t xml:space="preserve">b), with a peak and valley stress of </w:t>
      </w:r>
      <w:r w:rsidR="00137913" w:rsidRPr="006917D8">
        <w:rPr>
          <w:rFonts w:ascii="Arial" w:hAnsi="Arial" w:cs="Arial"/>
        </w:rPr>
        <w:t>494</w:t>
      </w:r>
      <w:r w:rsidRPr="006917D8">
        <w:rPr>
          <w:rFonts w:ascii="Arial" w:hAnsi="Arial" w:cs="Arial"/>
        </w:rPr>
        <w:t xml:space="preserve"> MPa and </w:t>
      </w:r>
      <w:r w:rsidR="00137913" w:rsidRPr="006917D8">
        <w:rPr>
          <w:rFonts w:ascii="Arial" w:hAnsi="Arial" w:cs="Arial"/>
        </w:rPr>
        <w:t>484</w:t>
      </w:r>
      <w:r w:rsidRPr="006917D8">
        <w:rPr>
          <w:rFonts w:ascii="Arial" w:hAnsi="Arial" w:cs="Arial"/>
        </w:rPr>
        <w:t xml:space="preserve"> MPa, respectively. The stabilised stress condition for all the elements were extracted and plotted in the Goodman’s diagram (Fig. </w:t>
      </w:r>
      <w:r w:rsidR="004D6BFB" w:rsidRPr="006917D8">
        <w:rPr>
          <w:rFonts w:ascii="Arial" w:hAnsi="Arial" w:cs="Arial"/>
        </w:rPr>
        <w:t>A</w:t>
      </w:r>
      <w:r w:rsidR="00FA66E8" w:rsidRPr="006917D8">
        <w:rPr>
          <w:rFonts w:ascii="Arial" w:hAnsi="Arial" w:cs="Arial"/>
        </w:rPr>
        <w:t>7</w:t>
      </w:r>
      <w:r w:rsidRPr="006917D8">
        <w:rPr>
          <w:rFonts w:ascii="Arial" w:hAnsi="Arial" w:cs="Arial"/>
        </w:rPr>
        <w:t>c). Its black line illustrates the fatigue</w:t>
      </w:r>
      <w:r w:rsidR="00B008D0" w:rsidRPr="006917D8">
        <w:rPr>
          <w:rFonts w:ascii="Arial" w:hAnsi="Arial" w:cs="Arial"/>
        </w:rPr>
        <w:t xml:space="preserve"> stress</w:t>
      </w:r>
      <w:r w:rsidRPr="006917D8">
        <w:rPr>
          <w:rFonts w:ascii="Arial" w:hAnsi="Arial" w:cs="Arial"/>
        </w:rPr>
        <w:t xml:space="preserve"> limit of nitinol according to Eq. (</w:t>
      </w:r>
      <w:r w:rsidR="00D9050A" w:rsidRPr="006917D8">
        <w:rPr>
          <w:rFonts w:ascii="Arial" w:hAnsi="Arial" w:cs="Arial"/>
        </w:rPr>
        <w:t>A</w:t>
      </w:r>
      <w:r w:rsidRPr="006917D8">
        <w:rPr>
          <w:rFonts w:ascii="Arial" w:hAnsi="Arial" w:cs="Arial"/>
        </w:rPr>
        <w:t>1), with the black markers representing the levels of stress amplitude and mean stress of the elements. Apparently, all the elements are in the safe zone, experiencing relatively low levels of stress amplitude and mean stress caused by the pulsatile blood pressure.</w:t>
      </w:r>
    </w:p>
    <w:p w14:paraId="257B803E" w14:textId="0DF3A424" w:rsidR="009147D7" w:rsidRPr="006917D8" w:rsidRDefault="009147D7" w:rsidP="00213AD2">
      <w:pPr>
        <w:spacing w:line="240" w:lineRule="auto"/>
        <w:rPr>
          <w:rFonts w:ascii="Arial" w:hAnsi="Arial" w:cs="Arial"/>
        </w:rPr>
      </w:pPr>
    </w:p>
    <w:p w14:paraId="56ECB5D8" w14:textId="52D0FD0B" w:rsidR="009147D7" w:rsidRPr="006917D8" w:rsidRDefault="00EF4240" w:rsidP="000125D2">
      <w:pPr>
        <w:spacing w:line="240" w:lineRule="auto"/>
        <w:jc w:val="center"/>
        <w:rPr>
          <w:rFonts w:ascii="Arial" w:hAnsi="Arial" w:cs="Arial"/>
          <w:noProof/>
        </w:rPr>
      </w:pPr>
      <w:r w:rsidRPr="006917D8">
        <w:object w:dxaOrig="8497" w:dyaOrig="13284" w14:anchorId="45BF4D2E">
          <v:shape id="_x0000_i1027" type="#_x0000_t75" style="width:413.25pt;height:647.25pt" o:ole="">
            <v:imagedata r:id="rId19" o:title=""/>
          </v:shape>
          <o:OLEObject Type="Embed" ProgID="Visio.Drawing.15" ShapeID="_x0000_i1027" DrawAspect="Content" ObjectID="_1680415148" r:id="rId20"/>
        </w:object>
      </w:r>
    </w:p>
    <w:p w14:paraId="030E2422" w14:textId="05494229" w:rsidR="00213AD2" w:rsidRPr="006917D8" w:rsidRDefault="004D6BFB" w:rsidP="002256DC">
      <w:pPr>
        <w:spacing w:line="240" w:lineRule="auto"/>
        <w:jc w:val="center"/>
        <w:rPr>
          <w:rFonts w:ascii="Arial" w:hAnsi="Arial" w:cs="Arial"/>
        </w:rPr>
      </w:pPr>
      <w:r w:rsidRPr="006917D8">
        <w:rPr>
          <w:rFonts w:ascii="Arial" w:hAnsi="Arial" w:cs="Arial"/>
        </w:rPr>
        <w:t>Fig. A</w:t>
      </w:r>
      <w:r w:rsidR="00FA66E8" w:rsidRPr="006917D8">
        <w:rPr>
          <w:rFonts w:ascii="Arial" w:hAnsi="Arial" w:cs="Arial"/>
        </w:rPr>
        <w:t>7</w:t>
      </w:r>
      <w:r w:rsidRPr="006917D8">
        <w:rPr>
          <w:rFonts w:ascii="Arial" w:hAnsi="Arial" w:cs="Arial"/>
        </w:rPr>
        <w:t>. Fatigue performance under blood pressure: (a) contour plots of von Mises stress (MPa) in stent at the end of systole and diastole; (b) evolution of von Mises stress in high-stress region in (a) during systolic-diastolic loading process (time refers to the period of cyclic loading); (c) Goodman’s diagram.</w:t>
      </w:r>
    </w:p>
    <w:p w14:paraId="508CD782" w14:textId="4C321513" w:rsidR="00213AD2" w:rsidRPr="006917D8" w:rsidRDefault="007916EE" w:rsidP="00213AD2">
      <w:pPr>
        <w:spacing w:line="240" w:lineRule="auto"/>
        <w:rPr>
          <w:rFonts w:ascii="Arial" w:hAnsi="Arial" w:cs="Arial"/>
          <w:b/>
          <w:bCs/>
        </w:rPr>
      </w:pPr>
      <w:r w:rsidRPr="006917D8">
        <w:rPr>
          <w:rFonts w:ascii="Arial" w:hAnsi="Arial" w:cs="Arial"/>
          <w:b/>
          <w:bCs/>
        </w:rPr>
        <w:lastRenderedPageBreak/>
        <w:t>5</w:t>
      </w:r>
      <w:r w:rsidR="00213AD2" w:rsidRPr="006917D8">
        <w:rPr>
          <w:rFonts w:ascii="Arial" w:hAnsi="Arial" w:cs="Arial"/>
          <w:b/>
          <w:bCs/>
        </w:rPr>
        <w:t>.2. Fatigue performance under bending</w:t>
      </w:r>
    </w:p>
    <w:p w14:paraId="4634880C" w14:textId="06C7D577" w:rsidR="00213AD2" w:rsidRPr="006917D8" w:rsidRDefault="00213AD2" w:rsidP="00213AD2">
      <w:pPr>
        <w:spacing w:line="240" w:lineRule="auto"/>
        <w:rPr>
          <w:rFonts w:ascii="Arial" w:hAnsi="Arial" w:cs="Arial"/>
        </w:rPr>
      </w:pPr>
      <w:r w:rsidRPr="006917D8">
        <w:rPr>
          <w:rFonts w:ascii="Arial" w:hAnsi="Arial" w:cs="Arial"/>
        </w:rPr>
        <w:t xml:space="preserve">In contrast, bending fatigue is a more challenging condition for stents (Fig. </w:t>
      </w:r>
      <w:r w:rsidR="002256DC" w:rsidRPr="006917D8">
        <w:rPr>
          <w:rFonts w:ascii="Arial" w:hAnsi="Arial" w:cs="Arial"/>
        </w:rPr>
        <w:t>A</w:t>
      </w:r>
      <w:r w:rsidR="001D7E65" w:rsidRPr="006917D8">
        <w:rPr>
          <w:rFonts w:ascii="Arial" w:hAnsi="Arial" w:cs="Arial"/>
        </w:rPr>
        <w:t>8</w:t>
      </w:r>
      <w:r w:rsidRPr="006917D8">
        <w:rPr>
          <w:rFonts w:ascii="Arial" w:hAnsi="Arial" w:cs="Arial"/>
        </w:rPr>
        <w:t>a) with higher values of the maximum stress corresponding to both the peak load (7</w:t>
      </w:r>
      <w:r w:rsidR="0016661E" w:rsidRPr="006917D8">
        <w:rPr>
          <w:rFonts w:ascii="Arial" w:hAnsi="Arial" w:cs="Arial"/>
        </w:rPr>
        <w:t>69</w:t>
      </w:r>
      <w:r w:rsidRPr="006917D8">
        <w:rPr>
          <w:rFonts w:ascii="Arial" w:hAnsi="Arial" w:cs="Arial"/>
        </w:rPr>
        <w:t xml:space="preserve"> MPa) and the unloaded condition (6</w:t>
      </w:r>
      <w:r w:rsidR="0016661E" w:rsidRPr="006917D8">
        <w:rPr>
          <w:rFonts w:ascii="Arial" w:hAnsi="Arial" w:cs="Arial"/>
        </w:rPr>
        <w:t>36</w:t>
      </w:r>
      <w:r w:rsidRPr="006917D8">
        <w:rPr>
          <w:rFonts w:ascii="Arial" w:hAnsi="Arial" w:cs="Arial"/>
        </w:rPr>
        <w:t xml:space="preserve"> MPa). Similar to the blood-pressure loading, high (red zones) and low (blue zones) stresses were found at the inner corner of U-bends and the middle of bridge struts, respectively. The stabilized (after </w:t>
      </w:r>
      <w:r w:rsidR="0016661E" w:rsidRPr="006917D8">
        <w:rPr>
          <w:rFonts w:ascii="Arial" w:hAnsi="Arial" w:cs="Arial"/>
        </w:rPr>
        <w:t>1</w:t>
      </w:r>
      <w:r w:rsidRPr="006917D8">
        <w:rPr>
          <w:rFonts w:ascii="Arial" w:hAnsi="Arial" w:cs="Arial"/>
        </w:rPr>
        <w:t xml:space="preserve"> cycle) peak and valley stresses for the high stress region (Fig. </w:t>
      </w:r>
      <w:r w:rsidR="002256DC" w:rsidRPr="006917D8">
        <w:rPr>
          <w:rFonts w:ascii="Arial" w:hAnsi="Arial" w:cs="Arial"/>
        </w:rPr>
        <w:t>A</w:t>
      </w:r>
      <w:r w:rsidR="001D7E65" w:rsidRPr="006917D8">
        <w:rPr>
          <w:rFonts w:ascii="Arial" w:hAnsi="Arial" w:cs="Arial"/>
        </w:rPr>
        <w:t>8</w:t>
      </w:r>
      <w:r w:rsidRPr="006917D8">
        <w:rPr>
          <w:rFonts w:ascii="Arial" w:hAnsi="Arial" w:cs="Arial"/>
        </w:rPr>
        <w:t>a) were 7</w:t>
      </w:r>
      <w:r w:rsidR="0016661E" w:rsidRPr="006917D8">
        <w:rPr>
          <w:rFonts w:ascii="Arial" w:hAnsi="Arial" w:cs="Arial"/>
        </w:rPr>
        <w:t>64</w:t>
      </w:r>
      <w:r w:rsidRPr="006917D8">
        <w:rPr>
          <w:rFonts w:ascii="Arial" w:hAnsi="Arial" w:cs="Arial"/>
        </w:rPr>
        <w:t xml:space="preserve"> MPa and </w:t>
      </w:r>
      <w:r w:rsidR="0016661E" w:rsidRPr="006917D8">
        <w:rPr>
          <w:rFonts w:ascii="Arial" w:hAnsi="Arial" w:cs="Arial"/>
        </w:rPr>
        <w:t>216</w:t>
      </w:r>
      <w:r w:rsidRPr="006917D8">
        <w:rPr>
          <w:rFonts w:ascii="Arial" w:hAnsi="Arial" w:cs="Arial"/>
        </w:rPr>
        <w:t xml:space="preserve"> MPa, respectively (Fig. </w:t>
      </w:r>
      <w:r w:rsidR="002256DC" w:rsidRPr="006917D8">
        <w:rPr>
          <w:rFonts w:ascii="Arial" w:hAnsi="Arial" w:cs="Arial"/>
        </w:rPr>
        <w:t>A</w:t>
      </w:r>
      <w:r w:rsidR="001D7E65" w:rsidRPr="006917D8">
        <w:rPr>
          <w:rFonts w:ascii="Arial" w:hAnsi="Arial" w:cs="Arial"/>
        </w:rPr>
        <w:t>8</w:t>
      </w:r>
      <w:r w:rsidRPr="006917D8">
        <w:rPr>
          <w:rFonts w:ascii="Arial" w:hAnsi="Arial" w:cs="Arial"/>
        </w:rPr>
        <w:t xml:space="preserve">b). The Goodman’s diagram (Fig. </w:t>
      </w:r>
      <w:r w:rsidR="002256DC" w:rsidRPr="006917D8">
        <w:rPr>
          <w:rFonts w:ascii="Arial" w:hAnsi="Arial" w:cs="Arial"/>
        </w:rPr>
        <w:t>A</w:t>
      </w:r>
      <w:r w:rsidR="001D7E65" w:rsidRPr="006917D8">
        <w:rPr>
          <w:rFonts w:ascii="Arial" w:hAnsi="Arial" w:cs="Arial"/>
        </w:rPr>
        <w:t>8</w:t>
      </w:r>
      <w:r w:rsidRPr="006917D8">
        <w:rPr>
          <w:rFonts w:ascii="Arial" w:hAnsi="Arial" w:cs="Arial"/>
        </w:rPr>
        <w:t>c) demonstrates that, most elements were still in the safe zone, but with much higher mean stress and stress amplitude compared to the results for pulsatile blood pressure. Some elements were even located in the dangerous zone based on the estimated fatigue</w:t>
      </w:r>
      <w:r w:rsidR="00B008D0" w:rsidRPr="006917D8">
        <w:rPr>
          <w:rFonts w:ascii="Arial" w:hAnsi="Arial" w:cs="Arial"/>
        </w:rPr>
        <w:t xml:space="preserve"> stress</w:t>
      </w:r>
      <w:r w:rsidRPr="006917D8">
        <w:rPr>
          <w:rFonts w:ascii="Arial" w:hAnsi="Arial" w:cs="Arial"/>
        </w:rPr>
        <w:t xml:space="preserve"> limit lines, indicating an increased risk of fatigue failure.</w:t>
      </w:r>
    </w:p>
    <w:p w14:paraId="4B4B4446" w14:textId="218701C1" w:rsidR="002256DC" w:rsidRPr="006917D8" w:rsidRDefault="002256DC" w:rsidP="00213AD2">
      <w:pPr>
        <w:spacing w:line="240" w:lineRule="auto"/>
        <w:rPr>
          <w:rFonts w:ascii="Arial" w:hAnsi="Arial" w:cs="Arial"/>
        </w:rPr>
      </w:pPr>
    </w:p>
    <w:p w14:paraId="535B1829" w14:textId="0EA620F4" w:rsidR="002256DC" w:rsidRPr="006917D8" w:rsidRDefault="005C5261" w:rsidP="00DF6944">
      <w:pPr>
        <w:spacing w:line="240" w:lineRule="auto"/>
        <w:jc w:val="center"/>
      </w:pPr>
      <w:r w:rsidRPr="006917D8">
        <w:object w:dxaOrig="8268" w:dyaOrig="13128" w14:anchorId="3E319176">
          <v:shape id="_x0000_i1028" type="#_x0000_t75" style="width:413.25pt;height:656.25pt" o:ole="">
            <v:imagedata r:id="rId21" o:title=""/>
          </v:shape>
          <o:OLEObject Type="Embed" ProgID="Visio.Drawing.15" ShapeID="_x0000_i1028" DrawAspect="Content" ObjectID="_1680415149" r:id="rId22"/>
        </w:object>
      </w:r>
    </w:p>
    <w:p w14:paraId="6853FB77" w14:textId="44CFE854" w:rsidR="00213AD2" w:rsidRPr="006917D8" w:rsidRDefault="00FD601B" w:rsidP="00FD601B">
      <w:pPr>
        <w:spacing w:line="240" w:lineRule="auto"/>
        <w:jc w:val="center"/>
        <w:rPr>
          <w:rFonts w:ascii="Arial" w:hAnsi="Arial" w:cs="Arial"/>
        </w:rPr>
      </w:pPr>
      <w:r w:rsidRPr="006917D8">
        <w:rPr>
          <w:rFonts w:ascii="Arial" w:hAnsi="Arial" w:cs="Arial"/>
        </w:rPr>
        <w:t xml:space="preserve">Fig. </w:t>
      </w:r>
      <w:r w:rsidR="008B7013" w:rsidRPr="006917D8">
        <w:rPr>
          <w:rFonts w:ascii="Arial" w:hAnsi="Arial" w:cs="Arial"/>
        </w:rPr>
        <w:t>A</w:t>
      </w:r>
      <w:r w:rsidR="001D7E65" w:rsidRPr="006917D8">
        <w:rPr>
          <w:rFonts w:ascii="Arial" w:hAnsi="Arial" w:cs="Arial"/>
        </w:rPr>
        <w:t>8</w:t>
      </w:r>
      <w:r w:rsidRPr="006917D8">
        <w:rPr>
          <w:rFonts w:ascii="Arial" w:hAnsi="Arial" w:cs="Arial"/>
        </w:rPr>
        <w:t>. Fatigue performance under bending: (a) contour plots of von Mises stress (MPa) in stent at peak loading and unloaded conditions; (b) evolution of von Mises stress in high-stress region in (a; time refers to the period of cyclic loading); (c) Goodman’s diagram.</w:t>
      </w:r>
    </w:p>
    <w:p w14:paraId="78E2EC87" w14:textId="385F5F82" w:rsidR="00213AD2" w:rsidRPr="006917D8" w:rsidRDefault="007916EE" w:rsidP="00213AD2">
      <w:pPr>
        <w:spacing w:line="240" w:lineRule="auto"/>
        <w:rPr>
          <w:rFonts w:ascii="Arial" w:hAnsi="Arial" w:cs="Arial"/>
          <w:b/>
          <w:bCs/>
        </w:rPr>
      </w:pPr>
      <w:r w:rsidRPr="006917D8">
        <w:rPr>
          <w:rFonts w:ascii="Arial" w:hAnsi="Arial" w:cs="Arial"/>
          <w:b/>
          <w:bCs/>
        </w:rPr>
        <w:lastRenderedPageBreak/>
        <w:t>5</w:t>
      </w:r>
      <w:r w:rsidR="00213AD2" w:rsidRPr="006917D8">
        <w:rPr>
          <w:rFonts w:ascii="Arial" w:hAnsi="Arial" w:cs="Arial"/>
          <w:b/>
          <w:bCs/>
        </w:rPr>
        <w:t>.3. Fatigue performance under torsion</w:t>
      </w:r>
    </w:p>
    <w:p w14:paraId="3498F141" w14:textId="5AA37522" w:rsidR="00213AD2" w:rsidRPr="006917D8" w:rsidRDefault="00213AD2" w:rsidP="00213AD2">
      <w:pPr>
        <w:spacing w:line="240" w:lineRule="auto"/>
        <w:rPr>
          <w:rFonts w:ascii="Arial" w:hAnsi="Arial" w:cs="Arial"/>
        </w:rPr>
      </w:pPr>
      <w:r w:rsidRPr="006917D8">
        <w:rPr>
          <w:rFonts w:ascii="Arial" w:hAnsi="Arial" w:cs="Arial"/>
        </w:rPr>
        <w:t xml:space="preserve">Fig. </w:t>
      </w:r>
      <w:r w:rsidR="008B7013" w:rsidRPr="006917D8">
        <w:rPr>
          <w:rFonts w:ascii="Arial" w:hAnsi="Arial" w:cs="Arial"/>
        </w:rPr>
        <w:t>A</w:t>
      </w:r>
      <w:r w:rsidR="001D7E65" w:rsidRPr="006917D8">
        <w:rPr>
          <w:rFonts w:ascii="Arial" w:hAnsi="Arial" w:cs="Arial"/>
        </w:rPr>
        <w:t>9</w:t>
      </w:r>
      <w:r w:rsidRPr="006917D8">
        <w:rPr>
          <w:rFonts w:ascii="Arial" w:hAnsi="Arial" w:cs="Arial"/>
        </w:rPr>
        <w:t>a shows the von Mises stress distribution on the stent at peak loading and unloaded conditions under torsion fatigue. The maximum stress in the stent varied between 5</w:t>
      </w:r>
      <w:r w:rsidR="007E387F" w:rsidRPr="006917D8">
        <w:rPr>
          <w:rFonts w:ascii="Arial" w:hAnsi="Arial" w:cs="Arial"/>
        </w:rPr>
        <w:t>16</w:t>
      </w:r>
      <w:r w:rsidRPr="006917D8">
        <w:rPr>
          <w:rFonts w:ascii="Arial" w:hAnsi="Arial" w:cs="Arial"/>
        </w:rPr>
        <w:t xml:space="preserve"> MPa (peak load) and </w:t>
      </w:r>
      <w:r w:rsidR="007E387F" w:rsidRPr="006917D8">
        <w:rPr>
          <w:rFonts w:ascii="Arial" w:hAnsi="Arial" w:cs="Arial"/>
        </w:rPr>
        <w:t>495</w:t>
      </w:r>
      <w:r w:rsidRPr="006917D8">
        <w:rPr>
          <w:rFonts w:ascii="Arial" w:hAnsi="Arial" w:cs="Arial"/>
        </w:rPr>
        <w:t xml:space="preserve"> MPa (unloaded). The distributions of high and low stresses (red and blue zones, respectively) were similar to those under the cyclic bending case. Fig. </w:t>
      </w:r>
      <w:r w:rsidR="008B7013" w:rsidRPr="006917D8">
        <w:rPr>
          <w:rFonts w:ascii="Arial" w:hAnsi="Arial" w:cs="Arial"/>
        </w:rPr>
        <w:t>A</w:t>
      </w:r>
      <w:r w:rsidR="001D7E65" w:rsidRPr="006917D8">
        <w:rPr>
          <w:rFonts w:ascii="Arial" w:hAnsi="Arial" w:cs="Arial"/>
        </w:rPr>
        <w:t>9</w:t>
      </w:r>
      <w:r w:rsidRPr="006917D8">
        <w:rPr>
          <w:rFonts w:ascii="Arial" w:hAnsi="Arial" w:cs="Arial"/>
        </w:rPr>
        <w:t xml:space="preserve">b shows the evolution of von Mises stress at the high stress region (Fig. </w:t>
      </w:r>
      <w:r w:rsidR="008B7013" w:rsidRPr="006917D8">
        <w:rPr>
          <w:rFonts w:ascii="Arial" w:hAnsi="Arial" w:cs="Arial"/>
        </w:rPr>
        <w:t>A</w:t>
      </w:r>
      <w:r w:rsidR="001D7E65" w:rsidRPr="006917D8">
        <w:rPr>
          <w:rFonts w:ascii="Arial" w:hAnsi="Arial" w:cs="Arial"/>
        </w:rPr>
        <w:t>9</w:t>
      </w:r>
      <w:r w:rsidRPr="006917D8">
        <w:rPr>
          <w:rFonts w:ascii="Arial" w:hAnsi="Arial" w:cs="Arial"/>
        </w:rPr>
        <w:t xml:space="preserve">a), which tended to stabilize after </w:t>
      </w:r>
      <w:r w:rsidR="00C53D0B" w:rsidRPr="006917D8">
        <w:rPr>
          <w:rFonts w:ascii="Arial" w:hAnsi="Arial" w:cs="Arial"/>
        </w:rPr>
        <w:t>1</w:t>
      </w:r>
      <w:r w:rsidRPr="006917D8">
        <w:rPr>
          <w:rFonts w:ascii="Arial" w:hAnsi="Arial" w:cs="Arial"/>
        </w:rPr>
        <w:t xml:space="preserve"> cycle. It had lower peak stress (5</w:t>
      </w:r>
      <w:r w:rsidR="007E387F" w:rsidRPr="006917D8">
        <w:rPr>
          <w:rFonts w:ascii="Arial" w:hAnsi="Arial" w:cs="Arial"/>
        </w:rPr>
        <w:t>11</w:t>
      </w:r>
      <w:r w:rsidRPr="006917D8">
        <w:rPr>
          <w:rFonts w:ascii="Arial" w:hAnsi="Arial" w:cs="Arial"/>
        </w:rPr>
        <w:t xml:space="preserve"> MPa) and thus smaller stress amplitude (</w:t>
      </w:r>
      <w:r w:rsidR="00E259E6" w:rsidRPr="006917D8">
        <w:rPr>
          <w:rFonts w:ascii="Arial" w:hAnsi="Arial" w:cs="Arial"/>
        </w:rPr>
        <w:t>41</w:t>
      </w:r>
      <w:r w:rsidRPr="006917D8">
        <w:rPr>
          <w:rFonts w:ascii="Arial" w:hAnsi="Arial" w:cs="Arial"/>
        </w:rPr>
        <w:t xml:space="preserve"> MPa) than those for the bending case (7</w:t>
      </w:r>
      <w:r w:rsidR="00D55C9D" w:rsidRPr="006917D8">
        <w:rPr>
          <w:rFonts w:ascii="Arial" w:hAnsi="Arial" w:cs="Arial"/>
        </w:rPr>
        <w:t>64</w:t>
      </w:r>
      <w:r w:rsidRPr="006917D8">
        <w:rPr>
          <w:rFonts w:ascii="Arial" w:hAnsi="Arial" w:cs="Arial"/>
        </w:rPr>
        <w:t xml:space="preserve"> MPa and </w:t>
      </w:r>
      <w:r w:rsidR="008A32F6" w:rsidRPr="006917D8">
        <w:rPr>
          <w:rFonts w:ascii="Arial" w:hAnsi="Arial" w:cs="Arial"/>
        </w:rPr>
        <w:t>274</w:t>
      </w:r>
      <w:r w:rsidRPr="006917D8">
        <w:rPr>
          <w:rFonts w:ascii="Arial" w:hAnsi="Arial" w:cs="Arial"/>
        </w:rPr>
        <w:t xml:space="preserve"> MPa), demonstrating a decreased risk of fatigue failure. Such tendency is also reflected in the Goodman’s diagram (Fig. </w:t>
      </w:r>
      <w:r w:rsidR="008B7013" w:rsidRPr="006917D8">
        <w:rPr>
          <w:rFonts w:ascii="Arial" w:hAnsi="Arial" w:cs="Arial"/>
        </w:rPr>
        <w:t>A</w:t>
      </w:r>
      <w:r w:rsidR="001D7E65" w:rsidRPr="006917D8">
        <w:rPr>
          <w:rFonts w:ascii="Arial" w:hAnsi="Arial" w:cs="Arial"/>
        </w:rPr>
        <w:t>9</w:t>
      </w:r>
      <w:r w:rsidRPr="006917D8">
        <w:rPr>
          <w:rFonts w:ascii="Arial" w:hAnsi="Arial" w:cs="Arial"/>
        </w:rPr>
        <w:t xml:space="preserve">c), where elements are </w:t>
      </w:r>
      <w:r w:rsidR="0093336C" w:rsidRPr="006917D8">
        <w:rPr>
          <w:rFonts w:ascii="Arial" w:hAnsi="Arial" w:cs="Arial"/>
        </w:rPr>
        <w:t>where elements are well within the safe zone</w:t>
      </w:r>
      <w:r w:rsidRPr="006917D8">
        <w:rPr>
          <w:rFonts w:ascii="Arial" w:hAnsi="Arial" w:cs="Arial"/>
        </w:rPr>
        <w:t xml:space="preserve">. </w:t>
      </w:r>
    </w:p>
    <w:p w14:paraId="04B4AED5" w14:textId="22A3CA97" w:rsidR="00C53D0B" w:rsidRPr="006917D8" w:rsidRDefault="00C53D0B" w:rsidP="00213AD2">
      <w:pPr>
        <w:spacing w:line="240" w:lineRule="auto"/>
        <w:rPr>
          <w:rFonts w:ascii="Arial" w:hAnsi="Arial" w:cs="Arial"/>
        </w:rPr>
      </w:pPr>
    </w:p>
    <w:p w14:paraId="009FD8F4" w14:textId="47C45AC5" w:rsidR="00C53D0B" w:rsidRPr="006917D8" w:rsidRDefault="00B002B6" w:rsidP="00C53D0B">
      <w:pPr>
        <w:spacing w:line="240" w:lineRule="auto"/>
        <w:jc w:val="center"/>
        <w:rPr>
          <w:rFonts w:ascii="Arial" w:hAnsi="Arial" w:cs="Arial"/>
        </w:rPr>
      </w:pPr>
      <w:r w:rsidRPr="006917D8">
        <w:object w:dxaOrig="8185" w:dyaOrig="13237" w14:anchorId="1F8C8B1F">
          <v:shape id="_x0000_i1029" type="#_x0000_t75" style="width:407.25pt;height:657.75pt" o:ole="">
            <v:imagedata r:id="rId23" o:title=""/>
          </v:shape>
          <o:OLEObject Type="Embed" ProgID="Visio.Drawing.15" ShapeID="_x0000_i1029" DrawAspect="Content" ObjectID="_1680415150" r:id="rId24"/>
        </w:object>
      </w:r>
    </w:p>
    <w:p w14:paraId="6A6C07FA" w14:textId="735F684E" w:rsidR="00213AD2" w:rsidRPr="006917D8" w:rsidRDefault="009B7298" w:rsidP="008A32F6">
      <w:pPr>
        <w:spacing w:line="240" w:lineRule="auto"/>
        <w:jc w:val="center"/>
        <w:rPr>
          <w:rFonts w:ascii="Arial" w:hAnsi="Arial" w:cs="Arial"/>
        </w:rPr>
      </w:pPr>
      <w:r w:rsidRPr="006917D8">
        <w:rPr>
          <w:rFonts w:ascii="Arial" w:hAnsi="Arial" w:cs="Arial"/>
        </w:rPr>
        <w:t>Fig. A</w:t>
      </w:r>
      <w:r w:rsidR="001D7E65" w:rsidRPr="006917D8">
        <w:rPr>
          <w:rFonts w:ascii="Arial" w:hAnsi="Arial" w:cs="Arial"/>
        </w:rPr>
        <w:t>9</w:t>
      </w:r>
      <w:r w:rsidRPr="006917D8">
        <w:rPr>
          <w:rFonts w:ascii="Arial" w:hAnsi="Arial" w:cs="Arial"/>
        </w:rPr>
        <w:t>. Fatigue performance under torsion: (a) contour plots of von Mises stress (MPa) in stent at peak loading and unloaded conditions; (b) evolution of von Mises stress in high-stress region in (a; time refers to the period of cyclic loading); (c) Goodman’s diagram.</w:t>
      </w:r>
    </w:p>
    <w:p w14:paraId="4D7AF8F5" w14:textId="3DDFBD64" w:rsidR="00213AD2" w:rsidRPr="006917D8" w:rsidRDefault="007916EE" w:rsidP="00213AD2">
      <w:pPr>
        <w:spacing w:line="240" w:lineRule="auto"/>
        <w:rPr>
          <w:rFonts w:ascii="Arial" w:hAnsi="Arial" w:cs="Arial"/>
          <w:b/>
          <w:bCs/>
        </w:rPr>
      </w:pPr>
      <w:r w:rsidRPr="006917D8">
        <w:rPr>
          <w:rFonts w:ascii="Arial" w:hAnsi="Arial" w:cs="Arial"/>
          <w:b/>
          <w:bCs/>
        </w:rPr>
        <w:lastRenderedPageBreak/>
        <w:t>5</w:t>
      </w:r>
      <w:r w:rsidR="00213AD2" w:rsidRPr="006917D8">
        <w:rPr>
          <w:rFonts w:ascii="Arial" w:hAnsi="Arial" w:cs="Arial"/>
          <w:b/>
          <w:bCs/>
        </w:rPr>
        <w:t>.4. Fatigue performance under axial compression</w:t>
      </w:r>
    </w:p>
    <w:p w14:paraId="549C7779" w14:textId="43C5BF8C" w:rsidR="008A32F6" w:rsidRPr="006917D8" w:rsidRDefault="00213AD2" w:rsidP="00213AD2">
      <w:pPr>
        <w:spacing w:line="240" w:lineRule="auto"/>
        <w:rPr>
          <w:rFonts w:ascii="Arial" w:hAnsi="Arial" w:cs="Arial"/>
        </w:rPr>
      </w:pPr>
      <w:r w:rsidRPr="006917D8">
        <w:rPr>
          <w:rFonts w:ascii="Arial" w:hAnsi="Arial" w:cs="Arial"/>
        </w:rPr>
        <w:t xml:space="preserve">Fig. </w:t>
      </w:r>
      <w:r w:rsidR="008A32F6" w:rsidRPr="006917D8">
        <w:rPr>
          <w:rFonts w:ascii="Arial" w:hAnsi="Arial" w:cs="Arial"/>
        </w:rPr>
        <w:t>A</w:t>
      </w:r>
      <w:r w:rsidR="001D7E65" w:rsidRPr="006917D8">
        <w:rPr>
          <w:rFonts w:ascii="Arial" w:hAnsi="Arial" w:cs="Arial"/>
        </w:rPr>
        <w:t>10</w:t>
      </w:r>
      <w:r w:rsidRPr="006917D8">
        <w:rPr>
          <w:rFonts w:ascii="Arial" w:hAnsi="Arial" w:cs="Arial"/>
        </w:rPr>
        <w:t xml:space="preserve">a shows the von Mises stress distribution of the stent at the peak loading and unloaded conditions under axial compression fatigue. </w:t>
      </w:r>
      <w:r w:rsidR="00A03B9B" w:rsidRPr="006917D8">
        <w:rPr>
          <w:rFonts w:ascii="Arial" w:hAnsi="Arial" w:cs="Arial"/>
        </w:rPr>
        <w:t>Similar</w:t>
      </w:r>
      <w:r w:rsidRPr="006917D8">
        <w:rPr>
          <w:rFonts w:ascii="Arial" w:hAnsi="Arial" w:cs="Arial"/>
        </w:rPr>
        <w:t xml:space="preserve"> to the bending and torsion fatigue, the maximum stress in the stent at the peak load was </w:t>
      </w:r>
      <w:r w:rsidR="00A03B9B" w:rsidRPr="006917D8">
        <w:rPr>
          <w:rFonts w:ascii="Arial" w:hAnsi="Arial" w:cs="Arial"/>
        </w:rPr>
        <w:t>higher</w:t>
      </w:r>
      <w:r w:rsidRPr="006917D8">
        <w:rPr>
          <w:rFonts w:ascii="Arial" w:hAnsi="Arial" w:cs="Arial"/>
        </w:rPr>
        <w:t xml:space="preserve"> than that at the unloaded condition (</w:t>
      </w:r>
      <w:r w:rsidR="00A03B9B" w:rsidRPr="006917D8">
        <w:rPr>
          <w:rFonts w:ascii="Arial" w:hAnsi="Arial" w:cs="Arial"/>
        </w:rPr>
        <w:t>676</w:t>
      </w:r>
      <w:r w:rsidRPr="006917D8">
        <w:rPr>
          <w:rFonts w:ascii="Arial" w:hAnsi="Arial" w:cs="Arial"/>
        </w:rPr>
        <w:t xml:space="preserve"> MPa vs. </w:t>
      </w:r>
      <w:r w:rsidR="00A03B9B" w:rsidRPr="006917D8">
        <w:rPr>
          <w:rFonts w:ascii="Arial" w:hAnsi="Arial" w:cs="Arial"/>
        </w:rPr>
        <w:t>584</w:t>
      </w:r>
      <w:r w:rsidRPr="006917D8">
        <w:rPr>
          <w:rFonts w:ascii="Arial" w:hAnsi="Arial" w:cs="Arial"/>
        </w:rPr>
        <w:t xml:space="preserve"> MPa). </w:t>
      </w:r>
      <w:bookmarkStart w:id="6" w:name="_Hlk43972236"/>
      <w:r w:rsidRPr="006917D8">
        <w:rPr>
          <w:rFonts w:ascii="Arial" w:hAnsi="Arial" w:cs="Arial"/>
        </w:rPr>
        <w:t xml:space="preserve">The evolution of von Mises stress at the high stress region (Fig. </w:t>
      </w:r>
      <w:r w:rsidR="008A32F6" w:rsidRPr="006917D8">
        <w:rPr>
          <w:rFonts w:ascii="Arial" w:hAnsi="Arial" w:cs="Arial"/>
        </w:rPr>
        <w:t>A</w:t>
      </w:r>
      <w:r w:rsidR="001D7E65" w:rsidRPr="006917D8">
        <w:rPr>
          <w:rFonts w:ascii="Arial" w:hAnsi="Arial" w:cs="Arial"/>
        </w:rPr>
        <w:t>10</w:t>
      </w:r>
      <w:r w:rsidRPr="006917D8">
        <w:rPr>
          <w:rFonts w:ascii="Arial" w:hAnsi="Arial" w:cs="Arial"/>
        </w:rPr>
        <w:t xml:space="preserve">a) subjected to axial compression fatigue is plotted in Fig. </w:t>
      </w:r>
      <w:r w:rsidR="008A32F6" w:rsidRPr="006917D8">
        <w:rPr>
          <w:rFonts w:ascii="Arial" w:hAnsi="Arial" w:cs="Arial"/>
        </w:rPr>
        <w:t>A</w:t>
      </w:r>
      <w:r w:rsidR="001D7E65" w:rsidRPr="006917D8">
        <w:rPr>
          <w:rFonts w:ascii="Arial" w:hAnsi="Arial" w:cs="Arial"/>
        </w:rPr>
        <w:t>10</w:t>
      </w:r>
      <w:r w:rsidRPr="006917D8">
        <w:rPr>
          <w:rFonts w:ascii="Arial" w:hAnsi="Arial" w:cs="Arial"/>
        </w:rPr>
        <w:t xml:space="preserve">b, which tended to stabilize after 1 cycle. </w:t>
      </w:r>
      <w:r w:rsidR="0072258A" w:rsidRPr="006917D8">
        <w:rPr>
          <w:rFonts w:ascii="Arial" w:hAnsi="Arial" w:cs="Arial"/>
        </w:rPr>
        <w:t>Its stabilized peak stress and stress amplitude (</w:t>
      </w:r>
      <w:r w:rsidR="00232613" w:rsidRPr="006917D8">
        <w:rPr>
          <w:rFonts w:ascii="Arial" w:hAnsi="Arial" w:cs="Arial"/>
        </w:rPr>
        <w:t xml:space="preserve">670 MPa and 222MPa) </w:t>
      </w:r>
      <w:r w:rsidR="0072258A" w:rsidRPr="006917D8">
        <w:rPr>
          <w:rFonts w:ascii="Arial" w:hAnsi="Arial" w:cs="Arial"/>
        </w:rPr>
        <w:t>were higher than those for the torsion case (</w:t>
      </w:r>
      <w:r w:rsidR="00232613" w:rsidRPr="006917D8">
        <w:rPr>
          <w:rFonts w:ascii="Arial" w:hAnsi="Arial" w:cs="Arial"/>
        </w:rPr>
        <w:t xml:space="preserve">511 MPa </w:t>
      </w:r>
      <w:r w:rsidR="0072258A" w:rsidRPr="006917D8">
        <w:rPr>
          <w:rFonts w:ascii="Arial" w:hAnsi="Arial" w:cs="Arial"/>
        </w:rPr>
        <w:t xml:space="preserve">and </w:t>
      </w:r>
      <w:r w:rsidR="00232613" w:rsidRPr="006917D8">
        <w:rPr>
          <w:rFonts w:ascii="Arial" w:hAnsi="Arial" w:cs="Arial"/>
        </w:rPr>
        <w:t>41 MPa</w:t>
      </w:r>
      <w:r w:rsidR="0072258A" w:rsidRPr="006917D8">
        <w:rPr>
          <w:rFonts w:ascii="Arial" w:hAnsi="Arial" w:cs="Arial"/>
        </w:rPr>
        <w:t>), but lower than those for the bending case (</w:t>
      </w:r>
      <w:r w:rsidR="00232613" w:rsidRPr="006917D8">
        <w:rPr>
          <w:rFonts w:ascii="Arial" w:hAnsi="Arial" w:cs="Arial"/>
        </w:rPr>
        <w:t>764 MPa and 274 MPa</w:t>
      </w:r>
      <w:r w:rsidR="0072258A" w:rsidRPr="006917D8">
        <w:rPr>
          <w:rFonts w:ascii="Arial" w:hAnsi="Arial" w:cs="Arial"/>
        </w:rPr>
        <w:t xml:space="preserve">). </w:t>
      </w:r>
      <w:r w:rsidRPr="006917D8">
        <w:rPr>
          <w:rFonts w:ascii="Arial" w:hAnsi="Arial" w:cs="Arial"/>
        </w:rPr>
        <w:t xml:space="preserve"> In the Goodman’s diagram (Fig. </w:t>
      </w:r>
      <w:r w:rsidR="008A32F6" w:rsidRPr="006917D8">
        <w:rPr>
          <w:rFonts w:ascii="Arial" w:hAnsi="Arial" w:cs="Arial"/>
        </w:rPr>
        <w:t>A</w:t>
      </w:r>
      <w:r w:rsidR="001D7E65" w:rsidRPr="006917D8">
        <w:rPr>
          <w:rFonts w:ascii="Arial" w:hAnsi="Arial" w:cs="Arial"/>
        </w:rPr>
        <w:t>10</w:t>
      </w:r>
      <w:r w:rsidRPr="006917D8">
        <w:rPr>
          <w:rFonts w:ascii="Arial" w:hAnsi="Arial" w:cs="Arial"/>
        </w:rPr>
        <w:t xml:space="preserve">c), </w:t>
      </w:r>
      <w:bookmarkEnd w:id="6"/>
      <w:r w:rsidR="00AC69A6" w:rsidRPr="006917D8">
        <w:rPr>
          <w:rFonts w:ascii="Arial" w:hAnsi="Arial" w:cs="Arial"/>
        </w:rPr>
        <w:t>there is a significantly increased risk of fatigue failure when compared to the torsion case.</w:t>
      </w:r>
    </w:p>
    <w:p w14:paraId="4AF59B2F" w14:textId="5D2E6551" w:rsidR="008A32F6" w:rsidRPr="006917D8" w:rsidRDefault="001D7E65" w:rsidP="008A32F6">
      <w:pPr>
        <w:spacing w:line="240" w:lineRule="auto"/>
        <w:jc w:val="center"/>
        <w:rPr>
          <w:rFonts w:ascii="Arial" w:hAnsi="Arial" w:cs="Arial"/>
        </w:rPr>
      </w:pPr>
      <w:r w:rsidRPr="006917D8">
        <w:object w:dxaOrig="8316" w:dyaOrig="13128" w14:anchorId="0A48B43B">
          <v:shape id="_x0000_i1030" type="#_x0000_t75" style="width:408pt;height:9in" o:ole="">
            <v:imagedata r:id="rId25" o:title=""/>
          </v:shape>
          <o:OLEObject Type="Embed" ProgID="Visio.Drawing.15" ShapeID="_x0000_i1030" DrawAspect="Content" ObjectID="_1680415151" r:id="rId26"/>
        </w:object>
      </w:r>
    </w:p>
    <w:p w14:paraId="7D1984D0" w14:textId="297C31F3" w:rsidR="00213AD2" w:rsidRPr="006917D8" w:rsidRDefault="00A03B9B" w:rsidP="00A03B9B">
      <w:pPr>
        <w:spacing w:line="240" w:lineRule="auto"/>
        <w:jc w:val="center"/>
        <w:rPr>
          <w:rFonts w:ascii="Arial" w:hAnsi="Arial" w:cs="Arial"/>
        </w:rPr>
      </w:pPr>
      <w:r w:rsidRPr="006917D8">
        <w:rPr>
          <w:rFonts w:ascii="Arial" w:hAnsi="Arial" w:cs="Arial"/>
        </w:rPr>
        <w:t>Fig. A</w:t>
      </w:r>
      <w:r w:rsidR="001D7E65" w:rsidRPr="006917D8">
        <w:rPr>
          <w:rFonts w:ascii="Arial" w:hAnsi="Arial" w:cs="Arial"/>
        </w:rPr>
        <w:t>10</w:t>
      </w:r>
      <w:r w:rsidRPr="006917D8">
        <w:rPr>
          <w:rFonts w:ascii="Arial" w:hAnsi="Arial" w:cs="Arial"/>
        </w:rPr>
        <w:t xml:space="preserve">. Fatigue performance under axial compression: (a) contour plots of von Mises stress (MPa) in stent at peak loading and unloaded conditions; (b) evolution of von Mises </w:t>
      </w:r>
      <w:r w:rsidRPr="006917D8">
        <w:rPr>
          <w:rFonts w:ascii="Arial" w:hAnsi="Arial" w:cs="Arial"/>
        </w:rPr>
        <w:lastRenderedPageBreak/>
        <w:t>stress in high-stress region in (a; time refers to the period of cyclic loading); (c) Goodman’s diagram.</w:t>
      </w:r>
    </w:p>
    <w:p w14:paraId="57090D2F" w14:textId="4B7183E3" w:rsidR="00213AD2" w:rsidRPr="006917D8" w:rsidRDefault="007916EE" w:rsidP="00213AD2">
      <w:pPr>
        <w:spacing w:line="240" w:lineRule="auto"/>
        <w:rPr>
          <w:rFonts w:ascii="Arial" w:hAnsi="Arial" w:cs="Arial"/>
          <w:b/>
          <w:bCs/>
        </w:rPr>
      </w:pPr>
      <w:r w:rsidRPr="006917D8">
        <w:rPr>
          <w:rFonts w:ascii="Arial" w:hAnsi="Arial" w:cs="Arial"/>
          <w:b/>
          <w:bCs/>
        </w:rPr>
        <w:t>5</w:t>
      </w:r>
      <w:r w:rsidR="00213AD2" w:rsidRPr="006917D8">
        <w:rPr>
          <w:rFonts w:ascii="Arial" w:hAnsi="Arial" w:cs="Arial"/>
          <w:b/>
          <w:bCs/>
        </w:rPr>
        <w:t>.5. Fatigue performance under combined loadings</w:t>
      </w:r>
    </w:p>
    <w:p w14:paraId="6D0290AD" w14:textId="415607A1" w:rsidR="005465DA" w:rsidRPr="006917D8" w:rsidRDefault="00213AD2" w:rsidP="001A2D38">
      <w:pPr>
        <w:spacing w:line="240" w:lineRule="auto"/>
        <w:rPr>
          <w:rFonts w:ascii="Arial" w:hAnsi="Arial" w:cs="Arial"/>
        </w:rPr>
      </w:pPr>
      <w:r w:rsidRPr="006917D8">
        <w:rPr>
          <w:rFonts w:ascii="Arial" w:hAnsi="Arial" w:cs="Arial"/>
        </w:rPr>
        <w:t xml:space="preserve">Fig. </w:t>
      </w:r>
      <w:r w:rsidR="001A2D38" w:rsidRPr="006917D8">
        <w:rPr>
          <w:rFonts w:ascii="Arial" w:hAnsi="Arial" w:cs="Arial"/>
        </w:rPr>
        <w:t>A</w:t>
      </w:r>
      <w:r w:rsidR="001D7E65" w:rsidRPr="006917D8">
        <w:rPr>
          <w:rFonts w:ascii="Arial" w:hAnsi="Arial" w:cs="Arial"/>
        </w:rPr>
        <w:t>11</w:t>
      </w:r>
      <w:r w:rsidRPr="006917D8">
        <w:rPr>
          <w:rFonts w:ascii="Arial" w:hAnsi="Arial" w:cs="Arial"/>
        </w:rPr>
        <w:t xml:space="preserve">a shows the von Mises stress distribution of the stent at the peak loading and unloaded conditions under combined loadings of bending, torsion and axial compression. Similar to the </w:t>
      </w:r>
      <w:r w:rsidR="001A2D38" w:rsidRPr="006917D8">
        <w:rPr>
          <w:rFonts w:ascii="Arial" w:hAnsi="Arial" w:cs="Arial"/>
        </w:rPr>
        <w:t>other cases</w:t>
      </w:r>
      <w:r w:rsidRPr="006917D8">
        <w:rPr>
          <w:rFonts w:ascii="Arial" w:hAnsi="Arial" w:cs="Arial"/>
        </w:rPr>
        <w:t>, the maximum stress in the stent at the peak load was higher than that at the unloaded condition (</w:t>
      </w:r>
      <w:r w:rsidR="00A41450" w:rsidRPr="006917D8">
        <w:rPr>
          <w:rFonts w:ascii="Arial" w:hAnsi="Arial" w:cs="Arial"/>
        </w:rPr>
        <w:t>687</w:t>
      </w:r>
      <w:r w:rsidRPr="006917D8">
        <w:rPr>
          <w:rFonts w:ascii="Arial" w:hAnsi="Arial" w:cs="Arial"/>
        </w:rPr>
        <w:t xml:space="preserve"> MPa vs. 6</w:t>
      </w:r>
      <w:r w:rsidR="00A41450" w:rsidRPr="006917D8">
        <w:rPr>
          <w:rFonts w:ascii="Arial" w:hAnsi="Arial" w:cs="Arial"/>
        </w:rPr>
        <w:t>67</w:t>
      </w:r>
      <w:r w:rsidRPr="006917D8">
        <w:rPr>
          <w:rFonts w:ascii="Arial" w:hAnsi="Arial" w:cs="Arial"/>
        </w:rPr>
        <w:t xml:space="preserve"> MPa). However, in contrast to the individual loading cases, the high stress region subjected to the combined loadings was located in the middle of the stent (Fig. </w:t>
      </w:r>
      <w:r w:rsidR="001A2D38" w:rsidRPr="006917D8">
        <w:rPr>
          <w:rFonts w:ascii="Arial" w:hAnsi="Arial" w:cs="Arial"/>
        </w:rPr>
        <w:t>A</w:t>
      </w:r>
      <w:r w:rsidR="001D7E65" w:rsidRPr="006917D8">
        <w:rPr>
          <w:rFonts w:ascii="Arial" w:hAnsi="Arial" w:cs="Arial"/>
        </w:rPr>
        <w:t>11</w:t>
      </w:r>
      <w:r w:rsidRPr="006917D8">
        <w:rPr>
          <w:rFonts w:ascii="Arial" w:hAnsi="Arial" w:cs="Arial"/>
        </w:rPr>
        <w:t xml:space="preserve">a). Its evolution of von Mises stress is plotted in Fig. </w:t>
      </w:r>
      <w:r w:rsidR="001A2D38" w:rsidRPr="006917D8">
        <w:rPr>
          <w:rFonts w:ascii="Arial" w:hAnsi="Arial" w:cs="Arial"/>
        </w:rPr>
        <w:t>A</w:t>
      </w:r>
      <w:r w:rsidR="001D7E65" w:rsidRPr="006917D8">
        <w:rPr>
          <w:rFonts w:ascii="Arial" w:hAnsi="Arial" w:cs="Arial"/>
        </w:rPr>
        <w:t>11</w:t>
      </w:r>
      <w:r w:rsidRPr="006917D8">
        <w:rPr>
          <w:rFonts w:ascii="Arial" w:hAnsi="Arial" w:cs="Arial"/>
        </w:rPr>
        <w:t>b, which tended to stabilize after 1 cycle. It showed the highest stabilized peak stress (</w:t>
      </w:r>
      <w:r w:rsidR="00A41450" w:rsidRPr="006917D8">
        <w:rPr>
          <w:rFonts w:ascii="Arial" w:hAnsi="Arial" w:cs="Arial"/>
        </w:rPr>
        <w:t>867</w:t>
      </w:r>
      <w:r w:rsidRPr="006917D8">
        <w:rPr>
          <w:rFonts w:ascii="Arial" w:hAnsi="Arial" w:cs="Arial"/>
        </w:rPr>
        <w:t xml:space="preserve"> MPa) among all the cases. In the Goodman’s diagram (Fig. </w:t>
      </w:r>
      <w:r w:rsidR="001A2D38" w:rsidRPr="006917D8">
        <w:rPr>
          <w:rFonts w:ascii="Arial" w:hAnsi="Arial" w:cs="Arial"/>
        </w:rPr>
        <w:t>A</w:t>
      </w:r>
      <w:r w:rsidR="001D7E65" w:rsidRPr="006917D8">
        <w:rPr>
          <w:rFonts w:ascii="Arial" w:hAnsi="Arial" w:cs="Arial"/>
        </w:rPr>
        <w:t>11</w:t>
      </w:r>
      <w:r w:rsidRPr="006917D8">
        <w:rPr>
          <w:rFonts w:ascii="Arial" w:hAnsi="Arial" w:cs="Arial"/>
        </w:rPr>
        <w:t>c), many elements are in the dangerous zone above the fatigue</w:t>
      </w:r>
      <w:r w:rsidR="00B008D0" w:rsidRPr="006917D8">
        <w:rPr>
          <w:rFonts w:ascii="Arial" w:hAnsi="Arial" w:cs="Arial"/>
        </w:rPr>
        <w:t xml:space="preserve"> stress</w:t>
      </w:r>
      <w:r w:rsidRPr="006917D8">
        <w:rPr>
          <w:rFonts w:ascii="Arial" w:hAnsi="Arial" w:cs="Arial"/>
        </w:rPr>
        <w:t xml:space="preserve"> limit line, indicating the highest risk of fatigue failure among all loading scenarios.</w:t>
      </w:r>
    </w:p>
    <w:p w14:paraId="323DD6E7" w14:textId="0DA5A641" w:rsidR="00E2309F" w:rsidRPr="006917D8" w:rsidRDefault="008F18FC" w:rsidP="00E2309F">
      <w:pPr>
        <w:spacing w:line="240" w:lineRule="auto"/>
        <w:jc w:val="center"/>
        <w:rPr>
          <w:rFonts w:ascii="Arial" w:hAnsi="Arial" w:cs="Arial"/>
        </w:rPr>
      </w:pPr>
      <w:r w:rsidRPr="006917D8">
        <w:rPr>
          <w:noProof/>
        </w:rPr>
        <w:lastRenderedPageBreak/>
        <w:drawing>
          <wp:inline distT="0" distB="0" distL="0" distR="0" wp14:anchorId="2243D77B" wp14:editId="67262763">
            <wp:extent cx="4997330" cy="819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97330" cy="8191500"/>
                    </a:xfrm>
                    <a:prstGeom prst="rect">
                      <a:avLst/>
                    </a:prstGeom>
                    <a:noFill/>
                    <a:ln>
                      <a:noFill/>
                    </a:ln>
                    <a:extLst>
                      <a:ext uri="{53640926-AAD7-44D8-BBD7-CCE9431645EC}">
                        <a14:shadowObscured xmlns:a14="http://schemas.microsoft.com/office/drawing/2010/main"/>
                      </a:ext>
                    </a:extLst>
                  </pic:spPr>
                </pic:pic>
              </a:graphicData>
            </a:graphic>
          </wp:inline>
        </w:drawing>
      </w:r>
    </w:p>
    <w:p w14:paraId="3C27E5DE" w14:textId="3A1EA2BF" w:rsidR="001A2D38" w:rsidRPr="006917D8" w:rsidRDefault="001A2D38" w:rsidP="001A2D38">
      <w:pPr>
        <w:spacing w:line="240" w:lineRule="auto"/>
        <w:jc w:val="center"/>
        <w:rPr>
          <w:rFonts w:ascii="Arial" w:hAnsi="Arial" w:cs="Arial"/>
        </w:rPr>
        <w:sectPr w:rsidR="001A2D38" w:rsidRPr="006917D8">
          <w:headerReference w:type="default" r:id="rId28"/>
          <w:footerReference w:type="default" r:id="rId29"/>
          <w:pgSz w:w="11906" w:h="16838"/>
          <w:pgMar w:top="1440" w:right="1440" w:bottom="1440" w:left="1440" w:header="708" w:footer="708" w:gutter="0"/>
          <w:cols w:space="708"/>
          <w:docGrid w:linePitch="360"/>
        </w:sectPr>
      </w:pPr>
      <w:r w:rsidRPr="006917D8">
        <w:rPr>
          <w:rFonts w:ascii="Arial" w:hAnsi="Arial" w:cs="Arial"/>
        </w:rPr>
        <w:t>Fig. A</w:t>
      </w:r>
      <w:r w:rsidR="001D7E65" w:rsidRPr="006917D8">
        <w:rPr>
          <w:rFonts w:ascii="Arial" w:hAnsi="Arial" w:cs="Arial"/>
        </w:rPr>
        <w:t>11</w:t>
      </w:r>
      <w:r w:rsidRPr="006917D8">
        <w:rPr>
          <w:rFonts w:ascii="Arial" w:hAnsi="Arial" w:cs="Arial"/>
        </w:rPr>
        <w:t>. Fatigue performance under combined loadings: (a) contour plots of von Mises stress (MPa) in stent at peak loading and unloaded conditions; (b) evolution of von Mises stress in high-stress region in (a; time refers to the period of cyclic loading); (c) Goodman’s diagram</w:t>
      </w:r>
      <w:r w:rsidR="00DB5EF7" w:rsidRPr="006917D8">
        <w:rPr>
          <w:rFonts w:ascii="Arial" w:hAnsi="Arial" w:cs="Arial"/>
        </w:rPr>
        <w:t>.</w:t>
      </w:r>
    </w:p>
    <w:p w14:paraId="0414F1CB" w14:textId="5CDD7E25" w:rsidR="007B3B40" w:rsidRPr="006917D8" w:rsidRDefault="007916EE" w:rsidP="004E2A21">
      <w:pPr>
        <w:spacing w:line="240" w:lineRule="auto"/>
        <w:rPr>
          <w:rFonts w:ascii="Arial" w:hAnsi="Arial" w:cs="Arial"/>
          <w:b/>
          <w:bCs/>
        </w:rPr>
      </w:pPr>
      <w:r w:rsidRPr="006917D8">
        <w:rPr>
          <w:rFonts w:ascii="Arial" w:hAnsi="Arial" w:cs="Arial"/>
          <w:b/>
          <w:bCs/>
        </w:rPr>
        <w:lastRenderedPageBreak/>
        <w:t>6</w:t>
      </w:r>
      <w:r w:rsidR="00BE6F70" w:rsidRPr="006917D8">
        <w:rPr>
          <w:rFonts w:ascii="Arial" w:hAnsi="Arial" w:cs="Arial"/>
          <w:b/>
          <w:bCs/>
        </w:rPr>
        <w:t xml:space="preserve">. </w:t>
      </w:r>
      <w:r w:rsidR="007B3B40" w:rsidRPr="006917D8">
        <w:rPr>
          <w:rFonts w:ascii="Arial" w:hAnsi="Arial" w:cs="Arial"/>
          <w:b/>
          <w:bCs/>
        </w:rPr>
        <w:t>Mechanical behaviour of nitinol during loading</w:t>
      </w:r>
    </w:p>
    <w:p w14:paraId="3609A89B" w14:textId="6B804BDF" w:rsidR="007B3B40" w:rsidRPr="006917D8" w:rsidRDefault="007B3B40" w:rsidP="004E2A21">
      <w:pPr>
        <w:spacing w:line="240" w:lineRule="auto"/>
        <w:rPr>
          <w:rFonts w:ascii="Arial" w:hAnsi="Arial" w:cs="Arial"/>
        </w:rPr>
      </w:pPr>
      <w:r w:rsidRPr="006917D8">
        <w:rPr>
          <w:rFonts w:ascii="Arial" w:hAnsi="Arial" w:cs="Arial"/>
        </w:rPr>
        <w:t>During the crimping step, the material was transformed from austenite to martensite, with the maximum von Mises stress of 101</w:t>
      </w:r>
      <w:r w:rsidR="006D78B5" w:rsidRPr="006917D8">
        <w:rPr>
          <w:rFonts w:ascii="Arial" w:hAnsi="Arial" w:cs="Arial"/>
        </w:rPr>
        <w:t>3</w:t>
      </w:r>
      <w:r w:rsidRPr="006917D8">
        <w:rPr>
          <w:rFonts w:ascii="Arial" w:hAnsi="Arial" w:cs="Arial"/>
        </w:rPr>
        <w:t xml:space="preserve"> MPa and the maximum equivalent strain of </w:t>
      </w:r>
      <w:r w:rsidR="0073405C" w:rsidRPr="006917D8">
        <w:rPr>
          <w:rFonts w:ascii="Arial" w:hAnsi="Arial" w:cs="Arial"/>
        </w:rPr>
        <w:t>7.22</w:t>
      </w:r>
      <w:r w:rsidRPr="006917D8">
        <w:rPr>
          <w:rFonts w:ascii="Arial" w:hAnsi="Arial" w:cs="Arial"/>
        </w:rPr>
        <w:t xml:space="preserve">% at the end of crimping; it was transformed from austenite to martensite during releasing step, with the maximum von Mises stress of </w:t>
      </w:r>
      <w:r w:rsidR="00C100E1" w:rsidRPr="006917D8">
        <w:rPr>
          <w:rFonts w:ascii="Arial" w:hAnsi="Arial" w:cs="Arial"/>
        </w:rPr>
        <w:t>495</w:t>
      </w:r>
      <w:r w:rsidRPr="006917D8">
        <w:rPr>
          <w:rFonts w:ascii="Arial" w:hAnsi="Arial" w:cs="Arial"/>
        </w:rPr>
        <w:t xml:space="preserve"> MPa and the maximum equivalent strain of </w:t>
      </w:r>
      <w:r w:rsidR="0073405C" w:rsidRPr="006917D8">
        <w:rPr>
          <w:rFonts w:ascii="Arial" w:hAnsi="Arial" w:cs="Arial"/>
        </w:rPr>
        <w:t>3.28</w:t>
      </w:r>
      <w:r w:rsidRPr="006917D8">
        <w:rPr>
          <w:rFonts w:ascii="Arial" w:hAnsi="Arial" w:cs="Arial"/>
        </w:rPr>
        <w:t xml:space="preserve">% after deployment; while during the cyclic loading step, the maximum von Mises stress and equivalent strain in the material ranged in </w:t>
      </w:r>
      <w:r w:rsidR="00762BB7" w:rsidRPr="006917D8">
        <w:rPr>
          <w:rFonts w:ascii="Arial" w:hAnsi="Arial" w:cs="Arial"/>
        </w:rPr>
        <w:t>482</w:t>
      </w:r>
      <w:r w:rsidRPr="006917D8">
        <w:rPr>
          <w:rFonts w:ascii="Arial" w:hAnsi="Arial" w:cs="Arial"/>
        </w:rPr>
        <w:t>-</w:t>
      </w:r>
      <w:r w:rsidR="003E39BC" w:rsidRPr="006917D8">
        <w:rPr>
          <w:rFonts w:ascii="Arial" w:hAnsi="Arial" w:cs="Arial"/>
        </w:rPr>
        <w:t>867</w:t>
      </w:r>
      <w:r w:rsidRPr="006917D8">
        <w:rPr>
          <w:rFonts w:ascii="Arial" w:hAnsi="Arial" w:cs="Arial"/>
        </w:rPr>
        <w:t xml:space="preserve"> MPa and </w:t>
      </w:r>
      <w:r w:rsidR="00F578B2" w:rsidRPr="006917D8">
        <w:rPr>
          <w:rFonts w:ascii="Arial" w:hAnsi="Arial" w:cs="Arial"/>
        </w:rPr>
        <w:t>2.24</w:t>
      </w:r>
      <w:r w:rsidRPr="006917D8">
        <w:rPr>
          <w:rFonts w:ascii="Arial" w:hAnsi="Arial" w:cs="Arial"/>
        </w:rPr>
        <w:t>%-</w:t>
      </w:r>
      <w:r w:rsidR="00CD23FB" w:rsidRPr="006917D8">
        <w:rPr>
          <w:rFonts w:ascii="Arial" w:hAnsi="Arial" w:cs="Arial"/>
        </w:rPr>
        <w:t>4.58</w:t>
      </w:r>
      <w:r w:rsidRPr="006917D8">
        <w:rPr>
          <w:rFonts w:ascii="Arial" w:hAnsi="Arial" w:cs="Arial"/>
        </w:rPr>
        <w:t>%, respectively. A multiaxial stress state allows the material to be exposed to an increased level of stress during phase transformation as compared to a uniaxial state (this is also the case for plastic deformation).</w:t>
      </w:r>
    </w:p>
    <w:p w14:paraId="0924F296" w14:textId="77777777" w:rsidR="007B3B40" w:rsidRPr="006917D8" w:rsidRDefault="007B3B40" w:rsidP="004E2A21">
      <w:pPr>
        <w:spacing w:line="240" w:lineRule="auto"/>
        <w:rPr>
          <w:rFonts w:ascii="Arial" w:hAnsi="Arial" w:cs="Arial"/>
        </w:rPr>
      </w:pPr>
    </w:p>
    <w:p w14:paraId="647E772E" w14:textId="383D33C0" w:rsidR="00E527BC" w:rsidRPr="006917D8" w:rsidRDefault="00206EFB" w:rsidP="004E2A21">
      <w:pPr>
        <w:spacing w:line="240" w:lineRule="auto"/>
        <w:rPr>
          <w:rFonts w:ascii="Arial" w:hAnsi="Arial" w:cs="Arial"/>
          <w:b/>
          <w:bCs/>
        </w:rPr>
      </w:pPr>
      <w:r w:rsidRPr="006917D8">
        <w:rPr>
          <w:rFonts w:ascii="Arial" w:hAnsi="Arial" w:cs="Arial"/>
          <w:b/>
          <w:bCs/>
        </w:rPr>
        <w:t>7</w:t>
      </w:r>
      <w:r w:rsidR="00BE6F70" w:rsidRPr="006917D8">
        <w:rPr>
          <w:rFonts w:ascii="Arial" w:hAnsi="Arial" w:cs="Arial"/>
          <w:b/>
          <w:bCs/>
        </w:rPr>
        <w:t xml:space="preserve">. </w:t>
      </w:r>
      <w:r w:rsidR="00E527BC" w:rsidRPr="006917D8">
        <w:rPr>
          <w:rFonts w:ascii="Arial" w:hAnsi="Arial" w:cs="Arial"/>
          <w:b/>
          <w:bCs/>
        </w:rPr>
        <w:t>In-stent restenosis</w:t>
      </w:r>
    </w:p>
    <w:p w14:paraId="5DD860C6" w14:textId="7FC975E4" w:rsidR="00E527BC" w:rsidRPr="006917D8" w:rsidRDefault="00940B97" w:rsidP="004E2A21">
      <w:pPr>
        <w:spacing w:line="240" w:lineRule="auto"/>
        <w:rPr>
          <w:rFonts w:ascii="Arial" w:hAnsi="Arial" w:cs="Arial"/>
        </w:rPr>
      </w:pPr>
      <w:r w:rsidRPr="006917D8">
        <w:rPr>
          <w:rFonts w:ascii="Arial" w:hAnsi="Arial" w:cs="Arial"/>
        </w:rPr>
        <w:t xml:space="preserve">As </w:t>
      </w:r>
      <w:r w:rsidR="00276BDD" w:rsidRPr="006917D8">
        <w:rPr>
          <w:rFonts w:ascii="Arial" w:hAnsi="Arial" w:cs="Arial"/>
        </w:rPr>
        <w:t xml:space="preserve">balloon and </w:t>
      </w:r>
      <w:r w:rsidRPr="006917D8">
        <w:rPr>
          <w:rFonts w:ascii="Arial" w:hAnsi="Arial" w:cs="Arial"/>
        </w:rPr>
        <w:t xml:space="preserve">stent </w:t>
      </w:r>
      <w:r w:rsidR="00276BDD" w:rsidRPr="006917D8">
        <w:rPr>
          <w:rFonts w:ascii="Arial" w:hAnsi="Arial" w:cs="Arial"/>
        </w:rPr>
        <w:t xml:space="preserve">are </w:t>
      </w:r>
      <w:r w:rsidRPr="006917D8">
        <w:rPr>
          <w:rFonts w:ascii="Arial" w:hAnsi="Arial" w:cs="Arial"/>
        </w:rPr>
        <w:t xml:space="preserve">in direct contact with plaque during the deployment procedure, </w:t>
      </w:r>
      <w:r w:rsidR="00276BDD" w:rsidRPr="006917D8">
        <w:rPr>
          <w:rFonts w:ascii="Arial" w:hAnsi="Arial" w:cs="Arial"/>
        </w:rPr>
        <w:t xml:space="preserve">they </w:t>
      </w:r>
      <w:r w:rsidRPr="006917D8">
        <w:rPr>
          <w:rFonts w:ascii="Arial" w:hAnsi="Arial" w:cs="Arial"/>
        </w:rPr>
        <w:t xml:space="preserve">cause damage and rupture to the plaque as a result of expansion. On the other hand, mechanical stretching of the vessel wall also induces damage and injury to the media and adventitia layers, activating the transmigration of the leucocyte into the vessel wall. This process triggers a proliferation of smooth muscle cells in the media layer, which then migrate to form neointima and thicken the vessel wall </w:t>
      </w:r>
      <w:r w:rsidRPr="006917D8">
        <w:rPr>
          <w:rFonts w:ascii="Arial" w:hAnsi="Arial" w:cs="Arial"/>
        </w:rPr>
        <w:fldChar w:fldCharType="begin" w:fldLock="1"/>
      </w:r>
      <w:r w:rsidRPr="006917D8">
        <w:rPr>
          <w:rFonts w:ascii="Arial" w:hAnsi="Arial" w:cs="Arial"/>
        </w:rPr>
        <w:instrText>ADDIN CSL_CITATION {"citationItems":[{"id":"ITEM-1","itemData":{"author":[{"dropping-particle":"","family":"Hoffmann","given":"Rainer","non-dropping-particle":"","parse-names":false,"suffix":""},{"dropping-particle":"","family":"Mintz","given":"Gary S.","non-dropping-particle":"","parse-names":false,"suffix":""}],"container-title":"European heart journal","id":"ITEM-1","issue":"21","issued":{"date-parts":[["2000"]]},"page":"1739-1749","title":"Coronary in-stent restenosis—predictors, treatment and prevention","type":"article-journal","volume":"21"},"uris":["http://www.mendeley.com/documents/?uuid=406ef549-dcab-428b-8851-9f466fbf5244"]}],"mendeley":{"formattedCitation":"(Hoffmann &amp; Mintz, 2000)","manualFormatting":"(Hoffmann and Mintz, 2000)","plainTextFormattedCitation":"(Hoffmann &amp; Mintz, 2000)","previouslyFormattedCitation":"(Hoffmann &amp; Mintz, 2000)"},"properties":{"noteIndex":0},"schema":"https://github.com/citation-style-language/schema/raw/master/csl-citation.json"}</w:instrText>
      </w:r>
      <w:r w:rsidRPr="006917D8">
        <w:rPr>
          <w:rFonts w:ascii="Arial" w:hAnsi="Arial" w:cs="Arial"/>
        </w:rPr>
        <w:fldChar w:fldCharType="separate"/>
      </w:r>
      <w:r w:rsidRPr="006917D8">
        <w:rPr>
          <w:rFonts w:ascii="Arial" w:hAnsi="Arial" w:cs="Arial"/>
          <w:noProof/>
        </w:rPr>
        <w:t>(Hoffmann and Mintz, 2000)</w:t>
      </w:r>
      <w:r w:rsidRPr="006917D8">
        <w:rPr>
          <w:rFonts w:ascii="Arial" w:hAnsi="Arial" w:cs="Arial"/>
        </w:rPr>
        <w:fldChar w:fldCharType="end"/>
      </w:r>
      <w:r w:rsidRPr="006917D8">
        <w:rPr>
          <w:rFonts w:ascii="Arial" w:hAnsi="Arial" w:cs="Arial"/>
        </w:rPr>
        <w:t xml:space="preserve">. Although the inflammatory events begin as beneficial wound-healing responses, an adverse vascular change happens in the end, leading to re-narrowing of the blood vessel, or in-stent restenosis (ISR; </w:t>
      </w:r>
      <w:r w:rsidRPr="006917D8">
        <w:rPr>
          <w:rFonts w:ascii="Arial" w:hAnsi="Arial" w:cs="Arial"/>
        </w:rPr>
        <w:fldChar w:fldCharType="begin" w:fldLock="1"/>
      </w:r>
      <w:r w:rsidRPr="006917D8">
        <w:rPr>
          <w:rFonts w:ascii="Arial" w:hAnsi="Arial" w:cs="Arial"/>
        </w:rPr>
        <w:instrText>ADDIN CSL_CITATION {"citationItems":[{"id":"ITEM-1","itemData":{"DOI":"10.1016/S0163-7258(01)00153-X","ISBN":"0163-7258 (Print)","ISSN":"01637258","PMID":"11728607","abstract":"Restenosis after angioplasty or stenting remains the major limitation of both procedures. A vast array of drug therapies has been used to prevent restenosis, but they have proven to be predominantly unsuccessful. Recent trends in drug therapy have attempted to refine the molecular and biological targets of therapy, based on the assumption that a single biological process or molecule is critical to restenosis. In contrast, both stenting and brachytherapy, which are highly nonspecific, can successfully reduce restenosis after angioplasty or stenting, respectively. This review examines the biology of both angioplasty and stent stenosis, focussing on human studies. We also review the landmark human trials that have definitively proven successful therapies, such as stenting and brachytherapy. We suggest that the successful trials of stenting and brachytherapy and the failure of other treatments have highlighted the shortcomings of conventional animal models of arterial intervention, and gaps in our knowledge of human disease. In contrast to arguments advocating gene therapy, these studies suggest that the most likely successful drug therapy will have a wide therapeutic range, targeting as many of the components or biological processes contributing to restenosis as possible. ?? 2001 Elsevier Science Inc. All rights reserved.","author":[{"dropping-particle":"","family":"Bennett","given":"Martin R.","non-dropping-particle":"","parse-names":false,"suffix":""},{"dropping-particle":"","family":"O'Sullivan","given":"Michael","non-dropping-particle":"","parse-names":false,"suffix":""}],"container-title":"Pharmacology and Therapeutics","id":"ITEM-1","issue":"2","issued":{"date-parts":[["2001"]]},"page":"149-166","title":"Mechanisms of angioplasty and stent restenosis: Implications for design of rational therapy","type":"article-journal","volume":"91"},"uris":["http://www.mendeley.com/documents/?uuid=f80d78c8-59ee-4965-b2f4-3f2686dd27c7"]},{"id":"ITEM-2","itemData":{"DOI":"10.1098/rsta.2008.0081","ISBN":"1364-503X (Print)\\n1364-503X (Linking)","ISSN":"1364-503X","PMID":"18603527","abstract":"The inherent complexity of biomedical systems is well recognized; they are multiscale, multiscience systems, bridging a wide range of temporal and spatial scales. While the importance of multiscale modelling in this context is increasingly recognized, there is little underpinning literature on the methodology and generic description of the process. The COAST (complex autonoma simulation technique) project aims to address this by developing a multiscale, multiscience framework, coined complex autonoma (CxA), based on a hierarchical aggregation of coupled cellular automata (CA) and agent-based models (ABMs). The key tenet of COAST is that a multiscale system can be decomposed into N single-scale CA or ABMs that mutually interact across the scales. Decomposition is facilitated by building a scale separation map on which each single-scale system is represented according to its spatial and temporal characteristics. Processes having well-separated scales are thus easily identified as the components of the multiscale model. This paper focuses on methodology, introduces the concept of the CxA and demonstrates its use in the generation of a multiscale model of the physical and biological processes implicated in a challenging and clinically relevant problem, namely coronary artery in-stent restenosis.","author":[{"dropping-particle":"","family":"Evans","given":"D.J.W","non-dropping-particle":"","parse-names":false,"suffix":""},{"dropping-particle":"","family":"Lawford","given":"P.V","non-dropping-particle":"","parse-names":false,"suffix":""},{"dropping-particle":"","family":"Gunn","given":"J","non-dropping-particle":"","parse-names":false,"suffix":""},{"dropping-particle":"","family":"Walker","given":"D","non-dropping-particle":"","parse-names":false,"suffix":""},{"dropping-particle":"","family":"Hose","given":"D.R","non-dropping-particle":"","parse-names":false,"suffix":""},{"dropping-particle":"","family":"Smallwood","given":"R.H","non-dropping-particle":"","parse-names":false,"suffix":""},{"dropping-particle":"","family":"Chopard","given":"B","non-dropping-particle":"","parse-names":false,"suffix":""},{"dropping-particle":"","family":"Krafczyk","given":"M","non-dropping-particle":"","parse-names":false,"suffix":""},{"dropping-particle":"","family":"Bernsdorf","given":"J","non-dropping-particle":"","parse-names":false,"suffix":""},{"dropping-particle":"","family":"Hoekstra","given":"A","non-dropping-particle":"","parse-names":false,"suffix":""}],"container-title":"Philosophical Transactions of the Royal Society A: Mathematical, Physical and Engineering Sciences","id":"ITEM-2","issue":"1879","issued":{"date-parts":[["2008"]]},"page":"3343-3360","title":"The application of multiscale modelling to the process of development and prevention of stenosis in a stented coronary artery","type":"article-journal","volume":"366"},"uris":["http://www.mendeley.com/documents/?uuid=4eb8d459-a37e-4c67-8d98-5622eafd52b8"]}],"mendeley":{"formattedCitation":"(Bennett &amp; O’Sullivan, 2001; Evans et al., 2008)","manualFormatting":"Bennett and O’Sullivan, 2001; Evans et al., 2008)","plainTextFormattedCitation":"(Bennett &amp; O’Sullivan, 2001; Evans et al., 2008)","previouslyFormattedCitation":"(Bennett &amp; O’Sullivan, 2001; Evans et al., 2008)"},"properties":{"noteIndex":0},"schema":"https://github.com/citation-style-language/schema/raw/master/csl-citation.json"}</w:instrText>
      </w:r>
      <w:r w:rsidRPr="006917D8">
        <w:rPr>
          <w:rFonts w:ascii="Arial" w:hAnsi="Arial" w:cs="Arial"/>
        </w:rPr>
        <w:fldChar w:fldCharType="separate"/>
      </w:r>
      <w:r w:rsidRPr="006917D8">
        <w:rPr>
          <w:rFonts w:ascii="Arial" w:hAnsi="Arial" w:cs="Arial"/>
          <w:noProof/>
        </w:rPr>
        <w:t>Bennett and O’Sullivan, 2001; Evans et al., 2008)</w:t>
      </w:r>
      <w:r w:rsidRPr="006917D8">
        <w:rPr>
          <w:rFonts w:ascii="Arial" w:hAnsi="Arial" w:cs="Arial"/>
        </w:rPr>
        <w:fldChar w:fldCharType="end"/>
      </w:r>
      <w:r w:rsidRPr="006917D8">
        <w:rPr>
          <w:rFonts w:ascii="Arial" w:hAnsi="Arial" w:cs="Arial"/>
        </w:rPr>
        <w:t>. It has been demonstrated that there is a direct correlation between the arterial stress/damage and the ISR (He et al., 2020</w:t>
      </w:r>
      <w:r w:rsidR="009C3E79" w:rsidRPr="006917D8">
        <w:rPr>
          <w:rFonts w:ascii="Arial" w:hAnsi="Arial" w:cs="Arial"/>
        </w:rPr>
        <w:t>a</w:t>
      </w:r>
      <w:r w:rsidRPr="006917D8">
        <w:rPr>
          <w:rFonts w:ascii="Arial" w:hAnsi="Arial" w:cs="Arial"/>
        </w:rPr>
        <w:t xml:space="preserve">). Hence, the maximum principal stress in the media layer is plotted in Fig. A3 </w:t>
      </w:r>
      <w:r w:rsidR="007265DC" w:rsidRPr="006917D8">
        <w:rPr>
          <w:rFonts w:ascii="Arial" w:hAnsi="Arial" w:cs="Arial"/>
        </w:rPr>
        <w:t>at peak inflating pressure</w:t>
      </w:r>
      <w:r w:rsidR="0025065A" w:rsidRPr="006917D8">
        <w:rPr>
          <w:rFonts w:ascii="Arial" w:hAnsi="Arial" w:cs="Arial"/>
        </w:rPr>
        <w:t xml:space="preserve"> of angioplasty</w:t>
      </w:r>
      <w:r w:rsidRPr="006917D8">
        <w:rPr>
          <w:rFonts w:ascii="Arial" w:hAnsi="Arial" w:cs="Arial"/>
        </w:rPr>
        <w:t xml:space="preserve">. Apparently, the stress level in the media layer in our study </w:t>
      </w:r>
      <w:r w:rsidR="00E23A54" w:rsidRPr="006917D8">
        <w:rPr>
          <w:rFonts w:ascii="Arial" w:hAnsi="Arial" w:cs="Arial"/>
        </w:rPr>
        <w:t xml:space="preserve">was </w:t>
      </w:r>
      <w:r w:rsidRPr="006917D8">
        <w:rPr>
          <w:rFonts w:ascii="Arial" w:hAnsi="Arial" w:cs="Arial"/>
        </w:rPr>
        <w:t xml:space="preserve">up to </w:t>
      </w:r>
      <w:r w:rsidR="00C942E0" w:rsidRPr="006917D8">
        <w:rPr>
          <w:rFonts w:ascii="Arial" w:hAnsi="Arial" w:cs="Arial"/>
        </w:rPr>
        <w:t>200</w:t>
      </w:r>
      <w:r w:rsidRPr="006917D8">
        <w:rPr>
          <w:rFonts w:ascii="Arial" w:hAnsi="Arial" w:cs="Arial"/>
        </w:rPr>
        <w:t xml:space="preserve"> kPa</w:t>
      </w:r>
      <w:r w:rsidR="000C2109" w:rsidRPr="006917D8">
        <w:rPr>
          <w:rFonts w:ascii="Arial" w:hAnsi="Arial" w:cs="Arial"/>
        </w:rPr>
        <w:t xml:space="preserve"> </w:t>
      </w:r>
      <w:r w:rsidR="00E23A54" w:rsidRPr="006917D8">
        <w:rPr>
          <w:rFonts w:ascii="Arial" w:hAnsi="Arial" w:cs="Arial"/>
        </w:rPr>
        <w:t>(</w:t>
      </w:r>
      <w:r w:rsidR="000C2109" w:rsidRPr="006917D8">
        <w:rPr>
          <w:rFonts w:ascii="Arial" w:hAnsi="Arial" w:cs="Arial"/>
        </w:rPr>
        <w:t>Fig. A</w:t>
      </w:r>
      <w:r w:rsidR="001D7E65" w:rsidRPr="006917D8">
        <w:rPr>
          <w:rFonts w:ascii="Arial" w:hAnsi="Arial" w:cs="Arial"/>
        </w:rPr>
        <w:t>12</w:t>
      </w:r>
      <w:r w:rsidR="00E23A54" w:rsidRPr="006917D8">
        <w:rPr>
          <w:rFonts w:ascii="Arial" w:hAnsi="Arial" w:cs="Arial"/>
        </w:rPr>
        <w:t>),</w:t>
      </w:r>
      <w:r w:rsidRPr="006917D8">
        <w:rPr>
          <w:rFonts w:ascii="Arial" w:hAnsi="Arial" w:cs="Arial"/>
        </w:rPr>
        <w:t xml:space="preserve"> </w:t>
      </w:r>
      <w:r w:rsidR="00E23A54" w:rsidRPr="006917D8">
        <w:rPr>
          <w:rFonts w:ascii="Arial" w:hAnsi="Arial" w:cs="Arial"/>
        </w:rPr>
        <w:t>close</w:t>
      </w:r>
      <w:r w:rsidRPr="006917D8">
        <w:rPr>
          <w:rFonts w:ascii="Arial" w:hAnsi="Arial" w:cs="Arial"/>
        </w:rPr>
        <w:t xml:space="preserve"> to</w:t>
      </w:r>
      <w:r w:rsidR="009811A9" w:rsidRPr="006917D8">
        <w:rPr>
          <w:rFonts w:ascii="Arial" w:hAnsi="Arial" w:cs="Arial"/>
        </w:rPr>
        <w:t xml:space="preserve"> </w:t>
      </w:r>
      <w:r w:rsidRPr="006917D8">
        <w:rPr>
          <w:rFonts w:ascii="Arial" w:hAnsi="Arial" w:cs="Arial"/>
        </w:rPr>
        <w:t>2</w:t>
      </w:r>
      <w:r w:rsidR="00174123" w:rsidRPr="006917D8">
        <w:rPr>
          <w:rFonts w:ascii="Arial" w:hAnsi="Arial" w:cs="Arial"/>
        </w:rPr>
        <w:t>2</w:t>
      </w:r>
      <w:r w:rsidRPr="006917D8">
        <w:rPr>
          <w:rFonts w:ascii="Arial" w:hAnsi="Arial" w:cs="Arial"/>
        </w:rPr>
        <w:t>0</w:t>
      </w:r>
      <w:r w:rsidR="00472161" w:rsidRPr="006917D8">
        <w:rPr>
          <w:rFonts w:ascii="Arial" w:hAnsi="Arial" w:cs="Arial"/>
        </w:rPr>
        <w:t>-270</w:t>
      </w:r>
      <w:r w:rsidRPr="006917D8">
        <w:rPr>
          <w:rFonts w:ascii="Arial" w:hAnsi="Arial" w:cs="Arial"/>
        </w:rPr>
        <w:t xml:space="preserve"> kPa in </w:t>
      </w:r>
      <w:r w:rsidR="004B1FC8" w:rsidRPr="006917D8">
        <w:rPr>
          <w:rFonts w:ascii="Arial" w:hAnsi="Arial" w:cs="Arial"/>
        </w:rPr>
        <w:fldChar w:fldCharType="begin" w:fldLock="1"/>
      </w:r>
      <w:r w:rsidR="00921D30" w:rsidRPr="006917D8">
        <w:rPr>
          <w:rFonts w:ascii="Arial" w:hAnsi="Arial" w:cs="Arial"/>
        </w:rPr>
        <w:instrText>ADDIN CSL_CITATION {"citationItems":[{"id":"ITEM-1","itemData":{"DOI":"10.1007/s10237-019-01279-2","ISSN":"16177940","PMID":"31912322","abstract":"Development and application of advanced mechanical models of soft tissues and their growth represent one of the main directions in modern mechanics of solids. Such models are increasingly used to deal with complex biomedical problems. Prediction of in-stent restenosis for patients treated with coronary stents remains a highly challenging task. Using a finite element method, this paper presents a mechanistic approach to evaluate the development of in-stent restenosis in an artery following stent implantation. Hyperelastic models with damage, verified with experimental results, are used to describe the level of tissue damage in arterial layers and plaque caused by such intervention. A tissue-growth model, associated with vessel damage, is adopted to describe the growth behaviour of a media layer after stent implantation. Narrowing of lumen diameter with time is used to quantify the development of in-stent restenosis in the vessel after stenting. It is demonstrated that stent designs and materials strongly affect the stenting-induced damage in the media layer and the subsequent development of in-stent restenosis. The larger the artery expansion achieved during balloon inflation, the higher the damage introduced to the media layer, leading to an increased level of in-stent restenosis. In addition, the development of in-stent restenosis is directly correlated with the artery expansion during the stent deployment. The correlation is further used to predict the effect of a complex clinical procedure, such as stent overlapping, on the level of in-stent restenosis developed after percutaneous coronary intervention.","author":[{"dropping-particle":"","family":"He","given":"R.","non-dropping-particle":"","parse-names":false,"suffix":""},{"dropping-particle":"","family":"Zhao","given":"L.G.","non-dropping-particle":"","parse-names":false,"suffix":""},{"dropping-particle":"V.","family":"Silberschmidt","given":"Vadim","non-dropping-particle":"","parse-names":false,"suffix":""},{"dropping-particle":"","family":"Liu","given":"Yang","non-dropping-particle":"","parse-names":false,"suffix":""}],"container-title":"Biomechanics and Modeling in Mechanobiology","id":"ITEM-1","issued":{"date-parts":[["2020"]]},"page":"1-22","title":"Mechanistic evaluation of long-term in-stent restenosis based on models of tissue damage and growth","type":"article-journal"},"uris":["http://www.mendeley.com/documents/?uuid=62aa409d-e4fd-475b-87ff-470529ebdd9b"]}],"mendeley":{"formattedCitation":"(He, Zhao, Silberschmidt, &amp; Liu, 2020)","manualFormatting":"He et al. (2020a)","plainTextFormattedCitation":"(He, Zhao, Silberschmidt, &amp; Liu, 2020)","previouslyFormattedCitation":"(He, Zhao, Silberschmidt, &amp; Liu, 2020)"},"properties":{"noteIndex":0},"schema":"https://github.com/citation-style-language/schema/raw/master/csl-citation.json"}</w:instrText>
      </w:r>
      <w:r w:rsidR="004B1FC8" w:rsidRPr="006917D8">
        <w:rPr>
          <w:rFonts w:ascii="Arial" w:hAnsi="Arial" w:cs="Arial"/>
        </w:rPr>
        <w:fldChar w:fldCharType="separate"/>
      </w:r>
      <w:r w:rsidR="004B1FC8" w:rsidRPr="006917D8">
        <w:rPr>
          <w:rFonts w:ascii="Arial" w:hAnsi="Arial" w:cs="Arial"/>
          <w:noProof/>
        </w:rPr>
        <w:t>He et al. (2020</w:t>
      </w:r>
      <w:r w:rsidR="00921D30" w:rsidRPr="006917D8">
        <w:rPr>
          <w:rFonts w:ascii="Arial" w:hAnsi="Arial" w:cs="Arial"/>
          <w:noProof/>
        </w:rPr>
        <w:t>a</w:t>
      </w:r>
      <w:r w:rsidR="004B1FC8" w:rsidRPr="006917D8">
        <w:rPr>
          <w:rFonts w:ascii="Arial" w:hAnsi="Arial" w:cs="Arial"/>
          <w:noProof/>
        </w:rPr>
        <w:t>)</w:t>
      </w:r>
      <w:r w:rsidR="004B1FC8" w:rsidRPr="006917D8">
        <w:rPr>
          <w:rFonts w:ascii="Arial" w:hAnsi="Arial" w:cs="Arial"/>
        </w:rPr>
        <w:fldChar w:fldCharType="end"/>
      </w:r>
      <w:r w:rsidR="0025065A" w:rsidRPr="006917D8">
        <w:rPr>
          <w:rFonts w:ascii="Arial" w:hAnsi="Arial" w:cs="Arial"/>
        </w:rPr>
        <w:t>, indicating a risk of ISR (</w:t>
      </w:r>
      <w:r w:rsidR="00BA7CEE" w:rsidRPr="006917D8">
        <w:rPr>
          <w:rFonts w:ascii="Arial" w:hAnsi="Arial" w:cs="Arial"/>
        </w:rPr>
        <w:t>t</w:t>
      </w:r>
      <w:r w:rsidR="0025065A" w:rsidRPr="006917D8">
        <w:rPr>
          <w:rFonts w:ascii="Arial" w:hAnsi="Arial" w:cs="Arial"/>
        </w:rPr>
        <w:t xml:space="preserve">he </w:t>
      </w:r>
      <w:r w:rsidR="008A7BD5" w:rsidRPr="006917D8">
        <w:rPr>
          <w:rFonts w:ascii="Arial" w:hAnsi="Arial" w:cs="Arial"/>
        </w:rPr>
        <w:t>ISR rate rang</w:t>
      </w:r>
      <w:r w:rsidR="00A83B52" w:rsidRPr="006917D8">
        <w:rPr>
          <w:rFonts w:ascii="Arial" w:hAnsi="Arial" w:cs="Arial"/>
        </w:rPr>
        <w:t>ed</w:t>
      </w:r>
      <w:r w:rsidR="008A7BD5" w:rsidRPr="006917D8">
        <w:rPr>
          <w:rFonts w:ascii="Arial" w:hAnsi="Arial" w:cs="Arial"/>
        </w:rPr>
        <w:t xml:space="preserve"> between 20% and 39%</w:t>
      </w:r>
      <w:r w:rsidR="0025065A" w:rsidRPr="006917D8">
        <w:rPr>
          <w:rFonts w:ascii="Arial" w:hAnsi="Arial" w:cs="Arial"/>
        </w:rPr>
        <w:t xml:space="preserve"> for 220-270 kPa stresses in He et al. (2020a)).</w:t>
      </w:r>
    </w:p>
    <w:p w14:paraId="59938BEA" w14:textId="77777777" w:rsidR="00E527BC" w:rsidRPr="006917D8" w:rsidRDefault="00E527BC" w:rsidP="004E2A21">
      <w:pPr>
        <w:spacing w:line="240" w:lineRule="auto"/>
        <w:rPr>
          <w:rFonts w:ascii="Arial" w:hAnsi="Arial" w:cs="Arial"/>
        </w:rPr>
      </w:pPr>
    </w:p>
    <w:p w14:paraId="0C6B7B9C" w14:textId="77777777" w:rsidR="00E527BC" w:rsidRPr="006917D8" w:rsidRDefault="00E527BC" w:rsidP="004E2A21">
      <w:pPr>
        <w:spacing w:line="240" w:lineRule="auto"/>
        <w:jc w:val="center"/>
        <w:rPr>
          <w:rFonts w:ascii="Arial" w:hAnsi="Arial" w:cs="Arial"/>
        </w:rPr>
      </w:pPr>
      <w:r w:rsidRPr="006917D8">
        <w:rPr>
          <w:rFonts w:ascii="Arial" w:hAnsi="Arial" w:cs="Arial"/>
          <w:noProof/>
        </w:rPr>
        <w:drawing>
          <wp:inline distT="0" distB="0" distL="0" distR="0" wp14:anchorId="3066E557" wp14:editId="4A00EF42">
            <wp:extent cx="3937000" cy="1333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37000" cy="1333500"/>
                    </a:xfrm>
                    <a:prstGeom prst="rect">
                      <a:avLst/>
                    </a:prstGeom>
                    <a:noFill/>
                    <a:ln>
                      <a:noFill/>
                    </a:ln>
                  </pic:spPr>
                </pic:pic>
              </a:graphicData>
            </a:graphic>
          </wp:inline>
        </w:drawing>
      </w:r>
    </w:p>
    <w:p w14:paraId="1271BCDB" w14:textId="7B46DF01" w:rsidR="00E527BC" w:rsidRPr="006917D8" w:rsidRDefault="00E527BC" w:rsidP="004E2A21">
      <w:pPr>
        <w:spacing w:line="240" w:lineRule="auto"/>
        <w:jc w:val="center"/>
        <w:rPr>
          <w:rFonts w:ascii="Arial" w:hAnsi="Arial" w:cs="Arial"/>
        </w:rPr>
      </w:pPr>
      <w:r w:rsidRPr="006917D8">
        <w:rPr>
          <w:rFonts w:ascii="Arial" w:hAnsi="Arial" w:cs="Arial"/>
        </w:rPr>
        <w:t>Fig. A</w:t>
      </w:r>
      <w:r w:rsidR="001D7E65" w:rsidRPr="006917D8">
        <w:rPr>
          <w:rFonts w:ascii="Arial" w:hAnsi="Arial" w:cs="Arial"/>
        </w:rPr>
        <w:t>12</w:t>
      </w:r>
      <w:r w:rsidRPr="006917D8">
        <w:rPr>
          <w:rFonts w:ascii="Arial" w:hAnsi="Arial" w:cs="Arial"/>
        </w:rPr>
        <w:t xml:space="preserve">. Contour plot of maximum principal stress (in MPa) in media layer </w:t>
      </w:r>
      <w:r w:rsidR="009566AE" w:rsidRPr="006917D8">
        <w:rPr>
          <w:rFonts w:ascii="Arial" w:hAnsi="Arial" w:cs="Arial"/>
        </w:rPr>
        <w:t>at peak inflating pressure</w:t>
      </w:r>
      <w:r w:rsidR="0025065A" w:rsidRPr="006917D8">
        <w:rPr>
          <w:rFonts w:ascii="Arial" w:hAnsi="Arial" w:cs="Arial"/>
        </w:rPr>
        <w:t xml:space="preserve"> of angioplasty</w:t>
      </w:r>
      <w:r w:rsidRPr="006917D8">
        <w:rPr>
          <w:rFonts w:ascii="Arial" w:hAnsi="Arial" w:cs="Arial"/>
        </w:rPr>
        <w:t>.</w:t>
      </w:r>
    </w:p>
    <w:p w14:paraId="70E162C6" w14:textId="77777777" w:rsidR="00E527BC" w:rsidRPr="006917D8" w:rsidRDefault="00E527BC" w:rsidP="004E2A21">
      <w:pPr>
        <w:spacing w:line="240" w:lineRule="auto"/>
        <w:rPr>
          <w:rFonts w:ascii="Arial" w:hAnsi="Arial" w:cs="Arial"/>
        </w:rPr>
      </w:pPr>
    </w:p>
    <w:p w14:paraId="37A493E8" w14:textId="1EF70C37" w:rsidR="00E527BC" w:rsidRPr="006917D8" w:rsidRDefault="00117CC1" w:rsidP="004E2A21">
      <w:pPr>
        <w:spacing w:line="240" w:lineRule="auto"/>
        <w:rPr>
          <w:rFonts w:ascii="Arial" w:hAnsi="Arial" w:cs="Arial"/>
          <w:b/>
          <w:bCs/>
        </w:rPr>
      </w:pPr>
      <w:r w:rsidRPr="006917D8">
        <w:rPr>
          <w:rFonts w:ascii="Arial" w:hAnsi="Arial" w:cs="Arial"/>
          <w:b/>
          <w:bCs/>
        </w:rPr>
        <w:t>8</w:t>
      </w:r>
      <w:r w:rsidR="00BE6F70" w:rsidRPr="006917D8">
        <w:rPr>
          <w:rFonts w:ascii="Arial" w:hAnsi="Arial" w:cs="Arial"/>
          <w:b/>
          <w:bCs/>
        </w:rPr>
        <w:t xml:space="preserve">. </w:t>
      </w:r>
      <w:r w:rsidR="006B75CE" w:rsidRPr="006917D8">
        <w:rPr>
          <w:rFonts w:ascii="Arial" w:hAnsi="Arial" w:cs="Arial"/>
          <w:b/>
          <w:bCs/>
        </w:rPr>
        <w:t>Limitation</w:t>
      </w:r>
    </w:p>
    <w:p w14:paraId="7CC3CDBC" w14:textId="168D71E7" w:rsidR="007B3B40" w:rsidRPr="006917D8" w:rsidRDefault="00DA6E8B" w:rsidP="004E2A21">
      <w:pPr>
        <w:spacing w:line="240" w:lineRule="auto"/>
        <w:rPr>
          <w:rFonts w:ascii="Arial" w:hAnsi="Arial" w:cs="Arial"/>
        </w:rPr>
      </w:pPr>
      <w:r w:rsidRPr="006917D8">
        <w:rPr>
          <w:rFonts w:ascii="Arial" w:hAnsi="Arial" w:cs="Arial" w:hint="eastAsia"/>
        </w:rPr>
        <w:t>To the authors</w:t>
      </w:r>
      <w:r w:rsidRPr="006917D8">
        <w:rPr>
          <w:rFonts w:ascii="Arial" w:hAnsi="Arial" w:cs="Arial" w:hint="eastAsia"/>
        </w:rPr>
        <w:t>’</w:t>
      </w:r>
      <w:r w:rsidRPr="006917D8">
        <w:rPr>
          <w:rFonts w:ascii="Arial" w:hAnsi="Arial" w:cs="Arial" w:hint="eastAsia"/>
        </w:rPr>
        <w:t xml:space="preserve"> best knowledge, experimental or clinical data on the fatigue life of nitinol stents subjected to complex biomechanical loadings (e.g., wal</w:t>
      </w:r>
      <w:r w:rsidRPr="006917D8">
        <w:rPr>
          <w:rFonts w:ascii="Arial" w:hAnsi="Arial" w:cs="Arial"/>
        </w:rPr>
        <w:t>l</w:t>
      </w:r>
      <w:r w:rsidRPr="006917D8">
        <w:rPr>
          <w:rFonts w:ascii="Arial" w:hAnsi="Arial" w:cs="Arial" w:hint="eastAsia"/>
        </w:rPr>
        <w:t>-induced femoropopliteal artery motion) have not been reported in the literature yet. Hence, direct v</w:t>
      </w:r>
      <w:r w:rsidRPr="006917D8">
        <w:rPr>
          <w:rFonts w:ascii="Arial" w:hAnsi="Arial" w:cs="Arial"/>
        </w:rPr>
        <w:t>erification or validation could not be carried out in this study. However, the essential material models such as the artery/plaque were all calibrated with experimental data, and the FE model of stent deployment followed a procedure well established in our group</w:t>
      </w:r>
      <w:r w:rsidR="00910A8C" w:rsidRPr="006917D8">
        <w:rPr>
          <w:rFonts w:ascii="Arial" w:hAnsi="Arial" w:cs="Arial"/>
        </w:rPr>
        <w:t xml:space="preserve"> </w:t>
      </w:r>
      <w:r w:rsidR="00D31967" w:rsidRPr="006917D8">
        <w:rPr>
          <w:rFonts w:ascii="Arial" w:hAnsi="Arial" w:cs="Arial"/>
        </w:rPr>
        <w:fldChar w:fldCharType="begin" w:fldLock="1"/>
      </w:r>
      <w:r w:rsidR="00D327C5" w:rsidRPr="006917D8">
        <w:rPr>
          <w:rFonts w:ascii="Arial" w:hAnsi="Arial" w:cs="Arial"/>
        </w:rPr>
        <w:instrText>ADDIN CSL_CITATION {"citationItems":[{"id":"ITEM-1","itemData":{"DOI":"10.1016/j.jbiomech.2016.05.035","ISSN":"18732380","PMID":"27318369","abstract":"Crimping and deployment of bioresorbable polymeric scaffold, Absorb, were modelled using a finite element method, in direct comparison with Co–Cr alloy drug eluting stent, Xience V. Absorb scaffold has an expansion rate lower than Xience V stent, with a less outer diameter achieved after balloon deflation. Due to the difference in design and material properties, Absorb also shows a higher recoiling than Xience V, which suggests that additional post-dilatation is required to achieve effective treatment for patients with calcified plaques and stiff vessels. However, Absorb scaffold induces significantly lower stresses on the artery–plaque system, which can be clinically beneficial. Eccentric plaque causes complications to stent deployment, especially non-uniform vessel expansion. Also the stress levels in the media and adventitia layers are considerably higher for the plaque with high eccentricity, for which the choice of stents, in terms of materials and designs, will be of paramount importance. Our results imply that the benefits of Absorb scaffolds are amplified in these cases.","author":[{"dropping-particle":"","family":"Schiavone","given":"A.","non-dropping-particle":"","parse-names":false,"suffix":""},{"dropping-particle":"","family":"Abunassar","given":"C.","non-dropping-particle":"","parse-names":false,"suffix":""},{"dropping-particle":"","family":"Hossainy","given":"S.","non-dropping-particle":"","parse-names":false,"suffix":""},{"dropping-particle":"","family":"Zhao","given":"L. G.","non-dropping-particle":"","parse-names":false,"suffix":""}],"container-title":"Journal of Biomechanics","id":"ITEM-1","issue":"13","issued":{"date-parts":[["2016"]]},"page":"2677-2683","title":"Computational analysis of mechanical stress–strain interaction of a bioresorbable scaffold with blood vessel","type":"article-journal","volume":"49"},"uris":["http://www.mendeley.com/documents/?uuid=37191be6-6afa-4d8a-8528-2fd47c1a59f7"]},{"id":"ITEM-2","itemData":{"DOI":"10.1016/j.jmbbm.2017.11.031","ISSN":"18780180","abstract":"This paper aims to evaluate the mechanical behaviour of a bioresorbable polymeric coronary scaffold using finite element method, focusing on scaffold-artery interaction during degradation and vessel remodelling. A series of nonlinear stress-strain responses was constructed to match the experimental measurement of radial stiffness and strength for polymeric scaffolds over 2-year in-vitro degradation times. Degradation process was modelled by incorporating the change of material property as a function of time. Vessel remodelling was realised by changing the size of artery-plaque system manually, according to the clinical data in literature. Over degradation times, stress on the scaffold tended to increase firstly and then decreased gradually, corresponding to the changing yield stress of the scaffold material; whereas the stress on the plaque and arterial layers showed a continuous decrease. In addition, stress reduction was also observed for scaffold, plaque and artery in the simulations with the consideration of vessel remodelling. For the first time, the work offered insights into mechanical interaction between a bioresorbable scaffold and blood vessel during two-year in-vitro degradation, which has significance in assisting with further development of bioresorbable implants for treating cardiovascular diseases.","author":[{"dropping-particle":"","family":"Qiu","given":"T.","non-dropping-particle":"","parse-names":false,"suffix":""},{"dropping-particle":"","family":"He","given":"R.","non-dropping-particle":"","parse-names":false,"suffix":""},{"dropping-particle":"","family":"Abunassar","given":"C.","non-dropping-particle":"","parse-names":false,"suffix":""},{"dropping-particle":"","family":"Hossainy","given":"S.","non-dropping-particle":"","parse-names":false,"suffix":""},{"dropping-particle":"","family":"Zhao","given":"L. G.","non-dropping-particle":"","parse-names":false,"suffix":""}],"container-title":"Journal of the Mechanical Behavior of Biomedical Materials","id":"ITEM-2","issued":{"date-parts":[["2018"]]},"page":"254-265","title":"Effect of two-year degradation on mechanical interaction between a bioresorbable scaffold and blood vessel","type":"article-journal","volume":"78"},"uris":["http://www.mendeley.com/documents/?uuid=f7bc717d-b764-422d-9f72-c40dc13a6111"]},{"id":"ITEM-3","itemData":{"DOI":"10.1016/j.jmbbm.2020.103836","ISSN":"18780180","PMID":"32543402","abstract":"This paper investigates the effects of multiple stents, with and without overlap, on the outcome of stent deployment in a patient-specific coronary artery using the finite element method. Specifically, the objective of this study is to reveal the effect of stent overlap on lumen gain, tissue damage and in-stent restenosis in percutaneous coronary intervention. Based on intravital optical coherency tomography imaging, three-dimensional model of a specific patient's coronary artery was developed, with two constituent layers (media and adventitia) and plaque, using Mimics. Hyperelastic models with damage, verified against experimental results, were used to describe stress-stretch responses of arterial layers and plaque. Abaqus CAE was used to create the models for Resolute Integrity™ drug-eluting stents and tri-folded expansion balloons. The results showed that lumen gain was improved by the overlapping stents than a single stent after deployment; however, damage to the media layer was greater, promoting a higher rate of in-stent restenosis. Meanwhile, the lumen gain achieved with the non-overlapping stents was smaller than that with the overlapping ones, due to an increased recoiling effect. Also, non-overlapping stents induced more tissue damage and higher rate of in-stent restenosis than overlapping stents. With respect to long-term clinical outcomes, the study recommended the use of a single stent where possible or multiple stents with minimal overlaps to treat long or angulated lesions.","author":[{"dropping-particle":"","family":"He","given":"R.","non-dropping-particle":"","parse-names":false,"suffix":""},{"dropping-particle":"","family":"Zhao","given":"L. G.","non-dropping-particle":"","parse-names":false,"suffix":""},{"dropping-particle":"V.","family":"Silberschmidt","given":"V.","non-dropping-particle":"","parse-names":false,"suffix":""},{"dropping-particle":"","family":"Liu","given":"Y.","non-dropping-particle":"","parse-names":false,"suffix":""},{"dropping-particle":"","family":"Vogt","given":"F.","non-dropping-particle":"","parse-names":false,"suffix":""}],"container-title":"Journal of the Mechanical Behavior of Biomedical Materials","id":"ITEM-3","issued":{"date-parts":[["2020"]]},"page":"103836","title":"Patient-specific modelling of stent overlap: Lumen gain, tissue damage and in-stent restenosis","type":"article-journal","volume":"109"},"uris":["http://www.mendeley.com/documents/?uuid=cc6f0989-b5c6-4433-83fe-87fbfc18adcc"]}],"mendeley":{"formattedCitation":"(He, Zhao, Silberschmidt, Liu, et al., 2020; Qiu et al., 2018; Schiavone et al., 2016)","manualFormatting":"(Schiavone et al., 2016; Qiu et al., 2018; He et al., 2020b)","plainTextFormattedCitation":"(He, Zhao, Silberschmidt, Liu, et al., 2020; Qiu et al., 2018; Schiavone et al., 2016)","previouslyFormattedCitation":"(He, Zhao, Silberschmidt, Liu, et al., 2020; Qiu et al., 2018; Schiavone et al., 2016)"},"properties":{"noteIndex":0},"schema":"https://github.com/citation-style-language/schema/raw/master/csl-citation.json"}</w:instrText>
      </w:r>
      <w:r w:rsidR="00D31967" w:rsidRPr="006917D8">
        <w:rPr>
          <w:rFonts w:ascii="Arial" w:hAnsi="Arial" w:cs="Arial"/>
        </w:rPr>
        <w:fldChar w:fldCharType="separate"/>
      </w:r>
      <w:r w:rsidR="0010713C" w:rsidRPr="006917D8">
        <w:rPr>
          <w:rFonts w:ascii="Arial" w:hAnsi="Arial" w:cs="Arial"/>
          <w:noProof/>
        </w:rPr>
        <w:t>(Schiavone et al., 2016; Qiu et al., 2018; He et al., 2020</w:t>
      </w:r>
      <w:r w:rsidR="00B92805" w:rsidRPr="006917D8">
        <w:rPr>
          <w:rFonts w:ascii="Arial" w:hAnsi="Arial" w:cs="Arial"/>
          <w:noProof/>
        </w:rPr>
        <w:t>b</w:t>
      </w:r>
      <w:r w:rsidR="0010713C" w:rsidRPr="006917D8">
        <w:rPr>
          <w:rFonts w:ascii="Arial" w:hAnsi="Arial" w:cs="Arial"/>
          <w:noProof/>
        </w:rPr>
        <w:t>)</w:t>
      </w:r>
      <w:r w:rsidR="00D31967" w:rsidRPr="006917D8">
        <w:rPr>
          <w:rFonts w:ascii="Arial" w:hAnsi="Arial" w:cs="Arial"/>
        </w:rPr>
        <w:fldChar w:fldCharType="end"/>
      </w:r>
      <w:r w:rsidR="0010713C" w:rsidRPr="006917D8">
        <w:rPr>
          <w:rFonts w:ascii="Arial" w:hAnsi="Arial" w:cs="Arial"/>
        </w:rPr>
        <w:t xml:space="preserve">. </w:t>
      </w:r>
      <w:r w:rsidR="004F60B9" w:rsidRPr="006917D8">
        <w:rPr>
          <w:rFonts w:ascii="Arial" w:hAnsi="Arial" w:cs="Arial"/>
        </w:rPr>
        <w:t>Hence</w:t>
      </w:r>
      <w:r w:rsidR="00B9729F" w:rsidRPr="006917D8">
        <w:rPr>
          <w:rFonts w:ascii="Arial" w:hAnsi="Arial" w:cs="Arial"/>
        </w:rPr>
        <w:t>, the approach presented in our work is rigorous, although further refinements are required in our future study, such as the consideration of realistic plaque morphology and the use of directly relevant experimental and clinical data for model calibration and validation.</w:t>
      </w:r>
    </w:p>
    <w:p w14:paraId="45B10960" w14:textId="33C17CFF" w:rsidR="00A74264" w:rsidRPr="006917D8" w:rsidRDefault="00A74264" w:rsidP="004E2A21">
      <w:pPr>
        <w:spacing w:line="240" w:lineRule="auto"/>
        <w:rPr>
          <w:rFonts w:ascii="Arial" w:hAnsi="Arial" w:cs="Arial"/>
        </w:rPr>
      </w:pPr>
    </w:p>
    <w:p w14:paraId="20E5034D" w14:textId="32FAF851" w:rsidR="00A74264" w:rsidRPr="006917D8" w:rsidRDefault="00A74264" w:rsidP="004E2A21">
      <w:pPr>
        <w:spacing w:line="240" w:lineRule="auto"/>
        <w:rPr>
          <w:rFonts w:ascii="Arial" w:hAnsi="Arial" w:cs="Arial"/>
        </w:rPr>
      </w:pPr>
      <w:r w:rsidRPr="006917D8">
        <w:rPr>
          <w:rFonts w:ascii="Arial" w:hAnsi="Arial" w:cs="Arial"/>
        </w:rPr>
        <w:t>Also, the stride length and frequency can differ in patients and may affect the stress and fatigue life of deployed nitinol stents. For instance, an increase in stride length and frequency</w:t>
      </w:r>
      <w:r w:rsidRPr="006917D8" w:rsidDel="00A64125">
        <w:rPr>
          <w:rFonts w:ascii="Arial" w:hAnsi="Arial" w:cs="Arial"/>
        </w:rPr>
        <w:t xml:space="preserve"> </w:t>
      </w:r>
      <w:r w:rsidRPr="006917D8">
        <w:rPr>
          <w:rFonts w:ascii="Arial" w:hAnsi="Arial" w:cs="Arial"/>
        </w:rPr>
        <w:t>may cause larger arterial deformation with subsequently higher stress and increased risk of fatigue failure of the stent. This needs to be investigated in future studies.</w:t>
      </w:r>
    </w:p>
    <w:p w14:paraId="3B8CAF1C" w14:textId="47BF1DA5" w:rsidR="007B3B40" w:rsidRPr="006917D8" w:rsidRDefault="007B3B40" w:rsidP="004E2A21">
      <w:pPr>
        <w:spacing w:line="240" w:lineRule="auto"/>
        <w:rPr>
          <w:rFonts w:ascii="Arial" w:hAnsi="Arial" w:cs="Arial"/>
        </w:rPr>
      </w:pPr>
    </w:p>
    <w:p w14:paraId="09E1166A" w14:textId="069C6E0E" w:rsidR="007B3B40" w:rsidRPr="006917D8" w:rsidRDefault="00117CC1" w:rsidP="004E2A21">
      <w:pPr>
        <w:spacing w:line="240" w:lineRule="auto"/>
        <w:rPr>
          <w:rFonts w:ascii="Arial" w:hAnsi="Arial" w:cs="Arial"/>
          <w:b/>
          <w:bCs/>
        </w:rPr>
      </w:pPr>
      <w:r w:rsidRPr="006917D8">
        <w:rPr>
          <w:rFonts w:ascii="Arial" w:hAnsi="Arial" w:cs="Arial"/>
          <w:b/>
          <w:bCs/>
        </w:rPr>
        <w:t>9</w:t>
      </w:r>
      <w:r w:rsidR="00BE6F70" w:rsidRPr="006917D8">
        <w:rPr>
          <w:rFonts w:ascii="Arial" w:hAnsi="Arial" w:cs="Arial"/>
          <w:b/>
          <w:bCs/>
        </w:rPr>
        <w:t xml:space="preserve">. </w:t>
      </w:r>
      <w:r w:rsidR="007B3B40" w:rsidRPr="006917D8">
        <w:rPr>
          <w:rFonts w:ascii="Arial" w:hAnsi="Arial" w:cs="Arial"/>
          <w:b/>
          <w:bCs/>
        </w:rPr>
        <w:t>References</w:t>
      </w:r>
    </w:p>
    <w:p w14:paraId="21CC83B8" w14:textId="07FC1900" w:rsidR="00A76991" w:rsidRPr="006917D8" w:rsidRDefault="00D327C5"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rPr>
        <w:fldChar w:fldCharType="begin" w:fldLock="1"/>
      </w:r>
      <w:r w:rsidRPr="006917D8">
        <w:rPr>
          <w:rFonts w:ascii="Arial" w:hAnsi="Arial" w:cs="Arial"/>
        </w:rPr>
        <w:instrText xml:space="preserve">ADDIN Mendeley Bibliography CSL_BIBLIOGRAPHY </w:instrText>
      </w:r>
      <w:r w:rsidRPr="006917D8">
        <w:rPr>
          <w:rFonts w:ascii="Arial" w:hAnsi="Arial" w:cs="Arial"/>
        </w:rPr>
        <w:fldChar w:fldCharType="separate"/>
      </w:r>
      <w:r w:rsidR="00A76991" w:rsidRPr="006917D8">
        <w:rPr>
          <w:rFonts w:ascii="Arial" w:hAnsi="Arial" w:cs="Arial"/>
          <w:noProof/>
          <w:szCs w:val="24"/>
        </w:rPr>
        <w:t xml:space="preserve">Anttila, E., Balzani, D., Desyatova, A., Deegan, P., MacTaggart, J., &amp; Kamenskiy, A. (2019). Mechanical damage characterization in human femoropopliteal arteries of different ages. </w:t>
      </w:r>
      <w:r w:rsidR="00A76991" w:rsidRPr="006917D8">
        <w:rPr>
          <w:rFonts w:ascii="Arial" w:hAnsi="Arial" w:cs="Arial"/>
          <w:i/>
          <w:iCs/>
          <w:noProof/>
          <w:szCs w:val="24"/>
        </w:rPr>
        <w:t>Acta Biomaterialia</w:t>
      </w:r>
      <w:r w:rsidR="00A76991" w:rsidRPr="006917D8">
        <w:rPr>
          <w:rFonts w:ascii="Arial" w:hAnsi="Arial" w:cs="Arial"/>
          <w:noProof/>
          <w:szCs w:val="24"/>
        </w:rPr>
        <w:t xml:space="preserve">, </w:t>
      </w:r>
      <w:r w:rsidR="00A76991" w:rsidRPr="006917D8">
        <w:rPr>
          <w:rFonts w:ascii="Arial" w:hAnsi="Arial" w:cs="Arial"/>
          <w:i/>
          <w:iCs/>
          <w:noProof/>
          <w:szCs w:val="24"/>
        </w:rPr>
        <w:t>90</w:t>
      </w:r>
      <w:r w:rsidR="00A76991" w:rsidRPr="006917D8">
        <w:rPr>
          <w:rFonts w:ascii="Arial" w:hAnsi="Arial" w:cs="Arial"/>
          <w:noProof/>
          <w:szCs w:val="24"/>
        </w:rPr>
        <w:t>, 225–240. https://doi.org/10.1016/j.actbio.2019.03.053</w:t>
      </w:r>
    </w:p>
    <w:p w14:paraId="3DE5FD3D"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Azaouzi, M., Lebaal, N., Makradi, A., &amp; Belouettar, S. (2013). Optimization based simulation of self-expanding Nitinol stent. </w:t>
      </w:r>
      <w:r w:rsidRPr="006917D8">
        <w:rPr>
          <w:rFonts w:ascii="Arial" w:hAnsi="Arial" w:cs="Arial"/>
          <w:i/>
          <w:iCs/>
          <w:noProof/>
          <w:szCs w:val="24"/>
        </w:rPr>
        <w:t>Materials and Design</w:t>
      </w:r>
      <w:r w:rsidRPr="006917D8">
        <w:rPr>
          <w:rFonts w:ascii="Arial" w:hAnsi="Arial" w:cs="Arial"/>
          <w:noProof/>
          <w:szCs w:val="24"/>
        </w:rPr>
        <w:t xml:space="preserve">, </w:t>
      </w:r>
      <w:r w:rsidRPr="006917D8">
        <w:rPr>
          <w:rFonts w:ascii="Arial" w:hAnsi="Arial" w:cs="Arial"/>
          <w:i/>
          <w:iCs/>
          <w:noProof/>
          <w:szCs w:val="24"/>
        </w:rPr>
        <w:t>50</w:t>
      </w:r>
      <w:r w:rsidRPr="006917D8">
        <w:rPr>
          <w:rFonts w:ascii="Arial" w:hAnsi="Arial" w:cs="Arial"/>
          <w:noProof/>
          <w:szCs w:val="24"/>
        </w:rPr>
        <w:t>, 917–928. https://doi.org/10.1016/j.matdes.2013.03.012</w:t>
      </w:r>
    </w:p>
    <w:p w14:paraId="3B30ED5E"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Bennett, M. R., &amp; O’Sullivan, M. (2001). Mechanisms of angioplasty and stent restenosis: Implications for design of rational therapy. </w:t>
      </w:r>
      <w:r w:rsidRPr="006917D8">
        <w:rPr>
          <w:rFonts w:ascii="Arial" w:hAnsi="Arial" w:cs="Arial"/>
          <w:i/>
          <w:iCs/>
          <w:noProof/>
          <w:szCs w:val="24"/>
        </w:rPr>
        <w:t>Pharmacology and Therapeutics</w:t>
      </w:r>
      <w:r w:rsidRPr="006917D8">
        <w:rPr>
          <w:rFonts w:ascii="Arial" w:hAnsi="Arial" w:cs="Arial"/>
          <w:noProof/>
          <w:szCs w:val="24"/>
        </w:rPr>
        <w:t xml:space="preserve">, </w:t>
      </w:r>
      <w:r w:rsidRPr="006917D8">
        <w:rPr>
          <w:rFonts w:ascii="Arial" w:hAnsi="Arial" w:cs="Arial"/>
          <w:i/>
          <w:iCs/>
          <w:noProof/>
          <w:szCs w:val="24"/>
        </w:rPr>
        <w:t>91</w:t>
      </w:r>
      <w:r w:rsidRPr="006917D8">
        <w:rPr>
          <w:rFonts w:ascii="Arial" w:hAnsi="Arial" w:cs="Arial"/>
          <w:noProof/>
          <w:szCs w:val="24"/>
        </w:rPr>
        <w:t>(2), 149–166. https://doi.org/10.1016/S0163-7258(01)00153-X</w:t>
      </w:r>
    </w:p>
    <w:p w14:paraId="5F0F11AD"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Desyatova, A., Poulson, W., Deegan, P., Lomneth, C., Seas, A., Maleckis, K., MacTaggart, J., &amp; Kamenskiy, A. (2017). Limb flexion-induced twist and associated intramural stresses in the human femoropopliteal artery. </w:t>
      </w:r>
      <w:r w:rsidRPr="006917D8">
        <w:rPr>
          <w:rFonts w:ascii="Arial" w:hAnsi="Arial" w:cs="Arial"/>
          <w:i/>
          <w:iCs/>
          <w:noProof/>
          <w:szCs w:val="24"/>
        </w:rPr>
        <w:t>Journal of the Royal Society, Interface</w:t>
      </w:r>
      <w:r w:rsidRPr="006917D8">
        <w:rPr>
          <w:rFonts w:ascii="Arial" w:hAnsi="Arial" w:cs="Arial"/>
          <w:noProof/>
          <w:szCs w:val="24"/>
        </w:rPr>
        <w:t xml:space="preserve">, </w:t>
      </w:r>
      <w:r w:rsidRPr="006917D8">
        <w:rPr>
          <w:rFonts w:ascii="Arial" w:hAnsi="Arial" w:cs="Arial"/>
          <w:i/>
          <w:iCs/>
          <w:noProof/>
          <w:szCs w:val="24"/>
        </w:rPr>
        <w:t>14</w:t>
      </w:r>
      <w:r w:rsidRPr="006917D8">
        <w:rPr>
          <w:rFonts w:ascii="Arial" w:hAnsi="Arial" w:cs="Arial"/>
          <w:noProof/>
          <w:szCs w:val="24"/>
        </w:rPr>
        <w:t>(128), 20170025. https://doi.org/10.1098/rsif.2017.0025</w:t>
      </w:r>
    </w:p>
    <w:p w14:paraId="60261494"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Evans, D. J. ., Lawford, P. ., Gunn, J., Walker, D., Hose, D. ., Smallwood, R. ., Chopard, B., Krafczyk, M., Bernsdorf, J., &amp; Hoekstra, A. (2008). The application of multiscale modelling to the process of development and prevention of stenosis in a stented coronary artery. </w:t>
      </w:r>
      <w:r w:rsidRPr="006917D8">
        <w:rPr>
          <w:rFonts w:ascii="Arial" w:hAnsi="Arial" w:cs="Arial"/>
          <w:i/>
          <w:iCs/>
          <w:noProof/>
          <w:szCs w:val="24"/>
        </w:rPr>
        <w:t>Philosophical Transactions of the Royal Society A: Mathematical, Physical and Engineering Sciences</w:t>
      </w:r>
      <w:r w:rsidRPr="006917D8">
        <w:rPr>
          <w:rFonts w:ascii="Arial" w:hAnsi="Arial" w:cs="Arial"/>
          <w:noProof/>
          <w:szCs w:val="24"/>
        </w:rPr>
        <w:t xml:space="preserve">, </w:t>
      </w:r>
      <w:r w:rsidRPr="006917D8">
        <w:rPr>
          <w:rFonts w:ascii="Arial" w:hAnsi="Arial" w:cs="Arial"/>
          <w:i/>
          <w:iCs/>
          <w:noProof/>
          <w:szCs w:val="24"/>
        </w:rPr>
        <w:t>366</w:t>
      </w:r>
      <w:r w:rsidRPr="006917D8">
        <w:rPr>
          <w:rFonts w:ascii="Arial" w:hAnsi="Arial" w:cs="Arial"/>
          <w:noProof/>
          <w:szCs w:val="24"/>
        </w:rPr>
        <w:t>(1879), 3343–3360. https://doi.org/10.1098/rsta.2008.0081</w:t>
      </w:r>
    </w:p>
    <w:p w14:paraId="2FF05FD6"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Fereidoonnezhad, B., Naghdabadi, R., &amp; Holzapfel, G. A. (2016). Stress softening and permanent deformation in human aortas: Continuum and computational modeling with application to arterial clamping. </w:t>
      </w:r>
      <w:r w:rsidRPr="006917D8">
        <w:rPr>
          <w:rFonts w:ascii="Arial" w:hAnsi="Arial" w:cs="Arial"/>
          <w:i/>
          <w:iCs/>
          <w:noProof/>
          <w:szCs w:val="24"/>
        </w:rPr>
        <w:t>Journal of the Mechanical Behavior of Biomedical Materials</w:t>
      </w:r>
      <w:r w:rsidRPr="006917D8">
        <w:rPr>
          <w:rFonts w:ascii="Arial" w:hAnsi="Arial" w:cs="Arial"/>
          <w:noProof/>
          <w:szCs w:val="24"/>
        </w:rPr>
        <w:t xml:space="preserve">, </w:t>
      </w:r>
      <w:r w:rsidRPr="006917D8">
        <w:rPr>
          <w:rFonts w:ascii="Arial" w:hAnsi="Arial" w:cs="Arial"/>
          <w:i/>
          <w:iCs/>
          <w:noProof/>
          <w:szCs w:val="24"/>
        </w:rPr>
        <w:t>61</w:t>
      </w:r>
      <w:r w:rsidRPr="006917D8">
        <w:rPr>
          <w:rFonts w:ascii="Arial" w:hAnsi="Arial" w:cs="Arial"/>
          <w:noProof/>
          <w:szCs w:val="24"/>
        </w:rPr>
        <w:t>, 600–616. https://doi.org/10.1016/j.jmbbm.2016.03.026</w:t>
      </w:r>
    </w:p>
    <w:p w14:paraId="33996810" w14:textId="77BB278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He, R., Zhao, L. G., Silberschmidt, V. V., &amp; Liu, Y. (2020a). Mechanistic evaluation of long-term in-stent restenosis based on models of tissue damage and growth. </w:t>
      </w:r>
      <w:r w:rsidRPr="006917D8">
        <w:rPr>
          <w:rFonts w:ascii="Arial" w:hAnsi="Arial" w:cs="Arial"/>
          <w:i/>
          <w:iCs/>
          <w:noProof/>
          <w:szCs w:val="24"/>
        </w:rPr>
        <w:t>Biomechanics and Modeling in Mechanobiology</w:t>
      </w:r>
      <w:r w:rsidRPr="006917D8">
        <w:rPr>
          <w:rFonts w:ascii="Arial" w:hAnsi="Arial" w:cs="Arial"/>
          <w:noProof/>
          <w:szCs w:val="24"/>
        </w:rPr>
        <w:t>, 1–22. https://doi.org/10.1007/s10237-019-01279-2</w:t>
      </w:r>
    </w:p>
    <w:p w14:paraId="1F3A070E" w14:textId="61E870BC"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He, R., Zhao, L. G., Silberschmidt, V. V., Liu, Y., &amp; Vogt, F. (2020b). Patient-specific modelling of stent overlap: Lumen gain, tissue damage and in-stent restenosis. </w:t>
      </w:r>
      <w:r w:rsidRPr="006917D8">
        <w:rPr>
          <w:rFonts w:ascii="Arial" w:hAnsi="Arial" w:cs="Arial"/>
          <w:i/>
          <w:iCs/>
          <w:noProof/>
          <w:szCs w:val="24"/>
        </w:rPr>
        <w:t>Journal of the Mechanical Behavior of Biomedical Materials</w:t>
      </w:r>
      <w:r w:rsidRPr="006917D8">
        <w:rPr>
          <w:rFonts w:ascii="Arial" w:hAnsi="Arial" w:cs="Arial"/>
          <w:noProof/>
          <w:szCs w:val="24"/>
        </w:rPr>
        <w:t xml:space="preserve">, </w:t>
      </w:r>
      <w:r w:rsidRPr="006917D8">
        <w:rPr>
          <w:rFonts w:ascii="Arial" w:hAnsi="Arial" w:cs="Arial"/>
          <w:i/>
          <w:iCs/>
          <w:noProof/>
          <w:szCs w:val="24"/>
        </w:rPr>
        <w:t>109</w:t>
      </w:r>
      <w:r w:rsidRPr="006917D8">
        <w:rPr>
          <w:rFonts w:ascii="Arial" w:hAnsi="Arial" w:cs="Arial"/>
          <w:noProof/>
          <w:szCs w:val="24"/>
        </w:rPr>
        <w:t>, 103836. https://doi.org/10.1016/j.jmbbm.2020.103836</w:t>
      </w:r>
    </w:p>
    <w:p w14:paraId="102D6461"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Hoffmann, R., &amp; Mintz, G. S. (2000). Coronary in-stent restenosis—predictors, treatment and prevention. </w:t>
      </w:r>
      <w:r w:rsidRPr="006917D8">
        <w:rPr>
          <w:rFonts w:ascii="Arial" w:hAnsi="Arial" w:cs="Arial"/>
          <w:i/>
          <w:iCs/>
          <w:noProof/>
          <w:szCs w:val="24"/>
        </w:rPr>
        <w:t>European Heart Journal</w:t>
      </w:r>
      <w:r w:rsidRPr="006917D8">
        <w:rPr>
          <w:rFonts w:ascii="Arial" w:hAnsi="Arial" w:cs="Arial"/>
          <w:noProof/>
          <w:szCs w:val="24"/>
        </w:rPr>
        <w:t xml:space="preserve">, </w:t>
      </w:r>
      <w:r w:rsidRPr="006917D8">
        <w:rPr>
          <w:rFonts w:ascii="Arial" w:hAnsi="Arial" w:cs="Arial"/>
          <w:i/>
          <w:iCs/>
          <w:noProof/>
          <w:szCs w:val="24"/>
        </w:rPr>
        <w:t>21</w:t>
      </w:r>
      <w:r w:rsidRPr="006917D8">
        <w:rPr>
          <w:rFonts w:ascii="Arial" w:hAnsi="Arial" w:cs="Arial"/>
          <w:noProof/>
          <w:szCs w:val="24"/>
        </w:rPr>
        <w:t>(21), 1739–1749.</w:t>
      </w:r>
    </w:p>
    <w:p w14:paraId="38708ADF"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Lin, Z., Hsiao, H. M., Mackiewicz, D., Anukhin, B., &amp; Pike, K. (2009). Anisotropic behavior of radiopaque NiTiPt hypotube for biomedical applications. </w:t>
      </w:r>
      <w:r w:rsidRPr="006917D8">
        <w:rPr>
          <w:rFonts w:ascii="Arial" w:hAnsi="Arial" w:cs="Arial"/>
          <w:i/>
          <w:iCs/>
          <w:noProof/>
          <w:szCs w:val="24"/>
        </w:rPr>
        <w:t>Advanced Engineering Materials</w:t>
      </w:r>
      <w:r w:rsidRPr="006917D8">
        <w:rPr>
          <w:rFonts w:ascii="Arial" w:hAnsi="Arial" w:cs="Arial"/>
          <w:noProof/>
          <w:szCs w:val="24"/>
        </w:rPr>
        <w:t xml:space="preserve">, </w:t>
      </w:r>
      <w:r w:rsidRPr="006917D8">
        <w:rPr>
          <w:rFonts w:ascii="Arial" w:hAnsi="Arial" w:cs="Arial"/>
          <w:i/>
          <w:iCs/>
          <w:noProof/>
          <w:szCs w:val="24"/>
        </w:rPr>
        <w:t>11</w:t>
      </w:r>
      <w:r w:rsidRPr="006917D8">
        <w:rPr>
          <w:rFonts w:ascii="Arial" w:hAnsi="Arial" w:cs="Arial"/>
          <w:noProof/>
          <w:szCs w:val="24"/>
        </w:rPr>
        <w:t>(11), B189–B193. https://doi.org/10.1002/adem.200800403</w:t>
      </w:r>
    </w:p>
    <w:p w14:paraId="508C583D"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MacTaggart, J., Poulson, W., Seas, A., Deegan, P., Lomneth, C., Desyatova, A., Maleckis, K., &amp; Kamenskiy, A. (2019). Stent design affects femoropopliteal artery deformation. </w:t>
      </w:r>
      <w:r w:rsidRPr="006917D8">
        <w:rPr>
          <w:rFonts w:ascii="Arial" w:hAnsi="Arial" w:cs="Arial"/>
          <w:i/>
          <w:iCs/>
          <w:noProof/>
          <w:szCs w:val="24"/>
        </w:rPr>
        <w:t>Annals of Surgery</w:t>
      </w:r>
      <w:r w:rsidRPr="006917D8">
        <w:rPr>
          <w:rFonts w:ascii="Arial" w:hAnsi="Arial" w:cs="Arial"/>
          <w:noProof/>
          <w:szCs w:val="24"/>
        </w:rPr>
        <w:t xml:space="preserve">, </w:t>
      </w:r>
      <w:r w:rsidRPr="006917D8">
        <w:rPr>
          <w:rFonts w:ascii="Arial" w:hAnsi="Arial" w:cs="Arial"/>
          <w:i/>
          <w:iCs/>
          <w:noProof/>
          <w:szCs w:val="24"/>
        </w:rPr>
        <w:t>270</w:t>
      </w:r>
      <w:r w:rsidRPr="006917D8">
        <w:rPr>
          <w:rFonts w:ascii="Arial" w:hAnsi="Arial" w:cs="Arial"/>
          <w:noProof/>
          <w:szCs w:val="24"/>
        </w:rPr>
        <w:t>(1), 180–187. https://doi.org/10.1097/SLA.0000000000002747</w:t>
      </w:r>
    </w:p>
    <w:p w14:paraId="33220416"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Maher, E., Creane, A., Sultan, S., Hynes, N., Lally, C., &amp; Kelly, D. J. (2011). Inelasticity of human carotid atherosclerotic plaque. </w:t>
      </w:r>
      <w:r w:rsidRPr="006917D8">
        <w:rPr>
          <w:rFonts w:ascii="Arial" w:hAnsi="Arial" w:cs="Arial"/>
          <w:i/>
          <w:iCs/>
          <w:noProof/>
          <w:szCs w:val="24"/>
        </w:rPr>
        <w:t>Annals of Biomedical Engineering</w:t>
      </w:r>
      <w:r w:rsidRPr="006917D8">
        <w:rPr>
          <w:rFonts w:ascii="Arial" w:hAnsi="Arial" w:cs="Arial"/>
          <w:noProof/>
          <w:szCs w:val="24"/>
        </w:rPr>
        <w:t xml:space="preserve">, </w:t>
      </w:r>
      <w:r w:rsidRPr="006917D8">
        <w:rPr>
          <w:rFonts w:ascii="Arial" w:hAnsi="Arial" w:cs="Arial"/>
          <w:i/>
          <w:iCs/>
          <w:noProof/>
          <w:szCs w:val="24"/>
        </w:rPr>
        <w:t>39</w:t>
      </w:r>
      <w:r w:rsidRPr="006917D8">
        <w:rPr>
          <w:rFonts w:ascii="Arial" w:hAnsi="Arial" w:cs="Arial"/>
          <w:noProof/>
          <w:szCs w:val="24"/>
        </w:rPr>
        <w:t>(9), 2445–2455. https://doi.org/10.1007/s10439-011-0331-4</w:t>
      </w:r>
    </w:p>
    <w:p w14:paraId="3B03975C"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Pelton, A. R., Schroeder, V., Mitchell, M. R., Gong, X. Y., Barney, M., &amp; Robertson, S. W. (2008). Fatigue and durability of Nitinol stents. </w:t>
      </w:r>
      <w:r w:rsidRPr="006917D8">
        <w:rPr>
          <w:rFonts w:ascii="Arial" w:hAnsi="Arial" w:cs="Arial"/>
          <w:i/>
          <w:iCs/>
          <w:noProof/>
          <w:szCs w:val="24"/>
        </w:rPr>
        <w:t>Journal of the Mechanical Behavior of Biomedical Materials</w:t>
      </w:r>
      <w:r w:rsidRPr="006917D8">
        <w:rPr>
          <w:rFonts w:ascii="Arial" w:hAnsi="Arial" w:cs="Arial"/>
          <w:noProof/>
          <w:szCs w:val="24"/>
        </w:rPr>
        <w:t xml:space="preserve">, </w:t>
      </w:r>
      <w:r w:rsidRPr="006917D8">
        <w:rPr>
          <w:rFonts w:ascii="Arial" w:hAnsi="Arial" w:cs="Arial"/>
          <w:i/>
          <w:iCs/>
          <w:noProof/>
          <w:szCs w:val="24"/>
        </w:rPr>
        <w:t>1</w:t>
      </w:r>
      <w:r w:rsidRPr="006917D8">
        <w:rPr>
          <w:rFonts w:ascii="Arial" w:hAnsi="Arial" w:cs="Arial"/>
          <w:noProof/>
          <w:szCs w:val="24"/>
        </w:rPr>
        <w:t>(2), 153–164. https://doi.org/10.1016/j.jmbbm.2007.08.001</w:t>
      </w:r>
    </w:p>
    <w:p w14:paraId="13D27652"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Poulson, W., Kamenskiy, A., Seas, A., Deegan, P., Lomneth, C., &amp; MacTaggart, J. (2018). Limb flexion-induced axial compression and bending in human femoropopliteal artery segments. </w:t>
      </w:r>
      <w:r w:rsidRPr="006917D8">
        <w:rPr>
          <w:rFonts w:ascii="Arial" w:hAnsi="Arial" w:cs="Arial"/>
          <w:i/>
          <w:iCs/>
          <w:noProof/>
          <w:szCs w:val="24"/>
        </w:rPr>
        <w:t>Journal of Vascular Surgery</w:t>
      </w:r>
      <w:r w:rsidRPr="006917D8">
        <w:rPr>
          <w:rFonts w:ascii="Arial" w:hAnsi="Arial" w:cs="Arial"/>
          <w:noProof/>
          <w:szCs w:val="24"/>
        </w:rPr>
        <w:t xml:space="preserve">, </w:t>
      </w:r>
      <w:r w:rsidRPr="006917D8">
        <w:rPr>
          <w:rFonts w:ascii="Arial" w:hAnsi="Arial" w:cs="Arial"/>
          <w:i/>
          <w:iCs/>
          <w:noProof/>
          <w:szCs w:val="24"/>
        </w:rPr>
        <w:t>67</w:t>
      </w:r>
      <w:r w:rsidRPr="006917D8">
        <w:rPr>
          <w:rFonts w:ascii="Arial" w:hAnsi="Arial" w:cs="Arial"/>
          <w:noProof/>
          <w:szCs w:val="24"/>
        </w:rPr>
        <w:t>(2), 607–613. https://doi.org/10.1016/j.jvs.2017.01.071</w:t>
      </w:r>
    </w:p>
    <w:p w14:paraId="0C11EFB9"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Qiu, T., He, R., Abunassar, C., Hossainy, S., &amp; Zhao, L. G. (2018). Effect of two-year degradation on mechanical interaction between a bioresorbable scaffold and blood vessel. </w:t>
      </w:r>
      <w:r w:rsidRPr="006917D8">
        <w:rPr>
          <w:rFonts w:ascii="Arial" w:hAnsi="Arial" w:cs="Arial"/>
          <w:i/>
          <w:iCs/>
          <w:noProof/>
          <w:szCs w:val="24"/>
        </w:rPr>
        <w:t>Journal of the Mechanical Behavior of Biomedical Materials</w:t>
      </w:r>
      <w:r w:rsidRPr="006917D8">
        <w:rPr>
          <w:rFonts w:ascii="Arial" w:hAnsi="Arial" w:cs="Arial"/>
          <w:noProof/>
          <w:szCs w:val="24"/>
        </w:rPr>
        <w:t xml:space="preserve">, </w:t>
      </w:r>
      <w:r w:rsidRPr="006917D8">
        <w:rPr>
          <w:rFonts w:ascii="Arial" w:hAnsi="Arial" w:cs="Arial"/>
          <w:i/>
          <w:iCs/>
          <w:noProof/>
          <w:szCs w:val="24"/>
        </w:rPr>
        <w:t>78</w:t>
      </w:r>
      <w:r w:rsidRPr="006917D8">
        <w:rPr>
          <w:rFonts w:ascii="Arial" w:hAnsi="Arial" w:cs="Arial"/>
          <w:noProof/>
          <w:szCs w:val="24"/>
        </w:rPr>
        <w:t>, 254–265. https://doi.org/10.1016/j.jmbbm.2017.11.031</w:t>
      </w:r>
    </w:p>
    <w:p w14:paraId="27264E12"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szCs w:val="24"/>
        </w:rPr>
      </w:pPr>
      <w:r w:rsidRPr="006917D8">
        <w:rPr>
          <w:rFonts w:ascii="Arial" w:hAnsi="Arial" w:cs="Arial"/>
          <w:noProof/>
          <w:szCs w:val="24"/>
        </w:rPr>
        <w:t xml:space="preserve">Schiavone, A., Abunassar, C., Hossainy, S., &amp; Zhao, L. G. (2016). Computational analysis of mechanical stress–strain interaction of a bioresorbable scaffold with blood vessel. </w:t>
      </w:r>
      <w:r w:rsidRPr="006917D8">
        <w:rPr>
          <w:rFonts w:ascii="Arial" w:hAnsi="Arial" w:cs="Arial"/>
          <w:i/>
          <w:iCs/>
          <w:noProof/>
          <w:szCs w:val="24"/>
        </w:rPr>
        <w:lastRenderedPageBreak/>
        <w:t>Journal of Biomechanics</w:t>
      </w:r>
      <w:r w:rsidRPr="006917D8">
        <w:rPr>
          <w:rFonts w:ascii="Arial" w:hAnsi="Arial" w:cs="Arial"/>
          <w:noProof/>
          <w:szCs w:val="24"/>
        </w:rPr>
        <w:t xml:space="preserve">, </w:t>
      </w:r>
      <w:r w:rsidRPr="006917D8">
        <w:rPr>
          <w:rFonts w:ascii="Arial" w:hAnsi="Arial" w:cs="Arial"/>
          <w:i/>
          <w:iCs/>
          <w:noProof/>
          <w:szCs w:val="24"/>
        </w:rPr>
        <w:t>49</w:t>
      </w:r>
      <w:r w:rsidRPr="006917D8">
        <w:rPr>
          <w:rFonts w:ascii="Arial" w:hAnsi="Arial" w:cs="Arial"/>
          <w:noProof/>
          <w:szCs w:val="24"/>
        </w:rPr>
        <w:t>(13), 2677–2683. https://doi.org/10.1016/j.jbiomech.2016.05.035</w:t>
      </w:r>
    </w:p>
    <w:p w14:paraId="038DD56B" w14:textId="77777777" w:rsidR="00A76991" w:rsidRPr="006917D8" w:rsidRDefault="00A76991" w:rsidP="00A76991">
      <w:pPr>
        <w:widowControl w:val="0"/>
        <w:autoSpaceDE w:val="0"/>
        <w:autoSpaceDN w:val="0"/>
        <w:adjustRightInd w:val="0"/>
        <w:spacing w:line="240" w:lineRule="auto"/>
        <w:ind w:left="480" w:hanging="480"/>
        <w:rPr>
          <w:rFonts w:ascii="Arial" w:hAnsi="Arial" w:cs="Arial"/>
          <w:noProof/>
        </w:rPr>
      </w:pPr>
      <w:r w:rsidRPr="006917D8">
        <w:rPr>
          <w:rFonts w:ascii="Arial" w:hAnsi="Arial" w:cs="Arial"/>
          <w:noProof/>
          <w:szCs w:val="24"/>
        </w:rPr>
        <w:t xml:space="preserve">Weisbecker, H., Pierce, D. M., Regitnig, P., &amp; Holzapfel, G. A. (2012). Layer-specific damage experiments and modeling of human thoracic and abdominal aortas with non-atherosclerotic intimal thickening. </w:t>
      </w:r>
      <w:r w:rsidRPr="006917D8">
        <w:rPr>
          <w:rFonts w:ascii="Arial" w:hAnsi="Arial" w:cs="Arial"/>
          <w:i/>
          <w:iCs/>
          <w:noProof/>
          <w:szCs w:val="24"/>
        </w:rPr>
        <w:t>Journal of the Mechanical Behavior of Biomedical Materials</w:t>
      </w:r>
      <w:r w:rsidRPr="006917D8">
        <w:rPr>
          <w:rFonts w:ascii="Arial" w:hAnsi="Arial" w:cs="Arial"/>
          <w:noProof/>
          <w:szCs w:val="24"/>
        </w:rPr>
        <w:t xml:space="preserve">, </w:t>
      </w:r>
      <w:r w:rsidRPr="006917D8">
        <w:rPr>
          <w:rFonts w:ascii="Arial" w:hAnsi="Arial" w:cs="Arial"/>
          <w:i/>
          <w:iCs/>
          <w:noProof/>
          <w:szCs w:val="24"/>
        </w:rPr>
        <w:t>12</w:t>
      </w:r>
      <w:r w:rsidRPr="006917D8">
        <w:rPr>
          <w:rFonts w:ascii="Arial" w:hAnsi="Arial" w:cs="Arial"/>
          <w:noProof/>
          <w:szCs w:val="24"/>
        </w:rPr>
        <w:t>, 93–106. https://doi.org/10.1016/j.jmbbm.2012.03.012</w:t>
      </w:r>
    </w:p>
    <w:p w14:paraId="35285C2E" w14:textId="0A316D68" w:rsidR="007B3B40" w:rsidRPr="00546C90" w:rsidRDefault="00D327C5" w:rsidP="004E2A21">
      <w:pPr>
        <w:spacing w:line="240" w:lineRule="auto"/>
        <w:rPr>
          <w:rFonts w:ascii="Arial" w:hAnsi="Arial" w:cs="Arial"/>
        </w:rPr>
      </w:pPr>
      <w:r w:rsidRPr="006917D8">
        <w:rPr>
          <w:rFonts w:ascii="Arial" w:hAnsi="Arial" w:cs="Arial"/>
        </w:rPr>
        <w:fldChar w:fldCharType="end"/>
      </w:r>
    </w:p>
    <w:sectPr w:rsidR="007B3B40" w:rsidRPr="00546C9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908C0" w14:textId="77777777" w:rsidR="00C9608E" w:rsidRDefault="00C9608E" w:rsidP="003E56E6">
      <w:pPr>
        <w:spacing w:line="240" w:lineRule="auto"/>
      </w:pPr>
      <w:r>
        <w:separator/>
      </w:r>
    </w:p>
  </w:endnote>
  <w:endnote w:type="continuationSeparator" w:id="0">
    <w:p w14:paraId="69829D99" w14:textId="77777777" w:rsidR="00C9608E" w:rsidRDefault="00C9608E" w:rsidP="003E56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2428693"/>
      <w:docPartObj>
        <w:docPartGallery w:val="Page Numbers (Bottom of Page)"/>
        <w:docPartUnique/>
      </w:docPartObj>
    </w:sdtPr>
    <w:sdtEndPr>
      <w:rPr>
        <w:noProof/>
      </w:rPr>
    </w:sdtEndPr>
    <w:sdtContent>
      <w:p w14:paraId="17F2E068" w14:textId="65E8C7C4" w:rsidR="0065616A" w:rsidRDefault="006561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EF3456" w14:textId="77777777" w:rsidR="0065616A" w:rsidRDefault="00656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1911745"/>
      <w:docPartObj>
        <w:docPartGallery w:val="Page Numbers (Bottom of Page)"/>
        <w:docPartUnique/>
      </w:docPartObj>
    </w:sdtPr>
    <w:sdtEndPr>
      <w:rPr>
        <w:noProof/>
      </w:rPr>
    </w:sdtEndPr>
    <w:sdtContent>
      <w:p w14:paraId="1A21BA79" w14:textId="3AF530E6" w:rsidR="003E56E6" w:rsidRDefault="003E56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8520FA" w14:textId="77777777" w:rsidR="003E56E6" w:rsidRDefault="003E5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45E59" w14:textId="77777777" w:rsidR="00C9608E" w:rsidRDefault="00C9608E" w:rsidP="003E56E6">
      <w:pPr>
        <w:spacing w:line="240" w:lineRule="auto"/>
      </w:pPr>
      <w:r>
        <w:separator/>
      </w:r>
    </w:p>
  </w:footnote>
  <w:footnote w:type="continuationSeparator" w:id="0">
    <w:p w14:paraId="2D3F8E00" w14:textId="77777777" w:rsidR="00C9608E" w:rsidRDefault="00C9608E" w:rsidP="003E56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A4119" w14:textId="77777777" w:rsidR="001A2D38" w:rsidRDefault="001A2D38">
    <w:pPr>
      <w:pStyle w:val="Header"/>
    </w:pPr>
  </w:p>
  <w:p w14:paraId="5B9058E9" w14:textId="77777777" w:rsidR="001A2D38" w:rsidRDefault="001A2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055358"/>
    <w:multiLevelType w:val="hybridMultilevel"/>
    <w:tmpl w:val="8708C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E6"/>
    <w:rsid w:val="00002231"/>
    <w:rsid w:val="00005248"/>
    <w:rsid w:val="000125D2"/>
    <w:rsid w:val="0003533E"/>
    <w:rsid w:val="00036A80"/>
    <w:rsid w:val="00036DDF"/>
    <w:rsid w:val="00051D85"/>
    <w:rsid w:val="00054BDD"/>
    <w:rsid w:val="00055F46"/>
    <w:rsid w:val="00056851"/>
    <w:rsid w:val="000659EE"/>
    <w:rsid w:val="00067053"/>
    <w:rsid w:val="000735F6"/>
    <w:rsid w:val="000C0736"/>
    <w:rsid w:val="000C2109"/>
    <w:rsid w:val="000D55FC"/>
    <w:rsid w:val="001001B7"/>
    <w:rsid w:val="0010713C"/>
    <w:rsid w:val="00111BFB"/>
    <w:rsid w:val="00117CC1"/>
    <w:rsid w:val="00127CAD"/>
    <w:rsid w:val="00137913"/>
    <w:rsid w:val="00140665"/>
    <w:rsid w:val="001448F5"/>
    <w:rsid w:val="0016073D"/>
    <w:rsid w:val="0016661E"/>
    <w:rsid w:val="00174123"/>
    <w:rsid w:val="001808BC"/>
    <w:rsid w:val="001810AB"/>
    <w:rsid w:val="001A2D38"/>
    <w:rsid w:val="001D7E65"/>
    <w:rsid w:val="002022D0"/>
    <w:rsid w:val="00206EFB"/>
    <w:rsid w:val="00213AD2"/>
    <w:rsid w:val="00223122"/>
    <w:rsid w:val="002256DC"/>
    <w:rsid w:val="00227D9C"/>
    <w:rsid w:val="00232613"/>
    <w:rsid w:val="00235DC2"/>
    <w:rsid w:val="0025065A"/>
    <w:rsid w:val="00264FB1"/>
    <w:rsid w:val="00272D90"/>
    <w:rsid w:val="00275909"/>
    <w:rsid w:val="00276BDD"/>
    <w:rsid w:val="002B3E01"/>
    <w:rsid w:val="002C2058"/>
    <w:rsid w:val="002E78B3"/>
    <w:rsid w:val="00305525"/>
    <w:rsid w:val="00307C74"/>
    <w:rsid w:val="00312F07"/>
    <w:rsid w:val="003202B6"/>
    <w:rsid w:val="0032564A"/>
    <w:rsid w:val="003273F3"/>
    <w:rsid w:val="00340CC8"/>
    <w:rsid w:val="003849F8"/>
    <w:rsid w:val="003867CC"/>
    <w:rsid w:val="003B654B"/>
    <w:rsid w:val="003C2145"/>
    <w:rsid w:val="003C45BA"/>
    <w:rsid w:val="003D4C9A"/>
    <w:rsid w:val="003E012F"/>
    <w:rsid w:val="003E39BC"/>
    <w:rsid w:val="003E454A"/>
    <w:rsid w:val="003E56E6"/>
    <w:rsid w:val="00424BAD"/>
    <w:rsid w:val="00432415"/>
    <w:rsid w:val="00441519"/>
    <w:rsid w:val="00453D84"/>
    <w:rsid w:val="004614D5"/>
    <w:rsid w:val="00472161"/>
    <w:rsid w:val="004A4426"/>
    <w:rsid w:val="004A7165"/>
    <w:rsid w:val="004B1092"/>
    <w:rsid w:val="004B1FC8"/>
    <w:rsid w:val="004B69A9"/>
    <w:rsid w:val="004D6BFB"/>
    <w:rsid w:val="004E2A21"/>
    <w:rsid w:val="004E79AC"/>
    <w:rsid w:val="004F60B9"/>
    <w:rsid w:val="004F76FB"/>
    <w:rsid w:val="00502B02"/>
    <w:rsid w:val="005165B5"/>
    <w:rsid w:val="005465DA"/>
    <w:rsid w:val="00546C90"/>
    <w:rsid w:val="005549A2"/>
    <w:rsid w:val="00567F71"/>
    <w:rsid w:val="00586376"/>
    <w:rsid w:val="005950AB"/>
    <w:rsid w:val="005B528D"/>
    <w:rsid w:val="005B7C62"/>
    <w:rsid w:val="005C064C"/>
    <w:rsid w:val="005C5261"/>
    <w:rsid w:val="006013D5"/>
    <w:rsid w:val="00602751"/>
    <w:rsid w:val="00602F9D"/>
    <w:rsid w:val="006067B8"/>
    <w:rsid w:val="006228B6"/>
    <w:rsid w:val="0064242C"/>
    <w:rsid w:val="0064393E"/>
    <w:rsid w:val="00644187"/>
    <w:rsid w:val="006537A6"/>
    <w:rsid w:val="0065616A"/>
    <w:rsid w:val="0066580E"/>
    <w:rsid w:val="00670943"/>
    <w:rsid w:val="006917D8"/>
    <w:rsid w:val="00695EF7"/>
    <w:rsid w:val="006B75CE"/>
    <w:rsid w:val="006D78B5"/>
    <w:rsid w:val="006E3488"/>
    <w:rsid w:val="007048B7"/>
    <w:rsid w:val="00704A9D"/>
    <w:rsid w:val="00720538"/>
    <w:rsid w:val="0072258A"/>
    <w:rsid w:val="007265DC"/>
    <w:rsid w:val="007333B1"/>
    <w:rsid w:val="0073405C"/>
    <w:rsid w:val="00745773"/>
    <w:rsid w:val="007532E7"/>
    <w:rsid w:val="00754D67"/>
    <w:rsid w:val="00762BB7"/>
    <w:rsid w:val="007869CE"/>
    <w:rsid w:val="007916EE"/>
    <w:rsid w:val="00797E16"/>
    <w:rsid w:val="007B3B40"/>
    <w:rsid w:val="007E287C"/>
    <w:rsid w:val="007E387F"/>
    <w:rsid w:val="008139B5"/>
    <w:rsid w:val="00816227"/>
    <w:rsid w:val="0084489D"/>
    <w:rsid w:val="008654BE"/>
    <w:rsid w:val="00872B23"/>
    <w:rsid w:val="00883E70"/>
    <w:rsid w:val="008A32F6"/>
    <w:rsid w:val="008A7BD5"/>
    <w:rsid w:val="008B7013"/>
    <w:rsid w:val="008F047E"/>
    <w:rsid w:val="008F18FC"/>
    <w:rsid w:val="008F1A85"/>
    <w:rsid w:val="00910A8C"/>
    <w:rsid w:val="009147D7"/>
    <w:rsid w:val="00921D30"/>
    <w:rsid w:val="00932FC3"/>
    <w:rsid w:val="0093336C"/>
    <w:rsid w:val="00940B97"/>
    <w:rsid w:val="00956518"/>
    <w:rsid w:val="009566AE"/>
    <w:rsid w:val="00956A36"/>
    <w:rsid w:val="00962F4F"/>
    <w:rsid w:val="00967C9A"/>
    <w:rsid w:val="00970603"/>
    <w:rsid w:val="009811A9"/>
    <w:rsid w:val="0099638E"/>
    <w:rsid w:val="009A4072"/>
    <w:rsid w:val="009B7298"/>
    <w:rsid w:val="009C3E79"/>
    <w:rsid w:val="009C69EC"/>
    <w:rsid w:val="009F1439"/>
    <w:rsid w:val="009F1D91"/>
    <w:rsid w:val="009F7713"/>
    <w:rsid w:val="00A00B35"/>
    <w:rsid w:val="00A01DC8"/>
    <w:rsid w:val="00A03B9B"/>
    <w:rsid w:val="00A152DF"/>
    <w:rsid w:val="00A305B9"/>
    <w:rsid w:val="00A41450"/>
    <w:rsid w:val="00A4229D"/>
    <w:rsid w:val="00A479F4"/>
    <w:rsid w:val="00A51FC7"/>
    <w:rsid w:val="00A62773"/>
    <w:rsid w:val="00A74264"/>
    <w:rsid w:val="00A76991"/>
    <w:rsid w:val="00A83B52"/>
    <w:rsid w:val="00A83FB3"/>
    <w:rsid w:val="00A923BD"/>
    <w:rsid w:val="00AA37DB"/>
    <w:rsid w:val="00AA5A1D"/>
    <w:rsid w:val="00AA7594"/>
    <w:rsid w:val="00AC013E"/>
    <w:rsid w:val="00AC69A6"/>
    <w:rsid w:val="00AC6CE5"/>
    <w:rsid w:val="00AF2F95"/>
    <w:rsid w:val="00B002B6"/>
    <w:rsid w:val="00B008D0"/>
    <w:rsid w:val="00B01E54"/>
    <w:rsid w:val="00B146C8"/>
    <w:rsid w:val="00B30A7B"/>
    <w:rsid w:val="00B30AD5"/>
    <w:rsid w:val="00B66D46"/>
    <w:rsid w:val="00B71205"/>
    <w:rsid w:val="00B923FB"/>
    <w:rsid w:val="00B92805"/>
    <w:rsid w:val="00B9729F"/>
    <w:rsid w:val="00BA7CEE"/>
    <w:rsid w:val="00BE4F53"/>
    <w:rsid w:val="00BE6F70"/>
    <w:rsid w:val="00BF51B5"/>
    <w:rsid w:val="00C02C08"/>
    <w:rsid w:val="00C100E1"/>
    <w:rsid w:val="00C137F5"/>
    <w:rsid w:val="00C21962"/>
    <w:rsid w:val="00C416FD"/>
    <w:rsid w:val="00C506C9"/>
    <w:rsid w:val="00C53D0B"/>
    <w:rsid w:val="00C54AE1"/>
    <w:rsid w:val="00C87660"/>
    <w:rsid w:val="00C942E0"/>
    <w:rsid w:val="00C9608E"/>
    <w:rsid w:val="00CA25D9"/>
    <w:rsid w:val="00CB182E"/>
    <w:rsid w:val="00CD23FB"/>
    <w:rsid w:val="00CE6547"/>
    <w:rsid w:val="00D02972"/>
    <w:rsid w:val="00D1119E"/>
    <w:rsid w:val="00D11A5D"/>
    <w:rsid w:val="00D31967"/>
    <w:rsid w:val="00D327C5"/>
    <w:rsid w:val="00D47DBE"/>
    <w:rsid w:val="00D55C9D"/>
    <w:rsid w:val="00D76454"/>
    <w:rsid w:val="00D860B3"/>
    <w:rsid w:val="00D86FD2"/>
    <w:rsid w:val="00D9050A"/>
    <w:rsid w:val="00D97031"/>
    <w:rsid w:val="00DA6E8B"/>
    <w:rsid w:val="00DB5EF7"/>
    <w:rsid w:val="00DD4A7A"/>
    <w:rsid w:val="00DE3AD2"/>
    <w:rsid w:val="00DE6424"/>
    <w:rsid w:val="00DF6944"/>
    <w:rsid w:val="00E2309F"/>
    <w:rsid w:val="00E23A54"/>
    <w:rsid w:val="00E259E6"/>
    <w:rsid w:val="00E40F7E"/>
    <w:rsid w:val="00E527BC"/>
    <w:rsid w:val="00E54D3C"/>
    <w:rsid w:val="00E6225F"/>
    <w:rsid w:val="00E6530C"/>
    <w:rsid w:val="00E85B19"/>
    <w:rsid w:val="00E878F8"/>
    <w:rsid w:val="00E922BA"/>
    <w:rsid w:val="00EB109F"/>
    <w:rsid w:val="00EC323F"/>
    <w:rsid w:val="00ED6402"/>
    <w:rsid w:val="00ED74CC"/>
    <w:rsid w:val="00EF4240"/>
    <w:rsid w:val="00F050AB"/>
    <w:rsid w:val="00F14A01"/>
    <w:rsid w:val="00F325D5"/>
    <w:rsid w:val="00F43F80"/>
    <w:rsid w:val="00F578B2"/>
    <w:rsid w:val="00F87995"/>
    <w:rsid w:val="00FA35C3"/>
    <w:rsid w:val="00FA66E8"/>
    <w:rsid w:val="00FB1EB4"/>
    <w:rsid w:val="00FB7F03"/>
    <w:rsid w:val="00FD601B"/>
    <w:rsid w:val="00FE368A"/>
    <w:rsid w:val="00FE570C"/>
    <w:rsid w:val="00FE69CE"/>
    <w:rsid w:val="00FF261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505377"/>
  <w15:chartTrackingRefBased/>
  <w15:docId w15:val="{83711980-A790-4506-BAA3-D9EF066E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6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
    <w:name w:val="Light Grid"/>
    <w:basedOn w:val="TableNormal"/>
    <w:uiPriority w:val="62"/>
    <w:rsid w:val="00002231"/>
    <w:pPr>
      <w:spacing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val="0"/>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val="0"/>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val="0"/>
        <w:bCs/>
      </w:rPr>
    </w:tblStylePr>
    <w:tblStylePr w:type="lastCol">
      <w:rPr>
        <w:rFonts w:asciiTheme="majorHAnsi" w:eastAsiaTheme="majorEastAsia" w:hAnsiTheme="majorHAnsi" w:cstheme="majorBidi"/>
        <w:b w:val="0"/>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3E56E6"/>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E56E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6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6E6"/>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3E56E6"/>
    <w:rPr>
      <w:color w:val="5A5A5A" w:themeColor="text1" w:themeTint="A5"/>
      <w:spacing w:val="15"/>
    </w:rPr>
  </w:style>
  <w:style w:type="paragraph" w:styleId="BalloonText">
    <w:name w:val="Balloon Text"/>
    <w:basedOn w:val="Normal"/>
    <w:link w:val="BalloonTextChar"/>
    <w:uiPriority w:val="99"/>
    <w:semiHidden/>
    <w:unhideWhenUsed/>
    <w:rsid w:val="003E56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6E6"/>
    <w:rPr>
      <w:rFonts w:ascii="Segoe UI" w:hAnsi="Segoe UI" w:cs="Segoe UI"/>
      <w:sz w:val="18"/>
      <w:szCs w:val="18"/>
    </w:rPr>
  </w:style>
  <w:style w:type="paragraph" w:styleId="Header">
    <w:name w:val="header"/>
    <w:basedOn w:val="Normal"/>
    <w:link w:val="HeaderChar"/>
    <w:uiPriority w:val="99"/>
    <w:unhideWhenUsed/>
    <w:rsid w:val="003E56E6"/>
    <w:pPr>
      <w:tabs>
        <w:tab w:val="center" w:pos="4513"/>
        <w:tab w:val="right" w:pos="9026"/>
      </w:tabs>
      <w:spacing w:line="240" w:lineRule="auto"/>
    </w:pPr>
  </w:style>
  <w:style w:type="character" w:customStyle="1" w:styleId="HeaderChar">
    <w:name w:val="Header Char"/>
    <w:basedOn w:val="DefaultParagraphFont"/>
    <w:link w:val="Header"/>
    <w:uiPriority w:val="99"/>
    <w:rsid w:val="003E56E6"/>
  </w:style>
  <w:style w:type="paragraph" w:styleId="Footer">
    <w:name w:val="footer"/>
    <w:basedOn w:val="Normal"/>
    <w:link w:val="FooterChar"/>
    <w:uiPriority w:val="99"/>
    <w:unhideWhenUsed/>
    <w:rsid w:val="003E56E6"/>
    <w:pPr>
      <w:tabs>
        <w:tab w:val="center" w:pos="4513"/>
        <w:tab w:val="right" w:pos="9026"/>
      </w:tabs>
      <w:spacing w:line="240" w:lineRule="auto"/>
    </w:pPr>
  </w:style>
  <w:style w:type="character" w:customStyle="1" w:styleId="FooterChar">
    <w:name w:val="Footer Char"/>
    <w:basedOn w:val="DefaultParagraphFont"/>
    <w:link w:val="Footer"/>
    <w:uiPriority w:val="99"/>
    <w:rsid w:val="003E56E6"/>
  </w:style>
  <w:style w:type="character" w:styleId="Hyperlink">
    <w:name w:val="Hyperlink"/>
    <w:basedOn w:val="DefaultParagraphFont"/>
    <w:uiPriority w:val="99"/>
    <w:unhideWhenUsed/>
    <w:rsid w:val="00FB1EB4"/>
    <w:rPr>
      <w:color w:val="0000FF"/>
      <w:u w:val="single"/>
    </w:rPr>
  </w:style>
  <w:style w:type="paragraph" w:styleId="ListParagraph">
    <w:name w:val="List Paragraph"/>
    <w:basedOn w:val="Normal"/>
    <w:uiPriority w:val="34"/>
    <w:qFormat/>
    <w:rsid w:val="00BE6F70"/>
    <w:pPr>
      <w:ind w:left="720"/>
      <w:contextualSpacing/>
    </w:pPr>
  </w:style>
  <w:style w:type="character" w:styleId="CommentReference">
    <w:name w:val="annotation reference"/>
    <w:basedOn w:val="DefaultParagraphFont"/>
    <w:uiPriority w:val="99"/>
    <w:semiHidden/>
    <w:unhideWhenUsed/>
    <w:rsid w:val="00C942E0"/>
    <w:rPr>
      <w:sz w:val="16"/>
      <w:szCs w:val="16"/>
    </w:rPr>
  </w:style>
  <w:style w:type="paragraph" w:styleId="CommentText">
    <w:name w:val="annotation text"/>
    <w:basedOn w:val="Normal"/>
    <w:link w:val="CommentTextChar"/>
    <w:uiPriority w:val="99"/>
    <w:semiHidden/>
    <w:unhideWhenUsed/>
    <w:rsid w:val="00C942E0"/>
    <w:pPr>
      <w:spacing w:line="240" w:lineRule="auto"/>
    </w:pPr>
    <w:rPr>
      <w:sz w:val="20"/>
      <w:szCs w:val="20"/>
    </w:rPr>
  </w:style>
  <w:style w:type="character" w:customStyle="1" w:styleId="CommentTextChar">
    <w:name w:val="Comment Text Char"/>
    <w:basedOn w:val="DefaultParagraphFont"/>
    <w:link w:val="CommentText"/>
    <w:uiPriority w:val="99"/>
    <w:semiHidden/>
    <w:rsid w:val="00C942E0"/>
    <w:rPr>
      <w:sz w:val="20"/>
      <w:szCs w:val="20"/>
    </w:rPr>
  </w:style>
  <w:style w:type="paragraph" w:styleId="CommentSubject">
    <w:name w:val="annotation subject"/>
    <w:basedOn w:val="CommentText"/>
    <w:next w:val="CommentText"/>
    <w:link w:val="CommentSubjectChar"/>
    <w:uiPriority w:val="99"/>
    <w:semiHidden/>
    <w:unhideWhenUsed/>
    <w:rsid w:val="00C942E0"/>
    <w:rPr>
      <w:b/>
      <w:bCs/>
    </w:rPr>
  </w:style>
  <w:style w:type="character" w:customStyle="1" w:styleId="CommentSubjectChar">
    <w:name w:val="Comment Subject Char"/>
    <w:basedOn w:val="CommentTextChar"/>
    <w:link w:val="CommentSubject"/>
    <w:uiPriority w:val="99"/>
    <w:semiHidden/>
    <w:rsid w:val="00C942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package" Target="embeddings/Microsoft_Visio_Drawing2.vsd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package" Target="embeddings/Microsoft_Visio_Drawing3.vsdx"/><Relationship Id="rId27" Type="http://schemas.openxmlformats.org/officeDocument/2006/relationships/image" Target="media/image11.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12D48FD714BA429D1A233797B227A8" ma:contentTypeVersion="12" ma:contentTypeDescription="Create a new document." ma:contentTypeScope="" ma:versionID="9c7e9519ec2eabdfe76fdc5fd033d99a">
  <xsd:schema xmlns:xsd="http://www.w3.org/2001/XMLSchema" xmlns:xs="http://www.w3.org/2001/XMLSchema" xmlns:p="http://schemas.microsoft.com/office/2006/metadata/properties" xmlns:ns3="fed0414f-9f51-401e-827b-a8c57b0555b9" xmlns:ns4="db0645f4-2af9-4dce-b774-fa0c19e05152" targetNamespace="http://schemas.microsoft.com/office/2006/metadata/properties" ma:root="true" ma:fieldsID="dca0e68a4ef7423fad71c25112e07c27" ns3:_="" ns4:_="">
    <xsd:import namespace="fed0414f-9f51-401e-827b-a8c57b0555b9"/>
    <xsd:import namespace="db0645f4-2af9-4dce-b774-fa0c19e051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0414f-9f51-401e-827b-a8c57b055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0645f4-2af9-4dce-b774-fa0c19e0515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DB587B-B046-447E-BE8A-A0E894DD3C7C}">
  <ds:schemaRefs>
    <ds:schemaRef ds:uri="http://schemas.microsoft.com/sharepoint/v3/contenttype/forms"/>
  </ds:schemaRefs>
</ds:datastoreItem>
</file>

<file path=customXml/itemProps2.xml><?xml version="1.0" encoding="utf-8"?>
<ds:datastoreItem xmlns:ds="http://schemas.openxmlformats.org/officeDocument/2006/customXml" ds:itemID="{5B6E035A-37A6-4132-8CBD-C5A6992ADC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C21301-D9BC-43C6-B6A1-952E2A224046}">
  <ds:schemaRefs>
    <ds:schemaRef ds:uri="http://schemas.openxmlformats.org/officeDocument/2006/bibliography"/>
  </ds:schemaRefs>
</ds:datastoreItem>
</file>

<file path=customXml/itemProps4.xml><?xml version="1.0" encoding="utf-8"?>
<ds:datastoreItem xmlns:ds="http://schemas.openxmlformats.org/officeDocument/2006/customXml" ds:itemID="{F61177DE-F022-4E3F-B727-D4FD89B20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0414f-9f51-401e-827b-a8c57b0555b9"/>
    <ds:schemaRef ds:uri="db0645f4-2af9-4dce-b774-fa0c19e05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11461</Words>
  <Characters>65333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 He</dc:creator>
  <cp:keywords/>
  <dc:description/>
  <cp:lastModifiedBy>Elaine Collis</cp:lastModifiedBy>
  <cp:revision>2</cp:revision>
  <dcterms:created xsi:type="dcterms:W3CDTF">2021-04-20T08:13:00Z</dcterms:created>
  <dcterms:modified xsi:type="dcterms:W3CDTF">2021-04-20T08:13:00Z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80fd9238-209f-36e6-9aa4-9a2bd69a7d9a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0x0101006F12D48FD714BA429D1A233797B227A8</vt:lpwstr>
  </property>
</Properties>
</file>