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C6D7" w14:textId="510462A2" w:rsidR="00CB58B1" w:rsidRPr="00CB58B1" w:rsidRDefault="00CB58B1" w:rsidP="007767DD">
      <w:pPr>
        <w:spacing w:line="360" w:lineRule="auto"/>
        <w:jc w:val="both"/>
        <w:rPr>
          <w:rFonts w:ascii="Times New Roman" w:hAnsi="Times New Roman" w:cs="Times New Roman"/>
          <w:b/>
          <w:bCs/>
        </w:rPr>
      </w:pPr>
      <w:r w:rsidRPr="00DD094F">
        <w:rPr>
          <w:rFonts w:ascii="Times New Roman" w:eastAsia="Times New Roman" w:hAnsi="Times New Roman" w:cs="Times New Roman"/>
          <w:b/>
          <w:bCs/>
        </w:rPr>
        <w:t>Supplementary M</w:t>
      </w:r>
      <w:r w:rsidR="002D653E" w:rsidRPr="00DD094F">
        <w:rPr>
          <w:rFonts w:ascii="Times New Roman" w:eastAsia="Times New Roman" w:hAnsi="Times New Roman" w:cs="Times New Roman"/>
          <w:b/>
          <w:bCs/>
        </w:rPr>
        <w:t>ethods</w:t>
      </w:r>
    </w:p>
    <w:p w14:paraId="4DF85CD5" w14:textId="77777777" w:rsidR="00BF3918" w:rsidRDefault="00BF3918" w:rsidP="007767DD">
      <w:pPr>
        <w:spacing w:line="360" w:lineRule="auto"/>
        <w:jc w:val="both"/>
        <w:rPr>
          <w:rFonts w:ascii="Times New Roman" w:hAnsi="Times New Roman" w:cs="Times New Roman"/>
          <w:i/>
        </w:rPr>
      </w:pPr>
    </w:p>
    <w:p w14:paraId="229F6968" w14:textId="4B6A7431" w:rsidR="007767DD" w:rsidRPr="00C339F0" w:rsidRDefault="007767DD" w:rsidP="007767DD">
      <w:pPr>
        <w:spacing w:line="360" w:lineRule="auto"/>
        <w:jc w:val="both"/>
        <w:rPr>
          <w:rFonts w:ascii="Times New Roman" w:hAnsi="Times New Roman" w:cs="Times New Roman"/>
          <w:i/>
        </w:rPr>
      </w:pPr>
      <w:r w:rsidRPr="00C339F0">
        <w:rPr>
          <w:rFonts w:ascii="Times New Roman" w:hAnsi="Times New Roman" w:cs="Times New Roman"/>
          <w:i/>
        </w:rPr>
        <w:t>Exclusion criteria</w:t>
      </w:r>
    </w:p>
    <w:p w14:paraId="589B7E84" w14:textId="77777777" w:rsidR="007767DD" w:rsidRPr="00C339F0" w:rsidRDefault="007767DD" w:rsidP="007767DD">
      <w:pPr>
        <w:spacing w:line="360" w:lineRule="auto"/>
        <w:jc w:val="both"/>
        <w:rPr>
          <w:rFonts w:ascii="Times New Roman" w:hAnsi="Times New Roman" w:cs="Times New Roman"/>
        </w:rPr>
      </w:pPr>
      <w:r w:rsidRPr="00C339F0">
        <w:rPr>
          <w:rFonts w:ascii="Times New Roman" w:hAnsi="Times New Roman" w:cs="Times New Roman"/>
        </w:rPr>
        <w:t>Participants were excluded if they consumed &gt;30 units alcohol per week, had a BMI &gt;30kg/m</w:t>
      </w:r>
      <w:r w:rsidRPr="00C339F0">
        <w:rPr>
          <w:rFonts w:ascii="Times New Roman" w:hAnsi="Times New Roman" w:cs="Times New Roman"/>
          <w:vertAlign w:val="superscript"/>
        </w:rPr>
        <w:t>2</w:t>
      </w:r>
      <w:r w:rsidRPr="00C339F0">
        <w:rPr>
          <w:rFonts w:ascii="Times New Roman" w:hAnsi="Times New Roman" w:cs="Times New Roman"/>
        </w:rPr>
        <w:t>, blood pressure &gt;140/90mmHg, history of repetitive gastric reflux or intolerance or allergy to beetroot, or were taking the following medications: corticosteroids, sildenafil, aspirin, non-steroidal anti-inflammatory drugs (NSAIDs), anti-hypertensives (Ca</w:t>
      </w:r>
      <w:r w:rsidRPr="00C339F0">
        <w:rPr>
          <w:rFonts w:ascii="Times New Roman" w:hAnsi="Times New Roman" w:cs="Times New Roman"/>
          <w:vertAlign w:val="superscript"/>
        </w:rPr>
        <w:t>2+</w:t>
      </w:r>
      <w:r w:rsidRPr="00C339F0">
        <w:rPr>
          <w:rFonts w:ascii="Times New Roman" w:hAnsi="Times New Roman" w:cs="Times New Roman"/>
        </w:rPr>
        <w:t xml:space="preserve"> channel blockers, ACE inhibitors), diuretics, beta-blockers, antacids, anticoagulants, nitrate-derived agents, and anti-</w:t>
      </w:r>
      <w:proofErr w:type="spellStart"/>
      <w:r w:rsidRPr="00C339F0">
        <w:rPr>
          <w:rFonts w:ascii="Times New Roman" w:hAnsi="Times New Roman" w:cs="Times New Roman"/>
        </w:rPr>
        <w:t>cholinergics</w:t>
      </w:r>
      <w:proofErr w:type="spellEnd"/>
      <w:r w:rsidRPr="00C339F0">
        <w:rPr>
          <w:rFonts w:ascii="Times New Roman" w:hAnsi="Times New Roman" w:cs="Times New Roman"/>
        </w:rPr>
        <w:t>.</w:t>
      </w:r>
    </w:p>
    <w:p w14:paraId="60516F95" w14:textId="77777777" w:rsidR="007767DD" w:rsidRPr="00C339F0" w:rsidRDefault="007767DD" w:rsidP="007767DD">
      <w:pPr>
        <w:spacing w:line="360" w:lineRule="auto"/>
        <w:jc w:val="both"/>
        <w:rPr>
          <w:rFonts w:ascii="Times New Roman" w:hAnsi="Times New Roman" w:cs="Times New Roman"/>
        </w:rPr>
      </w:pPr>
    </w:p>
    <w:p w14:paraId="2F329AF8" w14:textId="4C46C38D" w:rsidR="007767DD" w:rsidRPr="00C339F0" w:rsidRDefault="007767DD" w:rsidP="007767DD">
      <w:pPr>
        <w:spacing w:line="360" w:lineRule="auto"/>
        <w:jc w:val="both"/>
        <w:rPr>
          <w:rFonts w:ascii="Times New Roman" w:hAnsi="Times New Roman" w:cs="Times New Roman"/>
          <w:i/>
        </w:rPr>
      </w:pPr>
      <w:r w:rsidRPr="00C339F0">
        <w:rPr>
          <w:rFonts w:ascii="Times New Roman" w:hAnsi="Times New Roman" w:cs="Times New Roman"/>
          <w:i/>
        </w:rPr>
        <w:t>Sample analysis</w:t>
      </w:r>
    </w:p>
    <w:p w14:paraId="436FEEE4" w14:textId="51C8E2D8" w:rsidR="007767DD" w:rsidRDefault="007767DD" w:rsidP="007767DD">
      <w:pPr>
        <w:spacing w:line="360" w:lineRule="auto"/>
        <w:jc w:val="both"/>
        <w:rPr>
          <w:rFonts w:ascii="Times New Roman" w:hAnsi="Times New Roman" w:cs="Times New Roman"/>
        </w:rPr>
      </w:pPr>
      <w:r w:rsidRPr="00C339F0">
        <w:rPr>
          <w:rFonts w:ascii="Times New Roman" w:hAnsi="Times New Roman" w:cs="Times New Roman"/>
        </w:rPr>
        <w:t>To prepare the solutions, firstly a 1M NaOH solution was prepared by dissolving 40g NaOH pellets in 1L water. To make the DTPA solution, 39.3mg DTPA was suspended in 5</w:t>
      </w:r>
      <w:r w:rsidR="00114D27">
        <w:rPr>
          <w:rFonts w:ascii="Times New Roman" w:hAnsi="Times New Roman" w:cs="Times New Roman"/>
        </w:rPr>
        <w:t>mL</w:t>
      </w:r>
      <w:r w:rsidRPr="00C339F0">
        <w:rPr>
          <w:rFonts w:ascii="Times New Roman" w:hAnsi="Times New Roman" w:cs="Times New Roman"/>
        </w:rPr>
        <w:t xml:space="preserve"> distilled water. With the contents being constantly stirred, 1M NaOH was added drop wise until the DTPA was completely dissolved. The final volume was made up to 10</w:t>
      </w:r>
      <w:r w:rsidR="00114D27">
        <w:rPr>
          <w:rFonts w:ascii="Times New Roman" w:hAnsi="Times New Roman" w:cs="Times New Roman"/>
        </w:rPr>
        <w:t>mL</w:t>
      </w:r>
      <w:r w:rsidRPr="00C339F0">
        <w:rPr>
          <w:rFonts w:ascii="Times New Roman" w:hAnsi="Times New Roman" w:cs="Times New Roman"/>
        </w:rPr>
        <w:t xml:space="preserve"> with distilled water. This solution was stable at room temperature and was prepared twice over the course of the study. Before each visit the NEM solution was prepared by dissolving 12.5mg NEM in 10</w:t>
      </w:r>
      <w:r w:rsidR="00114D27">
        <w:rPr>
          <w:rFonts w:ascii="Times New Roman" w:hAnsi="Times New Roman" w:cs="Times New Roman"/>
        </w:rPr>
        <w:t>mL</w:t>
      </w:r>
      <w:r w:rsidRPr="00C339F0">
        <w:rPr>
          <w:rFonts w:ascii="Times New Roman" w:hAnsi="Times New Roman" w:cs="Times New Roman"/>
        </w:rPr>
        <w:t xml:space="preserve"> of distilled water. This was kept at 4°C and fresh reagent was prepared for each study visit.</w:t>
      </w:r>
    </w:p>
    <w:p w14:paraId="22B36484" w14:textId="77777777" w:rsidR="00ED5A2B" w:rsidRPr="00C339F0" w:rsidRDefault="00ED5A2B" w:rsidP="007767DD">
      <w:pPr>
        <w:spacing w:line="360" w:lineRule="auto"/>
        <w:jc w:val="both"/>
        <w:rPr>
          <w:rFonts w:ascii="Times New Roman" w:hAnsi="Times New Roman" w:cs="Times New Roman"/>
        </w:rPr>
      </w:pPr>
    </w:p>
    <w:p w14:paraId="382C6FA7" w14:textId="77777777" w:rsidR="007767DD" w:rsidRPr="00C339F0" w:rsidRDefault="007767DD" w:rsidP="007767DD">
      <w:pPr>
        <w:spacing w:line="360" w:lineRule="auto"/>
        <w:jc w:val="both"/>
        <w:rPr>
          <w:rFonts w:ascii="Times New Roman" w:hAnsi="Times New Roman" w:cs="Times New Roman"/>
        </w:rPr>
      </w:pPr>
      <w:r w:rsidRPr="00C339F0">
        <w:rPr>
          <w:rFonts w:ascii="Times New Roman" w:hAnsi="Times New Roman" w:cs="Times New Roman"/>
        </w:rPr>
        <w:t>The required ethanol was first chilled to 0°C. 0.5</w:t>
      </w:r>
      <w:r w:rsidR="00114D27">
        <w:rPr>
          <w:rFonts w:ascii="Times New Roman" w:hAnsi="Times New Roman" w:cs="Times New Roman"/>
        </w:rPr>
        <w:t>mL</w:t>
      </w:r>
      <w:r w:rsidRPr="00C339F0">
        <w:rPr>
          <w:rFonts w:ascii="Times New Roman" w:hAnsi="Times New Roman" w:cs="Times New Roman"/>
        </w:rPr>
        <w:t xml:space="preserve"> of each sample was placed in a 1.5</w:t>
      </w:r>
      <w:r w:rsidR="00114D27">
        <w:rPr>
          <w:rFonts w:ascii="Times New Roman" w:hAnsi="Times New Roman" w:cs="Times New Roman"/>
        </w:rPr>
        <w:t>mL</w:t>
      </w:r>
      <w:r w:rsidRPr="00C339F0">
        <w:rPr>
          <w:rFonts w:ascii="Times New Roman" w:hAnsi="Times New Roman" w:cs="Times New Roman"/>
        </w:rPr>
        <w:t xml:space="preserve"> microcentrifuge tube and 1</w:t>
      </w:r>
      <w:r w:rsidR="00114D27">
        <w:rPr>
          <w:rFonts w:ascii="Times New Roman" w:hAnsi="Times New Roman" w:cs="Times New Roman"/>
        </w:rPr>
        <w:t>mL</w:t>
      </w:r>
      <w:r w:rsidRPr="00C339F0">
        <w:rPr>
          <w:rFonts w:ascii="Times New Roman" w:hAnsi="Times New Roman" w:cs="Times New Roman"/>
        </w:rPr>
        <w:t xml:space="preserve"> of cold ethanol was added. The tubes were then vortexed for 10 seconds and placed at 0°C for 30 minutes. Samples were centrifuged at 14,000rpm for five minutes. The supernatant was removed for the determination of nitrate and nitrite. Calibration of the device is ensured by a maintenance contract with Analytix and a service is provided twice per year. The internal calibration of the analysis is performed by using serial dilutions of nitrate and nitrite standards with known concentrations. In addition, each run of the samples is preceded by the injection of a standard with known concentration to ensure the accuracy of the results.</w:t>
      </w:r>
    </w:p>
    <w:p w14:paraId="1BC436CE" w14:textId="77777777" w:rsidR="007767DD" w:rsidRPr="00C339F0" w:rsidRDefault="007767DD" w:rsidP="007767DD">
      <w:pPr>
        <w:spacing w:line="360" w:lineRule="auto"/>
        <w:jc w:val="both"/>
        <w:rPr>
          <w:rFonts w:ascii="Times New Roman" w:hAnsi="Times New Roman" w:cs="Times New Roman"/>
        </w:rPr>
      </w:pPr>
      <w:r w:rsidRPr="00C339F0">
        <w:rPr>
          <w:rFonts w:ascii="Times New Roman" w:hAnsi="Times New Roman" w:cs="Times New Roman"/>
        </w:rPr>
        <w:t xml:space="preserve">Briefly, prior to analysis a standard curve was created for both nitrate and nitrite and an equation was derived to calculate nitrate and nitrite concentrations by fitting a linear regression </w:t>
      </w:r>
      <w:r w:rsidRPr="00C339F0">
        <w:rPr>
          <w:rFonts w:ascii="Times New Roman" w:hAnsi="Times New Roman" w:cs="Times New Roman"/>
        </w:rPr>
        <w:lastRenderedPageBreak/>
        <w:t>line to the standard concentrations. R</w:t>
      </w:r>
      <w:r w:rsidRPr="00C339F0">
        <w:rPr>
          <w:rFonts w:ascii="Times New Roman" w:hAnsi="Times New Roman" w:cs="Times New Roman"/>
          <w:vertAlign w:val="superscript"/>
        </w:rPr>
        <w:t>2</w:t>
      </w:r>
      <w:r w:rsidRPr="00C339F0">
        <w:rPr>
          <w:rFonts w:ascii="Times New Roman" w:hAnsi="Times New Roman" w:cs="Times New Roman"/>
        </w:rPr>
        <w:t xml:space="preserve"> was greater than 0.99. Diluted samples were injected into the purge vessel using a glass Hamilton (Fisher) syringe with an injection volume ranging from 10</w:t>
      </w:r>
      <w:r w:rsidRPr="00C339F0">
        <w:rPr>
          <w:rFonts w:ascii="Times New Roman" w:hAnsi="Times New Roman" w:cs="Times New Roman"/>
        </w:rPr>
        <w:sym w:font="Symbol" w:char="F06D"/>
      </w:r>
      <w:r w:rsidR="00F369ED">
        <w:rPr>
          <w:rFonts w:ascii="Times New Roman" w:hAnsi="Times New Roman" w:cs="Times New Roman"/>
        </w:rPr>
        <w:t>L</w:t>
      </w:r>
      <w:r w:rsidRPr="00C339F0">
        <w:rPr>
          <w:rFonts w:ascii="Times New Roman" w:hAnsi="Times New Roman" w:cs="Times New Roman"/>
        </w:rPr>
        <w:t xml:space="preserve"> to 100</w:t>
      </w:r>
      <w:r w:rsidRPr="00C339F0">
        <w:rPr>
          <w:rFonts w:ascii="Times New Roman" w:hAnsi="Times New Roman" w:cs="Times New Roman"/>
        </w:rPr>
        <w:sym w:font="Symbol" w:char="F06D"/>
      </w:r>
      <w:r w:rsidR="00F369ED">
        <w:rPr>
          <w:rFonts w:ascii="Times New Roman" w:hAnsi="Times New Roman" w:cs="Times New Roman"/>
        </w:rPr>
        <w:t>L</w:t>
      </w:r>
      <w:r w:rsidRPr="00C339F0">
        <w:rPr>
          <w:rFonts w:ascii="Times New Roman" w:hAnsi="Times New Roman" w:cs="Times New Roman"/>
        </w:rPr>
        <w:t xml:space="preserve">. The injection volume was adjusted to maximise the sensitivity of the measurements and taken into account when calculating the final concentrations. The area under the curve of the peaks was calculated automatically by the Analytix software, which minimises the risk of between-operator differences in the calculation of results, and was used to calculate the concentrations of the samples using the standard regression equations. Samples were analysed in </w:t>
      </w:r>
      <w:proofErr w:type="spellStart"/>
      <w:r w:rsidRPr="00C339F0">
        <w:rPr>
          <w:rFonts w:ascii="Times New Roman" w:hAnsi="Times New Roman" w:cs="Times New Roman"/>
        </w:rPr>
        <w:t>singlicate</w:t>
      </w:r>
      <w:proofErr w:type="spellEnd"/>
      <w:r w:rsidRPr="00C339F0">
        <w:rPr>
          <w:rFonts w:ascii="Times New Roman" w:hAnsi="Times New Roman" w:cs="Times New Roman"/>
        </w:rPr>
        <w:t xml:space="preserve"> and quality of the peaks was checked visually based on height, fronting and tailing. Analyses were repeated for samples with low quality peaks. The assay performance of the nitrate and nitrite analysis is high, with a within-operator coefficient of variation of 91% for nitrate and 89% for nitrite after a series of ten consecutive manual injections of a standard solution with known concentration. </w:t>
      </w:r>
    </w:p>
    <w:p w14:paraId="51774E35" w14:textId="77777777" w:rsidR="007767DD" w:rsidRPr="00C339F0" w:rsidRDefault="007767DD" w:rsidP="007767DD">
      <w:pPr>
        <w:spacing w:line="360" w:lineRule="auto"/>
        <w:jc w:val="both"/>
        <w:rPr>
          <w:rFonts w:ascii="Times New Roman" w:hAnsi="Times New Roman" w:cs="Times New Roman"/>
        </w:rPr>
      </w:pPr>
    </w:p>
    <w:p w14:paraId="4120AE11" w14:textId="77777777" w:rsidR="000311D6" w:rsidRPr="00C339F0" w:rsidRDefault="004E587B">
      <w:pPr>
        <w:rPr>
          <w:rFonts w:ascii="Times New Roman" w:hAnsi="Times New Roman" w:cs="Times New Roman"/>
        </w:rPr>
      </w:pPr>
    </w:p>
    <w:p w14:paraId="1DC29C3E" w14:textId="77777777" w:rsidR="007767DD" w:rsidRPr="00C339F0" w:rsidRDefault="007767DD">
      <w:pPr>
        <w:rPr>
          <w:rFonts w:ascii="Times New Roman" w:hAnsi="Times New Roman" w:cs="Times New Roman"/>
        </w:rPr>
      </w:pPr>
    </w:p>
    <w:sectPr w:rsidR="007767DD" w:rsidRPr="00C339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E4144" w14:textId="77777777" w:rsidR="004E587B" w:rsidRDefault="004E587B" w:rsidP="00DB7531">
      <w:r>
        <w:separator/>
      </w:r>
    </w:p>
  </w:endnote>
  <w:endnote w:type="continuationSeparator" w:id="0">
    <w:p w14:paraId="2CB6FF53" w14:textId="77777777" w:rsidR="004E587B" w:rsidRDefault="004E587B" w:rsidP="00DB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E679" w14:textId="77777777" w:rsidR="004E587B" w:rsidRDefault="004E587B" w:rsidP="00DB7531">
      <w:r>
        <w:separator/>
      </w:r>
    </w:p>
  </w:footnote>
  <w:footnote w:type="continuationSeparator" w:id="0">
    <w:p w14:paraId="4CAB5B97" w14:textId="77777777" w:rsidR="004E587B" w:rsidRDefault="004E587B" w:rsidP="00DB7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201843"/>
      <w:docPartObj>
        <w:docPartGallery w:val="Page Numbers (Top of Page)"/>
        <w:docPartUnique/>
      </w:docPartObj>
    </w:sdtPr>
    <w:sdtEndPr>
      <w:rPr>
        <w:rFonts w:ascii="Times New Roman" w:hAnsi="Times New Roman" w:cs="Times New Roman"/>
        <w:noProof/>
        <w:sz w:val="20"/>
        <w:szCs w:val="20"/>
      </w:rPr>
    </w:sdtEndPr>
    <w:sdtContent>
      <w:p w14:paraId="4986480E" w14:textId="77777777" w:rsidR="00114D27" w:rsidRPr="00114D27" w:rsidRDefault="00114D27">
        <w:pPr>
          <w:pStyle w:val="Header"/>
          <w:jc w:val="right"/>
          <w:rPr>
            <w:rFonts w:ascii="Times New Roman" w:hAnsi="Times New Roman" w:cs="Times New Roman"/>
            <w:sz w:val="20"/>
            <w:szCs w:val="20"/>
          </w:rPr>
        </w:pPr>
        <w:r w:rsidRPr="00114D27">
          <w:rPr>
            <w:rFonts w:ascii="Times New Roman" w:hAnsi="Times New Roman" w:cs="Times New Roman"/>
            <w:sz w:val="20"/>
            <w:szCs w:val="20"/>
          </w:rPr>
          <w:fldChar w:fldCharType="begin"/>
        </w:r>
        <w:r w:rsidRPr="00114D27">
          <w:rPr>
            <w:rFonts w:ascii="Times New Roman" w:hAnsi="Times New Roman" w:cs="Times New Roman"/>
            <w:sz w:val="20"/>
            <w:szCs w:val="20"/>
          </w:rPr>
          <w:instrText xml:space="preserve"> PAGE   \* MERGEFORMAT </w:instrText>
        </w:r>
        <w:r w:rsidRPr="00114D27">
          <w:rPr>
            <w:rFonts w:ascii="Times New Roman" w:hAnsi="Times New Roman" w:cs="Times New Roman"/>
            <w:sz w:val="20"/>
            <w:szCs w:val="20"/>
          </w:rPr>
          <w:fldChar w:fldCharType="separate"/>
        </w:r>
        <w:r w:rsidR="00F369ED">
          <w:rPr>
            <w:rFonts w:ascii="Times New Roman" w:hAnsi="Times New Roman" w:cs="Times New Roman"/>
            <w:noProof/>
            <w:sz w:val="20"/>
            <w:szCs w:val="20"/>
          </w:rPr>
          <w:t>1</w:t>
        </w:r>
        <w:r w:rsidRPr="00114D27">
          <w:rPr>
            <w:rFonts w:ascii="Times New Roman" w:hAnsi="Times New Roman" w:cs="Times New Roman"/>
            <w:noProof/>
            <w:sz w:val="20"/>
            <w:szCs w:val="20"/>
          </w:rPr>
          <w:fldChar w:fldCharType="end"/>
        </w:r>
      </w:p>
    </w:sdtContent>
  </w:sdt>
  <w:p w14:paraId="66E425EA" w14:textId="77777777" w:rsidR="00BF3918" w:rsidRDefault="00BF3918" w:rsidP="00BF3918">
    <w:pPr>
      <w:suppressLineNumbers/>
      <w:spacing w:line="276" w:lineRule="auto"/>
      <w:jc w:val="both"/>
      <w:rPr>
        <w:rFonts w:ascii="Times New Roman" w:hAnsi="Times New Roman" w:cs="Times New Roman"/>
      </w:rPr>
    </w:pPr>
    <w:r w:rsidRPr="008E789B">
      <w:rPr>
        <w:rFonts w:ascii="Times New Roman" w:hAnsi="Times New Roman" w:cs="Times New Roman"/>
      </w:rPr>
      <w:t>Pharmacokinetic profile of incremental oral doses of dietary nitrate in young and older adults: a crossover randomized clinical trial</w:t>
    </w:r>
    <w:r>
      <w:rPr>
        <w:rFonts w:ascii="Times New Roman" w:hAnsi="Times New Roman" w:cs="Times New Roman"/>
      </w:rPr>
      <w:t>.</w:t>
    </w:r>
  </w:p>
  <w:p w14:paraId="4450BEFC" w14:textId="0ED400FE" w:rsidR="00BF3918" w:rsidRDefault="00BF3918" w:rsidP="00BF3918">
    <w:pPr>
      <w:suppressLineNumbers/>
      <w:spacing w:line="276" w:lineRule="auto"/>
      <w:jc w:val="both"/>
      <w:rPr>
        <w:rFonts w:ascii="Times New Roman" w:hAnsi="Times New Roman" w:cs="Times New Roman"/>
      </w:rPr>
    </w:pPr>
    <w:r w:rsidRPr="00BF3918">
      <w:rPr>
        <w:rFonts w:ascii="Times New Roman" w:hAnsi="Times New Roman" w:cs="Times New Roman"/>
      </w:rPr>
      <w:t>Capper, T.E</w:t>
    </w:r>
  </w:p>
  <w:p w14:paraId="7636C6BE" w14:textId="2E67FE22" w:rsidR="00BF3918" w:rsidRPr="00BF3918" w:rsidRDefault="00BF3918" w:rsidP="00BF3918">
    <w:pPr>
      <w:suppressLineNumbers/>
      <w:spacing w:line="276" w:lineRule="auto"/>
      <w:jc w:val="both"/>
      <w:rPr>
        <w:rFonts w:ascii="Times New Roman" w:hAnsi="Times New Roman" w:cs="Times New Roman"/>
      </w:rPr>
    </w:pPr>
    <w:r w:rsidRPr="00BF3918">
      <w:rPr>
        <w:rFonts w:ascii="Times New Roman" w:eastAsia="Times New Roman" w:hAnsi="Times New Roman" w:cs="Times New Roman"/>
      </w:rPr>
      <w:t>Online Supplementary Material</w:t>
    </w:r>
  </w:p>
  <w:p w14:paraId="3F871F7F" w14:textId="34A54B91" w:rsidR="00DB7531" w:rsidRPr="00DB7531" w:rsidRDefault="00DB7531">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DD"/>
    <w:rsid w:val="00013463"/>
    <w:rsid w:val="00114D27"/>
    <w:rsid w:val="002D653E"/>
    <w:rsid w:val="0030271E"/>
    <w:rsid w:val="003E11F2"/>
    <w:rsid w:val="004B2A96"/>
    <w:rsid w:val="004E587B"/>
    <w:rsid w:val="0053652C"/>
    <w:rsid w:val="00616F8E"/>
    <w:rsid w:val="006E25D1"/>
    <w:rsid w:val="007767DD"/>
    <w:rsid w:val="007B4FE7"/>
    <w:rsid w:val="00880901"/>
    <w:rsid w:val="00894AA5"/>
    <w:rsid w:val="00934DF3"/>
    <w:rsid w:val="00935EE5"/>
    <w:rsid w:val="009805A9"/>
    <w:rsid w:val="009F1965"/>
    <w:rsid w:val="00BF3918"/>
    <w:rsid w:val="00C339F0"/>
    <w:rsid w:val="00CB58B1"/>
    <w:rsid w:val="00D13456"/>
    <w:rsid w:val="00DB7531"/>
    <w:rsid w:val="00DD094F"/>
    <w:rsid w:val="00EB0C3E"/>
    <w:rsid w:val="00ED5A2B"/>
    <w:rsid w:val="00F369ED"/>
    <w:rsid w:val="00F764A3"/>
    <w:rsid w:val="00FE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F6C4"/>
  <w15:chartTrackingRefBased/>
  <w15:docId w15:val="{1524F7D6-D567-40B9-8CDA-50DED101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67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531"/>
    <w:pPr>
      <w:tabs>
        <w:tab w:val="center" w:pos="4513"/>
        <w:tab w:val="right" w:pos="9026"/>
      </w:tabs>
    </w:pPr>
  </w:style>
  <w:style w:type="character" w:customStyle="1" w:styleId="HeaderChar">
    <w:name w:val="Header Char"/>
    <w:basedOn w:val="DefaultParagraphFont"/>
    <w:link w:val="Header"/>
    <w:uiPriority w:val="99"/>
    <w:rsid w:val="00DB7531"/>
    <w:rPr>
      <w:rFonts w:eastAsiaTheme="minorEastAsia"/>
      <w:sz w:val="24"/>
      <w:szCs w:val="24"/>
    </w:rPr>
  </w:style>
  <w:style w:type="paragraph" w:styleId="Footer">
    <w:name w:val="footer"/>
    <w:basedOn w:val="Normal"/>
    <w:link w:val="FooterChar"/>
    <w:uiPriority w:val="99"/>
    <w:unhideWhenUsed/>
    <w:rsid w:val="00DB7531"/>
    <w:pPr>
      <w:tabs>
        <w:tab w:val="center" w:pos="4513"/>
        <w:tab w:val="right" w:pos="9026"/>
      </w:tabs>
    </w:pPr>
  </w:style>
  <w:style w:type="character" w:customStyle="1" w:styleId="FooterChar">
    <w:name w:val="Footer Char"/>
    <w:basedOn w:val="DefaultParagraphFont"/>
    <w:link w:val="Footer"/>
    <w:uiPriority w:val="99"/>
    <w:rsid w:val="00DB753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Capper</dc:creator>
  <cp:keywords/>
  <dc:description/>
  <cp:lastModifiedBy>Gretta Cole</cp:lastModifiedBy>
  <cp:revision>2</cp:revision>
  <dcterms:created xsi:type="dcterms:W3CDTF">2021-11-02T09:30:00Z</dcterms:created>
  <dcterms:modified xsi:type="dcterms:W3CDTF">2021-11-02T09:30:00Z</dcterms:modified>
</cp:coreProperties>
</file>