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3D39" w14:textId="77777777" w:rsidR="00FA1481" w:rsidRDefault="00664A12" w:rsidP="00E40896">
      <w:pPr>
        <w:jc w:val="center"/>
        <w:rPr>
          <w:sz w:val="36"/>
          <w:szCs w:val="36"/>
        </w:rPr>
      </w:pPr>
      <w:r>
        <w:rPr>
          <w:noProof/>
          <w:sz w:val="36"/>
          <w:szCs w:val="36"/>
          <w:lang w:val="en-GB" w:eastAsia="en-GB"/>
        </w:rPr>
        <w:drawing>
          <wp:inline distT="0" distB="0" distL="0" distR="0" wp14:anchorId="6720CD11" wp14:editId="7067F797">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7EE184DA" w14:textId="7C562032" w:rsidR="00CE6EAA" w:rsidRPr="00BF1BF9" w:rsidRDefault="00B55B30" w:rsidP="00FF3503">
      <w:pPr>
        <w:spacing w:before="100" w:beforeAutospacing="1" w:after="100" w:afterAutospacing="1"/>
        <w:jc w:val="center"/>
        <w:rPr>
          <w:rFonts w:ascii="Myriad Pro" w:hAnsi="Myriad Pro"/>
          <w:i/>
          <w:sz w:val="22"/>
          <w:szCs w:val="22"/>
        </w:rPr>
      </w:pPr>
      <w:r w:rsidRPr="00B55B30">
        <w:rPr>
          <w:rFonts w:ascii="Myriad Pro" w:hAnsi="Myriad Pro"/>
          <w:i/>
          <w:sz w:val="22"/>
          <w:szCs w:val="22"/>
        </w:rPr>
        <w:t>JGR: Earth Surface</w:t>
      </w:r>
    </w:p>
    <w:p w14:paraId="2CB29489" w14:textId="77777777" w:rsidR="00FF3503" w:rsidRPr="00CE6EAA" w:rsidRDefault="00FF3503" w:rsidP="00FF3503">
      <w:pPr>
        <w:spacing w:before="100" w:beforeAutospacing="1" w:after="100" w:afterAutospacing="1"/>
        <w:jc w:val="center"/>
        <w:rPr>
          <w:rFonts w:ascii="Myriad Pro" w:hAnsi="Myriad Pro"/>
          <w:sz w:val="22"/>
          <w:szCs w:val="22"/>
        </w:rPr>
      </w:pPr>
      <w:r w:rsidRPr="00CE6EAA">
        <w:rPr>
          <w:rFonts w:ascii="Myriad Pro" w:hAnsi="Myriad Pro"/>
          <w:sz w:val="22"/>
          <w:szCs w:val="22"/>
        </w:rPr>
        <w:t>Supporting Information for</w:t>
      </w:r>
    </w:p>
    <w:p w14:paraId="59F910A1" w14:textId="358DD482" w:rsidR="00FF3503" w:rsidRPr="00B77E40" w:rsidRDefault="007207BB" w:rsidP="00FF3503">
      <w:pPr>
        <w:spacing w:before="100" w:beforeAutospacing="1" w:after="100" w:afterAutospacing="1"/>
        <w:jc w:val="center"/>
        <w:rPr>
          <w:rFonts w:ascii="Myriad Pro" w:hAnsi="Myriad Pro"/>
          <w:b/>
          <w:sz w:val="22"/>
          <w:szCs w:val="22"/>
        </w:rPr>
      </w:pPr>
      <w:r w:rsidRPr="007207BB">
        <w:rPr>
          <w:rFonts w:ascii="Myriad Pro" w:hAnsi="Myriad Pro"/>
          <w:b/>
          <w:sz w:val="22"/>
          <w:szCs w:val="22"/>
        </w:rPr>
        <w:t>Aquatic insect bioconstructions modify fine-sediment entrainment and mobility</w:t>
      </w:r>
    </w:p>
    <w:p w14:paraId="42FFC78E" w14:textId="533207F8" w:rsidR="00FF3503" w:rsidRDefault="007207BB" w:rsidP="00FF3503">
      <w:pPr>
        <w:spacing w:before="100" w:beforeAutospacing="1" w:after="100" w:afterAutospacing="1"/>
        <w:jc w:val="center"/>
        <w:rPr>
          <w:rFonts w:ascii="Myriad Pro" w:hAnsi="Myriad Pro"/>
          <w:sz w:val="22"/>
          <w:szCs w:val="22"/>
        </w:rPr>
      </w:pPr>
      <w:r w:rsidRPr="007207BB">
        <w:rPr>
          <w:rFonts w:ascii="Myriad Pro" w:hAnsi="Myriad Pro"/>
          <w:sz w:val="22"/>
          <w:szCs w:val="22"/>
        </w:rPr>
        <w:t>R. J. Mason</w:t>
      </w:r>
      <w:r w:rsidRPr="007207BB">
        <w:rPr>
          <w:rFonts w:ascii="Myriad Pro" w:hAnsi="Myriad Pro"/>
          <w:sz w:val="22"/>
          <w:szCs w:val="22"/>
          <w:vertAlign w:val="superscript"/>
        </w:rPr>
        <w:t>1</w:t>
      </w:r>
      <w:r w:rsidRPr="007207BB">
        <w:rPr>
          <w:rFonts w:ascii="Myriad Pro" w:hAnsi="Myriad Pro"/>
          <w:sz w:val="22"/>
          <w:szCs w:val="22"/>
        </w:rPr>
        <w:t xml:space="preserve">, </w:t>
      </w:r>
      <w:r w:rsidRPr="007207BB">
        <w:rPr>
          <w:rFonts w:ascii="Myriad Pro" w:hAnsi="Myriad Pro"/>
          <w:sz w:val="22"/>
          <w:szCs w:val="22"/>
          <w:vertAlign w:val="superscript"/>
        </w:rPr>
        <w:t>2</w:t>
      </w:r>
      <w:r w:rsidRPr="007207BB">
        <w:rPr>
          <w:rFonts w:ascii="Myriad Pro" w:hAnsi="Myriad Pro"/>
          <w:sz w:val="22"/>
          <w:szCs w:val="22"/>
        </w:rPr>
        <w:t>, S. P. Rice</w:t>
      </w:r>
      <w:r w:rsidRPr="007207BB">
        <w:rPr>
          <w:rFonts w:ascii="Myriad Pro" w:hAnsi="Myriad Pro"/>
          <w:sz w:val="22"/>
          <w:szCs w:val="22"/>
          <w:vertAlign w:val="superscript"/>
        </w:rPr>
        <w:t>2</w:t>
      </w:r>
      <w:r w:rsidRPr="007207BB">
        <w:rPr>
          <w:rFonts w:ascii="Myriad Pro" w:hAnsi="Myriad Pro"/>
          <w:sz w:val="22"/>
          <w:szCs w:val="22"/>
        </w:rPr>
        <w:t>, M. F. Johnson</w:t>
      </w:r>
      <w:r w:rsidRPr="007207BB">
        <w:rPr>
          <w:rFonts w:ascii="Myriad Pro" w:hAnsi="Myriad Pro"/>
          <w:sz w:val="22"/>
          <w:szCs w:val="22"/>
          <w:vertAlign w:val="superscript"/>
        </w:rPr>
        <w:t>3</w:t>
      </w:r>
      <w:r w:rsidRPr="007207BB">
        <w:rPr>
          <w:rFonts w:ascii="Myriad Pro" w:hAnsi="Myriad Pro"/>
          <w:sz w:val="22"/>
          <w:szCs w:val="22"/>
        </w:rPr>
        <w:t>, P. J. Wood</w:t>
      </w:r>
      <w:r w:rsidRPr="007207BB">
        <w:rPr>
          <w:rFonts w:ascii="Myriad Pro" w:hAnsi="Myriad Pro"/>
          <w:sz w:val="22"/>
          <w:szCs w:val="22"/>
          <w:vertAlign w:val="superscript"/>
        </w:rPr>
        <w:t>2</w:t>
      </w:r>
      <w:r w:rsidRPr="007207BB">
        <w:rPr>
          <w:rFonts w:ascii="Myriad Pro" w:hAnsi="Myriad Pro"/>
          <w:sz w:val="22"/>
          <w:szCs w:val="22"/>
        </w:rPr>
        <w:t xml:space="preserve"> and D. Vettori</w:t>
      </w:r>
      <w:r w:rsidRPr="007207BB">
        <w:rPr>
          <w:rFonts w:ascii="Myriad Pro" w:hAnsi="Myriad Pro"/>
          <w:sz w:val="22"/>
          <w:szCs w:val="22"/>
          <w:vertAlign w:val="superscript"/>
        </w:rPr>
        <w:t>4</w:t>
      </w:r>
    </w:p>
    <w:p w14:paraId="69976EF8" w14:textId="5AC7A522" w:rsidR="00B77E40" w:rsidRPr="00B77E40" w:rsidRDefault="007207BB" w:rsidP="00FF3503">
      <w:pPr>
        <w:spacing w:before="100" w:beforeAutospacing="1" w:after="100" w:afterAutospacing="1"/>
        <w:jc w:val="center"/>
        <w:rPr>
          <w:rFonts w:ascii="Myriad Pro" w:hAnsi="Myriad Pro"/>
          <w:sz w:val="18"/>
          <w:szCs w:val="18"/>
        </w:rPr>
      </w:pPr>
      <w:r w:rsidRPr="007207BB">
        <w:rPr>
          <w:rFonts w:ascii="Myriad Pro" w:hAnsi="Myriad Pro"/>
          <w:sz w:val="18"/>
          <w:szCs w:val="18"/>
          <w:vertAlign w:val="superscript"/>
        </w:rPr>
        <w:t>1</w:t>
      </w:r>
      <w:r w:rsidRPr="007207BB">
        <w:rPr>
          <w:rFonts w:ascii="Myriad Pro" w:hAnsi="Myriad Pro"/>
          <w:sz w:val="18"/>
          <w:szCs w:val="18"/>
        </w:rPr>
        <w:t>Umeå Univer</w:t>
      </w:r>
      <w:r>
        <w:rPr>
          <w:rFonts w:ascii="Myriad Pro" w:hAnsi="Myriad Pro"/>
          <w:sz w:val="18"/>
          <w:szCs w:val="18"/>
        </w:rPr>
        <w:t>sity</w:t>
      </w:r>
      <w:r w:rsidRPr="007207BB">
        <w:rPr>
          <w:rFonts w:ascii="Myriad Pro" w:hAnsi="Myriad Pro"/>
          <w:sz w:val="18"/>
          <w:szCs w:val="18"/>
        </w:rPr>
        <w:t xml:space="preserve">, </w:t>
      </w:r>
      <w:r w:rsidRPr="007207BB">
        <w:rPr>
          <w:rFonts w:ascii="Myriad Pro" w:hAnsi="Myriad Pro"/>
          <w:sz w:val="18"/>
          <w:szCs w:val="18"/>
          <w:vertAlign w:val="superscript"/>
        </w:rPr>
        <w:t>2</w:t>
      </w:r>
      <w:r w:rsidRPr="007207BB">
        <w:rPr>
          <w:rFonts w:ascii="Myriad Pro" w:hAnsi="Myriad Pro"/>
          <w:sz w:val="18"/>
          <w:szCs w:val="18"/>
        </w:rPr>
        <w:t xml:space="preserve">Loughborough University, </w:t>
      </w:r>
      <w:r w:rsidRPr="007207BB">
        <w:rPr>
          <w:rFonts w:ascii="Myriad Pro" w:hAnsi="Myriad Pro"/>
          <w:sz w:val="18"/>
          <w:szCs w:val="18"/>
          <w:vertAlign w:val="superscript"/>
        </w:rPr>
        <w:t>3</w:t>
      </w:r>
      <w:r>
        <w:rPr>
          <w:rFonts w:ascii="Myriad Pro" w:hAnsi="Myriad Pro"/>
          <w:sz w:val="18"/>
          <w:szCs w:val="18"/>
        </w:rPr>
        <w:t xml:space="preserve">University of Nottingham, </w:t>
      </w:r>
      <w:r w:rsidRPr="007207BB">
        <w:rPr>
          <w:rFonts w:ascii="Myriad Pro" w:hAnsi="Myriad Pro"/>
          <w:sz w:val="18"/>
          <w:szCs w:val="18"/>
          <w:vertAlign w:val="superscript"/>
        </w:rPr>
        <w:t>4</w:t>
      </w:r>
      <w:r w:rsidRPr="007207BB">
        <w:rPr>
          <w:rFonts w:ascii="Myriad Pro" w:hAnsi="Myriad Pro"/>
          <w:sz w:val="18"/>
          <w:szCs w:val="18"/>
        </w:rPr>
        <w:t>Politecnico di Torino</w:t>
      </w:r>
    </w:p>
    <w:p w14:paraId="71891EDF" w14:textId="77777777" w:rsidR="00094365" w:rsidRPr="00CE6EAA" w:rsidRDefault="00A50033" w:rsidP="00825950">
      <w:pPr>
        <w:spacing w:before="100" w:beforeAutospacing="1" w:after="100" w:afterAutospacing="1"/>
        <w:jc w:val="center"/>
        <w:rPr>
          <w:rFonts w:ascii="Myriad Pro" w:hAnsi="Myriad Pro"/>
          <w:sz w:val="22"/>
          <w:szCs w:val="22"/>
        </w:rPr>
      </w:pPr>
      <w:r w:rsidRPr="00CE6EAA" w:rsidDel="00A50033">
        <w:rPr>
          <w:rFonts w:ascii="Myriad Pro" w:hAnsi="Myriad Pro"/>
          <w:sz w:val="22"/>
          <w:szCs w:val="22"/>
        </w:rPr>
        <w:t xml:space="preserve"> </w:t>
      </w:r>
    </w:p>
    <w:p w14:paraId="347237BD" w14:textId="77777777" w:rsidR="00094365" w:rsidRPr="00CE6EAA" w:rsidRDefault="00094365" w:rsidP="000B2E64">
      <w:pPr>
        <w:spacing w:before="100" w:beforeAutospacing="1" w:after="100" w:afterAutospacing="1"/>
        <w:jc w:val="center"/>
        <w:rPr>
          <w:rFonts w:ascii="Myriad Pro" w:hAnsi="Myriad Pro"/>
          <w:sz w:val="22"/>
          <w:szCs w:val="22"/>
        </w:rPr>
      </w:pPr>
    </w:p>
    <w:p w14:paraId="1CD128B3" w14:textId="77777777" w:rsidR="00111843" w:rsidRDefault="00111843" w:rsidP="00111843">
      <w:pPr>
        <w:rPr>
          <w:rFonts w:ascii="Myriad Pro" w:hAnsi="Myriad Pro"/>
          <w:b/>
        </w:rPr>
      </w:pPr>
      <w:r w:rsidRPr="00CE6EAA">
        <w:rPr>
          <w:rFonts w:ascii="Myriad Pro" w:hAnsi="Myriad Pro"/>
          <w:b/>
        </w:rPr>
        <w:t>Contents of this file</w:t>
      </w:r>
      <w:r w:rsidR="00E43D2D">
        <w:rPr>
          <w:rFonts w:ascii="Myriad Pro" w:hAnsi="Myriad Pro"/>
          <w:b/>
        </w:rPr>
        <w:t xml:space="preserve"> </w:t>
      </w:r>
    </w:p>
    <w:p w14:paraId="1F13291B" w14:textId="77777777" w:rsidR="00E43D2D" w:rsidRPr="00E40896" w:rsidRDefault="00E43D2D" w:rsidP="00111843">
      <w:pPr>
        <w:rPr>
          <w:rFonts w:ascii="Myriad Pro" w:hAnsi="Myriad Pro"/>
        </w:rPr>
      </w:pPr>
    </w:p>
    <w:p w14:paraId="3D1CAEA0" w14:textId="2DB1C7CF" w:rsidR="00111843" w:rsidRPr="00CE6EAA" w:rsidRDefault="00571FAD" w:rsidP="00111843">
      <w:pPr>
        <w:ind w:left="720"/>
        <w:rPr>
          <w:rFonts w:ascii="Myriad Pro" w:hAnsi="Myriad Pro"/>
          <w:sz w:val="22"/>
          <w:szCs w:val="22"/>
        </w:rPr>
      </w:pPr>
      <w:r>
        <w:rPr>
          <w:rFonts w:ascii="Myriad Pro" w:hAnsi="Myriad Pro"/>
          <w:sz w:val="22"/>
          <w:szCs w:val="22"/>
        </w:rPr>
        <w:t>Text S1</w:t>
      </w:r>
    </w:p>
    <w:p w14:paraId="10640459" w14:textId="559A3F42" w:rsidR="00111843" w:rsidRPr="00CE6EAA" w:rsidRDefault="00111843" w:rsidP="00111843">
      <w:pPr>
        <w:ind w:left="720"/>
        <w:rPr>
          <w:rFonts w:ascii="Myriad Pro" w:hAnsi="Myriad Pro"/>
          <w:sz w:val="22"/>
          <w:szCs w:val="22"/>
        </w:rPr>
      </w:pPr>
      <w:r w:rsidRPr="00CE6EAA">
        <w:rPr>
          <w:rFonts w:ascii="Myriad Pro" w:hAnsi="Myriad Pro"/>
          <w:sz w:val="22"/>
          <w:szCs w:val="22"/>
        </w:rPr>
        <w:t>Figures S1 to S</w:t>
      </w:r>
      <w:r w:rsidR="00571FAD">
        <w:rPr>
          <w:rFonts w:ascii="Myriad Pro" w:hAnsi="Myriad Pro"/>
          <w:sz w:val="22"/>
          <w:szCs w:val="22"/>
        </w:rPr>
        <w:t>2</w:t>
      </w:r>
    </w:p>
    <w:p w14:paraId="6807841A" w14:textId="064FF02A" w:rsidR="00111843" w:rsidRDefault="00111843" w:rsidP="00111843">
      <w:pPr>
        <w:ind w:left="720"/>
        <w:rPr>
          <w:rFonts w:ascii="Myriad Pro" w:hAnsi="Myriad Pro"/>
          <w:sz w:val="22"/>
          <w:szCs w:val="22"/>
        </w:rPr>
      </w:pPr>
      <w:r w:rsidRPr="00CE6EAA">
        <w:rPr>
          <w:rFonts w:ascii="Myriad Pro" w:hAnsi="Myriad Pro"/>
          <w:sz w:val="22"/>
          <w:szCs w:val="22"/>
        </w:rPr>
        <w:t>Table</w:t>
      </w:r>
      <w:r w:rsidR="00571FAD">
        <w:rPr>
          <w:rFonts w:ascii="Myriad Pro" w:hAnsi="Myriad Pro"/>
          <w:sz w:val="22"/>
          <w:szCs w:val="22"/>
        </w:rPr>
        <w:t>s S1</w:t>
      </w:r>
    </w:p>
    <w:p w14:paraId="0363B503" w14:textId="77777777" w:rsidR="00111843" w:rsidRPr="00E40896" w:rsidRDefault="00111843" w:rsidP="00111843">
      <w:pPr>
        <w:ind w:left="720"/>
        <w:rPr>
          <w:rFonts w:ascii="Myriad Pro" w:hAnsi="Myriad Pro"/>
        </w:rPr>
      </w:pPr>
    </w:p>
    <w:p w14:paraId="2323E638" w14:textId="77777777" w:rsidR="00111843" w:rsidRPr="00CE6EAA" w:rsidRDefault="00111843" w:rsidP="00111843">
      <w:pPr>
        <w:rPr>
          <w:rFonts w:ascii="Myriad Pro" w:hAnsi="Myriad Pro"/>
          <w:b/>
        </w:rPr>
      </w:pPr>
      <w:r w:rsidRPr="00CE6EAA">
        <w:rPr>
          <w:rFonts w:ascii="Myriad Pro" w:hAnsi="Myriad Pro"/>
          <w:b/>
        </w:rPr>
        <w:t>Additional Supporting Information (Files uploaded separately)</w:t>
      </w:r>
    </w:p>
    <w:p w14:paraId="795CD27E" w14:textId="125983F7" w:rsidR="00111843" w:rsidRDefault="00B877A8" w:rsidP="00B877A8">
      <w:pPr>
        <w:ind w:left="720"/>
        <w:rPr>
          <w:rFonts w:ascii="Myriad Pro" w:hAnsi="Myriad Pro"/>
          <w:sz w:val="22"/>
          <w:szCs w:val="22"/>
        </w:rPr>
      </w:pPr>
      <w:r>
        <w:rPr>
          <w:rFonts w:ascii="Myriad Pro" w:hAnsi="Myriad Pro"/>
          <w:sz w:val="22"/>
          <w:szCs w:val="22"/>
        </w:rPr>
        <w:t>Movie S1</w:t>
      </w:r>
    </w:p>
    <w:p w14:paraId="10EB60AF" w14:textId="1AC7D936" w:rsidR="00B877A8" w:rsidRPr="00B877A8" w:rsidRDefault="00B877A8" w:rsidP="00B877A8">
      <w:pPr>
        <w:rPr>
          <w:rFonts w:ascii="Myriad Pro" w:hAnsi="Myriad Pro"/>
          <w:sz w:val="22"/>
          <w:szCs w:val="22"/>
        </w:rPr>
      </w:pPr>
    </w:p>
    <w:p w14:paraId="4B5B6BB0" w14:textId="4C2FCCA5" w:rsidR="00571FAD" w:rsidRPr="00571FAD" w:rsidRDefault="00FF3503" w:rsidP="00FF3503">
      <w:pPr>
        <w:spacing w:before="100" w:beforeAutospacing="1" w:after="100" w:afterAutospacing="1"/>
        <w:rPr>
          <w:rFonts w:ascii="Myriad Pro" w:hAnsi="Myriad Pro"/>
          <w:b/>
          <w:szCs w:val="24"/>
        </w:rPr>
      </w:pPr>
      <w:r w:rsidRPr="00CE6EAA">
        <w:rPr>
          <w:rFonts w:ascii="Myriad Pro" w:hAnsi="Myriad Pro"/>
          <w:b/>
          <w:bCs/>
          <w:szCs w:val="24"/>
        </w:rPr>
        <w:t>Introduction</w:t>
      </w:r>
      <w:r w:rsidRPr="00CE6EAA">
        <w:rPr>
          <w:rFonts w:ascii="Myriad Pro" w:hAnsi="Myriad Pro"/>
          <w:b/>
          <w:szCs w:val="24"/>
        </w:rPr>
        <w:t xml:space="preserve"> </w:t>
      </w:r>
    </w:p>
    <w:p w14:paraId="5A7B37BC" w14:textId="10FE5AA9" w:rsidR="00810049" w:rsidRPr="00CE6EAA" w:rsidRDefault="009C5E79" w:rsidP="003A6035">
      <w:pPr>
        <w:spacing w:before="100" w:beforeAutospacing="1" w:after="100" w:afterAutospacing="1"/>
        <w:rPr>
          <w:rFonts w:ascii="Myriad Pro" w:hAnsi="Myriad Pro"/>
          <w:sz w:val="22"/>
          <w:szCs w:val="22"/>
        </w:rPr>
      </w:pPr>
      <w:r>
        <w:rPr>
          <w:rFonts w:ascii="Myriad Pro" w:hAnsi="Myriad Pro"/>
          <w:sz w:val="22"/>
          <w:szCs w:val="22"/>
        </w:rPr>
        <w:t>Case building caddisfly (</w:t>
      </w:r>
      <w:proofErr w:type="spellStart"/>
      <w:r>
        <w:rPr>
          <w:rFonts w:ascii="Myriad Pro" w:hAnsi="Myriad Pro"/>
          <w:sz w:val="22"/>
          <w:szCs w:val="22"/>
        </w:rPr>
        <w:t>Trichoptera</w:t>
      </w:r>
      <w:proofErr w:type="spellEnd"/>
      <w:r>
        <w:rPr>
          <w:rFonts w:ascii="Myriad Pro" w:hAnsi="Myriad Pro"/>
          <w:sz w:val="22"/>
          <w:szCs w:val="22"/>
        </w:rPr>
        <w:t xml:space="preserve">) are small aquatic insects, which build structures from fine sediment and silk. We undertook a hydraulic flume experiment to quantify the effect of caddisfly case construction on sediment transport in rivers. </w:t>
      </w:r>
    </w:p>
    <w:p w14:paraId="416120B3" w14:textId="56DB3767" w:rsidR="00B877A8" w:rsidRPr="00810049" w:rsidRDefault="00B877A8" w:rsidP="009C5E79">
      <w:pPr>
        <w:spacing w:before="100" w:beforeAutospacing="1" w:after="100" w:afterAutospacing="1"/>
        <w:rPr>
          <w:rFonts w:ascii="Myriad Pro" w:hAnsi="Myriad Pro"/>
          <w:sz w:val="22"/>
          <w:szCs w:val="22"/>
        </w:rPr>
      </w:pPr>
    </w:p>
    <w:p w14:paraId="5464E7F4" w14:textId="1DD72395" w:rsidR="007207BB" w:rsidRDefault="00810049" w:rsidP="007207BB">
      <w:pPr>
        <w:pStyle w:val="SMHeading"/>
        <w:rPr>
          <w:rFonts w:ascii="Myriad Pro" w:hAnsi="Myriad Pro"/>
          <w:sz w:val="22"/>
          <w:szCs w:val="22"/>
        </w:rPr>
      </w:pPr>
      <w:r>
        <w:rPr>
          <w:rFonts w:ascii="Myriad Pro" w:hAnsi="Myriad Pro"/>
          <w:sz w:val="22"/>
          <w:szCs w:val="22"/>
        </w:rPr>
        <w:br w:type="column"/>
      </w:r>
      <w:r w:rsidR="00015F74" w:rsidRPr="005314B5">
        <w:rPr>
          <w:rFonts w:ascii="Myriad Pro" w:hAnsi="Myriad Pro"/>
          <w:sz w:val="22"/>
          <w:szCs w:val="22"/>
        </w:rPr>
        <w:lastRenderedPageBreak/>
        <w:t>Text</w:t>
      </w:r>
      <w:r w:rsidR="00D60BB0">
        <w:rPr>
          <w:rFonts w:ascii="Myriad Pro" w:hAnsi="Myriad Pro"/>
          <w:sz w:val="22"/>
          <w:szCs w:val="22"/>
        </w:rPr>
        <w:t xml:space="preserve"> S1.</w:t>
      </w:r>
    </w:p>
    <w:p w14:paraId="40D7D251" w14:textId="30AF693C" w:rsidR="007207BB" w:rsidRPr="007207BB" w:rsidRDefault="007207BB" w:rsidP="007207BB">
      <w:pPr>
        <w:pStyle w:val="SMText"/>
        <w:ind w:firstLine="0"/>
        <w:rPr>
          <w:rFonts w:ascii="Myriad Pro" w:hAnsi="Myriad Pro"/>
          <w:bCs/>
          <w:sz w:val="22"/>
          <w:szCs w:val="22"/>
          <w:lang w:val="en-GB"/>
        </w:rPr>
      </w:pPr>
      <w:r w:rsidRPr="007207BB">
        <w:rPr>
          <w:rFonts w:ascii="Myriad Pro" w:hAnsi="Myriad Pro"/>
          <w:bCs/>
          <w:sz w:val="22"/>
          <w:szCs w:val="22"/>
          <w:lang w:val="en-GB"/>
        </w:rPr>
        <w:t>Velocity data post-processing and calculation of shear stress</w:t>
      </w:r>
    </w:p>
    <w:p w14:paraId="32AC543B" w14:textId="77777777" w:rsidR="007207BB" w:rsidRPr="007207BB" w:rsidRDefault="007207BB" w:rsidP="007207BB">
      <w:pPr>
        <w:pStyle w:val="SMText"/>
        <w:rPr>
          <w:rFonts w:ascii="Myriad Pro" w:hAnsi="Myriad Pro"/>
          <w:sz w:val="22"/>
          <w:szCs w:val="22"/>
          <w:lang w:val="en-GB"/>
        </w:rPr>
      </w:pPr>
    </w:p>
    <w:p w14:paraId="18281701" w14:textId="455FFB81" w:rsidR="007207BB" w:rsidRPr="007207BB" w:rsidRDefault="007207BB" w:rsidP="007207BB">
      <w:pPr>
        <w:pStyle w:val="SMText"/>
        <w:ind w:firstLine="0"/>
        <w:rPr>
          <w:rFonts w:ascii="Myriad Pro" w:hAnsi="Myriad Pro"/>
          <w:sz w:val="22"/>
          <w:szCs w:val="22"/>
          <w:lang w:val="en-GB"/>
        </w:rPr>
      </w:pPr>
      <w:r w:rsidRPr="007207BB">
        <w:rPr>
          <w:rFonts w:ascii="Myriad Pro" w:hAnsi="Myriad Pro"/>
          <w:sz w:val="22"/>
          <w:szCs w:val="22"/>
          <w:lang w:val="en-GB"/>
        </w:rPr>
        <w:t xml:space="preserve">Velocity time series data were post-processed using phase-space thresholding to remove spikes, which were replaced by linear interpolation </w:t>
      </w:r>
      <w:r w:rsidRPr="007207BB">
        <w:rPr>
          <w:rFonts w:ascii="Myriad Pro" w:hAnsi="Myriad Pro"/>
          <w:sz w:val="22"/>
          <w:szCs w:val="22"/>
          <w:lang w:val="en-GB"/>
        </w:rPr>
        <w:fldChar w:fldCharType="begin" w:fldLock="1"/>
      </w:r>
      <w:r w:rsidRPr="007207BB">
        <w:rPr>
          <w:rFonts w:ascii="Myriad Pro" w:hAnsi="Myriad Pro"/>
          <w:sz w:val="22"/>
          <w:szCs w:val="22"/>
          <w:lang w:val="en-GB"/>
        </w:rPr>
        <w:instrText xml:space="preserve"> ADDIN ZOTERO_ITEM CSL_CITATION {"citationID":"U6gct0QX","properties":{"formattedCitation":"(Biron et al., 2004; Nikora et al., 2014)","plainCitation":"(Biron et al., 2004; Nikora et al., 2014)","dontUpdate":true,"noteIndex":0},"citationItems":[{"id":"VwTTq32M/woQGittu","uris":["http://www.mendeley.com/documents/?uuid=91d6384f-0c58-4d41-9dd6-63d074c61b95"],"uri":["http://www.mendeley.com/documents/?uuid=91d6384f-0c58-4d41-9dd6-63d074c61b95"],"itemData":{"DOI":"10.1061/(ASCE)0733-9429(2002)128","author":[{"dropping-particle":"","family":"Nikora","given":"Vladimir","non-dropping-particle":"","parse-names":false,"suffix":""},{"dropping-particle":"","family":"Goring","given":"Derek G","non-dropping-particle":"","parse-names":false,"suffix":""},{"dropping-particle":"","family":"Nikora","given":"Vladimir I","non-dropping-particle":"","parse-names":false,"suffix":""}],"id":"ITEM-1","issue":"December","issued":{"date-parts":[["2014"]]},"title":"Despiking Acoustic Doppler Velocimeter Data Despiking Acoustic Doppler Velocimeter Data","type":"article-journal","volume":"9429"}},{"id":"VwTTq32M/p4UNFgU6","uris":["http://www.mendeley.com/documents/?uuid=4261da8c-0561-4f41-8940-35259064da1c"],"uri":["http://www.mendeley.com/documents/?uuid=4261da8c-0561-4f41-8940-35259064da1c"],"itemData":{"DOI":"10.1002/esp.1111","ISSN":"01979337","abstract":"Bed shear stress is a fundamental variable in river studies to link flow conditions to sediment transport. It is, however, difficult to estimate this variable accurately, particularly in complex flow fields. This study compares shear stress estimated from the log profile, drag, Reynolds and turbulent kinetic energy (TKE) approaches in a laboratory flume in a simple boundary layer, over plexiglas and over sand, and in a complex flow field around deflectors. Results show that in a simple boundary layer, the log profile estimate is always the highest. Over plexiglas, the TKE estimate was the second largest with a value 30 per cent less than the log estimate. However, over sand, the TKE estimate did not show the expected increase in shear stress. In a simple boundary layer, the Reynolds shear stress seems the most appropriate method, particularly the extrapolated value at the bed obtained from a turbulent profile. In a complex flow field around deflectors, the TKE method provided the best estimate of shear stress as it is not affected by local streamline variations and it takes into account the increased streamwise turbulent fluctuations close to the deflectors. It is suggested that when single-point measurements are used to estimate shear stress, the instrument should be positioned close to 0.1 of the flow depth, which corresponds to the peak value height in profiles of Reynolds and TKE shear stress. © 2004 John Wiley and Sons, Ltd.","author":[{"dropping-particle":"","family":"Biron","given":"Pascale M.","non-dropping-particle":"","parse-names":false,"suffix":""},{"dropping-particle":"","family":"Robson","given":"Colleen","non-dropping-particle":"","parse-names":false,"suffix":""},{"dropping-particle":"","family":"Lapointe","given":"Michel F.","non-dropping-particle":"","parse-names":false,"suffix":""},{"dropping-particle":"","family":"Gaskin","given":"Susan J.","non-dropping-particle":"","parse-names":false,"suffix":""}],"container-title":"Earth Surface Processes and Landforms","id":"ITEM-2","issue":"11","issued":{"date-parts":[["2004"]]},"page":"1403-1415","title":"Comparing different methods of bed shear stress estimates in simple and complex flow fields","type":"article-journal","volume":"29"}}],"schema":"https://github.com/citation-style-language/schema/raw/master/csl-citation.json"} </w:instrText>
      </w:r>
      <w:r w:rsidRPr="007207BB">
        <w:rPr>
          <w:rFonts w:ascii="Myriad Pro" w:hAnsi="Myriad Pro"/>
          <w:sz w:val="22"/>
          <w:szCs w:val="22"/>
          <w:lang w:val="en-GB"/>
        </w:rPr>
        <w:fldChar w:fldCharType="separate"/>
      </w:r>
      <w:r w:rsidRPr="007207BB">
        <w:rPr>
          <w:rFonts w:ascii="Myriad Pro" w:hAnsi="Myriad Pro"/>
          <w:sz w:val="22"/>
          <w:szCs w:val="22"/>
          <w:lang w:val="en-GB"/>
        </w:rPr>
        <w:t xml:space="preserve">(Biron et al., 2004; </w:t>
      </w:r>
      <w:r w:rsidR="00571FAD">
        <w:rPr>
          <w:rFonts w:ascii="Myriad Pro" w:hAnsi="Myriad Pro"/>
          <w:sz w:val="22"/>
          <w:szCs w:val="22"/>
          <w:lang w:val="en-GB"/>
        </w:rPr>
        <w:t xml:space="preserve">Goring &amp; </w:t>
      </w:r>
      <w:r w:rsidRPr="007207BB">
        <w:rPr>
          <w:rFonts w:ascii="Myriad Pro" w:hAnsi="Myriad Pro"/>
          <w:sz w:val="22"/>
          <w:szCs w:val="22"/>
          <w:lang w:val="en-GB"/>
        </w:rPr>
        <w:t>Ni</w:t>
      </w:r>
      <w:r w:rsidR="00571FAD">
        <w:rPr>
          <w:rFonts w:ascii="Myriad Pro" w:hAnsi="Myriad Pro"/>
          <w:sz w:val="22"/>
          <w:szCs w:val="22"/>
          <w:lang w:val="en-GB"/>
        </w:rPr>
        <w:t>kora</w:t>
      </w:r>
      <w:r w:rsidRPr="007207BB">
        <w:rPr>
          <w:rFonts w:ascii="Myriad Pro" w:hAnsi="Myriad Pro"/>
          <w:sz w:val="22"/>
          <w:szCs w:val="22"/>
          <w:lang w:val="en-GB"/>
        </w:rPr>
        <w:t xml:space="preserve"> 20</w:t>
      </w:r>
      <w:r w:rsidR="00571FAD">
        <w:rPr>
          <w:rFonts w:ascii="Myriad Pro" w:hAnsi="Myriad Pro"/>
          <w:sz w:val="22"/>
          <w:szCs w:val="22"/>
          <w:lang w:val="en-GB"/>
        </w:rPr>
        <w:t>02</w:t>
      </w:r>
      <w:r w:rsidRPr="007207BB">
        <w:rPr>
          <w:rFonts w:ascii="Myriad Pro" w:hAnsi="Myriad Pro"/>
          <w:sz w:val="22"/>
          <w:szCs w:val="22"/>
          <w:lang w:val="en-GB"/>
        </w:rPr>
        <w:t>)</w:t>
      </w:r>
      <w:r w:rsidRPr="007207BB">
        <w:rPr>
          <w:rFonts w:ascii="Myriad Pro" w:hAnsi="Myriad Pro"/>
          <w:sz w:val="22"/>
          <w:szCs w:val="22"/>
        </w:rPr>
        <w:fldChar w:fldCharType="end"/>
      </w:r>
      <w:r w:rsidRPr="007207BB">
        <w:rPr>
          <w:rFonts w:ascii="Myriad Pro" w:hAnsi="Myriad Pro"/>
          <w:sz w:val="22"/>
          <w:szCs w:val="22"/>
          <w:lang w:val="en-GB"/>
        </w:rPr>
        <w:t xml:space="preserve"> using the Velocity Signal Analyser tool developed by </w:t>
      </w:r>
      <w:proofErr w:type="spellStart"/>
      <w:r w:rsidRPr="007207BB">
        <w:rPr>
          <w:rFonts w:ascii="Myriad Pro" w:hAnsi="Myriad Pro"/>
          <w:sz w:val="22"/>
          <w:szCs w:val="22"/>
          <w:lang w:val="en-GB"/>
        </w:rPr>
        <w:t>Jesson</w:t>
      </w:r>
      <w:proofErr w:type="spellEnd"/>
      <w:r w:rsidRPr="007207BB">
        <w:rPr>
          <w:rFonts w:ascii="Myriad Pro" w:hAnsi="Myriad Pro"/>
          <w:sz w:val="22"/>
          <w:szCs w:val="22"/>
          <w:lang w:val="en-GB"/>
        </w:rPr>
        <w:t xml:space="preserve"> </w:t>
      </w:r>
      <w:r w:rsidRPr="007207BB">
        <w:rPr>
          <w:rFonts w:ascii="Myriad Pro" w:hAnsi="Myriad Pro"/>
          <w:iCs/>
          <w:sz w:val="22"/>
          <w:szCs w:val="22"/>
          <w:lang w:val="en-GB"/>
        </w:rPr>
        <w:t>et al.</w:t>
      </w:r>
      <w:r w:rsidRPr="007207BB">
        <w:rPr>
          <w:rFonts w:ascii="Myriad Pro" w:hAnsi="Myriad Pro"/>
          <w:sz w:val="22"/>
          <w:szCs w:val="22"/>
          <w:lang w:val="en-GB"/>
        </w:rPr>
        <w:t xml:space="preserve"> (2015). Whilst ADV measurements had to be taken close to the bed to estimate the flow velocity and shear stress the caddisfly larvae were exposed to, this resulted in reduced data quality due to increased turbulence, shear, and reflection near the boundary </w:t>
      </w:r>
      <w:r w:rsidRPr="007207BB">
        <w:rPr>
          <w:rFonts w:ascii="Myriad Pro" w:hAnsi="Myriad Pro"/>
          <w:sz w:val="22"/>
          <w:szCs w:val="22"/>
          <w:lang w:val="en-GB"/>
        </w:rPr>
        <w:fldChar w:fldCharType="begin" w:fldLock="1"/>
      </w:r>
      <w:r w:rsidRPr="007207BB">
        <w:rPr>
          <w:rFonts w:ascii="Myriad Pro" w:hAnsi="Myriad Pro"/>
          <w:sz w:val="22"/>
          <w:szCs w:val="22"/>
          <w:lang w:val="en-GB"/>
        </w:rPr>
        <w:instrText xml:space="preserve"> ADDIN ZOTERO_ITEM CSL_CITATION {"citationID":"4TNH4tj9","properties":{"formattedCitation":"(Martin et al., 2002; McLelland &amp; Nicholas, 2000; Nikora et al., 2014; Voulgaris &amp; Trowbridge, 1998)","plainCitation":"(Martin et al., 2002; McLelland &amp; Nicholas, 2000; Nikora et al., 2014; Voulgaris &amp; Trowbridge, 1998)","noteIndex":0},"citationItems":[{"id":"VwTTq32M/2vN4T4Mw","uris":["http://www.mendeley.com/documents/?uuid=b38aad09-5cc8-3f85-aee3-216d2602593f"],"uri":["http://www.mendeley.com/documents/?uuid=b38aad09-5cc8-3f85-aee3-216d2602593f"],"itemData":{"DOI":"10.1061/40655(2002)101","ISBN":"0784406553","abstract":"This study was motivated by difficulties encountered when analysing ADV measurements taken in turbulent flows in which correlations were often lower than 70% in the bottom 5 cm of flow. The low correlations were attributed to an increase in turbulence for flows over rough boundaries and this assumption was confirmed experimentally. The influence of the ADV velocity range setting on correlation values was also examined. It was confirmed that a higher velocity range setting resulted in higher correlations for measurements away from the boundary, but in the near-bed region this was not always the case. Given the low correlation for much of our data, it was necessary to determine the variability in average velocities and Reynolds stresses for different degrees of filtering based on correlation. It was found that average velocities were much less sensitive to the value of the correlation filter than Reynolds stresses. In conclusion, for turbulent flows, ADV measurements could be used to calculate average velocities and generate velocity profiles if measured data were edited based on the correlation filter set to as low as 40%, provided that after filtering 70% or more data were retained for analysis.","author":[{"dropping-particle":"","family":"Martin","given":"V.","non-dropping-particle":"","parse-names":false,"suffix":""},{"dropping-particle":"","family":"Fisher","given":"T. S R","non-dropping-particle":"","parse-names":false,"suffix":""},{"dropping-particle":"","family":"Millar","given":"R. G.","non-dropping-particle":"","parse-names":false,"suffix":""},{"dropping-particle":"","family":"Quick","given":"M. C.","non-dropping-particle":"","parse-names":false,"suffix":""}],"container-title":"Hydraulic Measurements and Experimental Methods","id":"ITEM-1","issued":{"date-parts":[["2002"]]},"page":"770-779","title":"ADV Data Analysis for Turbulent Flows: Low Correlation Problem","type":"paper-conference"}},{"id":"VwTTq32M/pmcE3RUY","uris":["http://www.mendeley.com/documents/?uuid=f4f6713d-1791-48ff-9a04-6ad12e53ec3d"],"uri":["http://www.mendeley.com/documents/?uuid=f4f6713d-1791-48ff-9a04-6ad12e53ec3d"],"itemData":{"DOI":"10.1175/1520-0426(1998)015&lt;0272:eotadv&gt;2.0.co;2","ISSN":"0739-0572","abstract":"Abstract Accuracy of the acoustic Doppler velocimeter (ADV) is evaluated in this paper. Simultaneous measurements of open-channel flow were undertaken in a 17-m flume using an ADV and a laser Doppler velocimeter. Flow velocity records obtained by both instruments are used for estimating the true (“ground truth”) flow characteristics and the noise variances encountered during the experimental runs. The measured values are compared with estimates of the true flow characteristics and values of variance (</w:instrText>
      </w:r>
      <w:r w:rsidRPr="007207BB">
        <w:rPr>
          <w:rFonts w:ascii="MS Gothic" w:eastAsia="MS Gothic" w:hAnsi="MS Gothic" w:cs="MS Gothic" w:hint="eastAsia"/>
          <w:sz w:val="22"/>
          <w:szCs w:val="22"/>
          <w:lang w:val="en-GB"/>
        </w:rPr>
        <w:instrText>〈</w:instrText>
      </w:r>
      <w:r w:rsidRPr="007207BB">
        <w:rPr>
          <w:rFonts w:ascii="Myriad Pro" w:hAnsi="Myriad Pro"/>
          <w:sz w:val="22"/>
          <w:szCs w:val="22"/>
          <w:lang w:val="en-GB"/>
        </w:rPr>
        <w:instrText>u</w:instrText>
      </w:r>
      <w:r w:rsidRPr="007207BB">
        <w:rPr>
          <w:rFonts w:ascii="Arial" w:hAnsi="Arial" w:cs="Arial"/>
          <w:sz w:val="22"/>
          <w:szCs w:val="22"/>
          <w:lang w:val="en-GB"/>
        </w:rPr>
        <w:instrText>′</w:instrText>
      </w:r>
      <w:r w:rsidRPr="007207BB">
        <w:rPr>
          <w:rFonts w:ascii="Myriad Pro" w:hAnsi="Myriad Pro"/>
          <w:sz w:val="22"/>
          <w:szCs w:val="22"/>
          <w:lang w:val="en-GB"/>
        </w:rPr>
        <w:instrText>2</w:instrText>
      </w:r>
      <w:r w:rsidRPr="007207BB">
        <w:rPr>
          <w:rFonts w:ascii="MS Gothic" w:eastAsia="MS Gothic" w:hAnsi="MS Gothic" w:cs="MS Gothic" w:hint="eastAsia"/>
          <w:sz w:val="22"/>
          <w:szCs w:val="22"/>
          <w:lang w:val="en-GB"/>
        </w:rPr>
        <w:instrText>〉</w:instrText>
      </w:r>
      <w:r w:rsidRPr="007207BB">
        <w:rPr>
          <w:rFonts w:ascii="Myriad Pro" w:hAnsi="Myriad Pro"/>
          <w:sz w:val="22"/>
          <w:szCs w:val="22"/>
          <w:lang w:val="en-GB"/>
        </w:rPr>
        <w:instrText xml:space="preserve">, </w:instrText>
      </w:r>
      <w:r w:rsidRPr="007207BB">
        <w:rPr>
          <w:rFonts w:ascii="MS Gothic" w:eastAsia="MS Gothic" w:hAnsi="MS Gothic" w:cs="MS Gothic" w:hint="eastAsia"/>
          <w:sz w:val="22"/>
          <w:szCs w:val="22"/>
          <w:lang w:val="en-GB"/>
        </w:rPr>
        <w:instrText>〈</w:instrText>
      </w:r>
      <w:r w:rsidRPr="007207BB">
        <w:rPr>
          <w:rFonts w:ascii="Myriad Pro" w:hAnsi="Myriad Pro"/>
          <w:sz w:val="22"/>
          <w:szCs w:val="22"/>
          <w:lang w:val="en-GB"/>
        </w:rPr>
        <w:instrText>w</w:instrText>
      </w:r>
      <w:r w:rsidRPr="007207BB">
        <w:rPr>
          <w:rFonts w:ascii="Arial" w:hAnsi="Arial" w:cs="Arial"/>
          <w:sz w:val="22"/>
          <w:szCs w:val="22"/>
          <w:lang w:val="en-GB"/>
        </w:rPr>
        <w:instrText>′</w:instrText>
      </w:r>
      <w:r w:rsidRPr="007207BB">
        <w:rPr>
          <w:rFonts w:ascii="Myriad Pro" w:hAnsi="Myriad Pro"/>
          <w:sz w:val="22"/>
          <w:szCs w:val="22"/>
          <w:lang w:val="en-GB"/>
        </w:rPr>
        <w:instrText>2</w:instrText>
      </w:r>
      <w:r w:rsidRPr="007207BB">
        <w:rPr>
          <w:rFonts w:ascii="MS Gothic" w:eastAsia="MS Gothic" w:hAnsi="MS Gothic" w:cs="MS Gothic" w:hint="eastAsia"/>
          <w:sz w:val="22"/>
          <w:szCs w:val="22"/>
          <w:lang w:val="en-GB"/>
        </w:rPr>
        <w:instrText>〉</w:instrText>
      </w:r>
      <w:r w:rsidRPr="007207BB">
        <w:rPr>
          <w:rFonts w:ascii="Myriad Pro" w:hAnsi="Myriad Pro"/>
          <w:sz w:val="22"/>
          <w:szCs w:val="22"/>
          <w:lang w:val="en-GB"/>
        </w:rPr>
        <w:instrText>) and covariance (</w:instrText>
      </w:r>
      <w:r w:rsidRPr="007207BB">
        <w:rPr>
          <w:rFonts w:ascii="MS Gothic" w:eastAsia="MS Gothic" w:hAnsi="MS Gothic" w:cs="MS Gothic" w:hint="eastAsia"/>
          <w:sz w:val="22"/>
          <w:szCs w:val="22"/>
          <w:lang w:val="en-GB"/>
        </w:rPr>
        <w:instrText>〈</w:instrText>
      </w:r>
      <w:r w:rsidRPr="007207BB">
        <w:rPr>
          <w:rFonts w:ascii="Myriad Pro" w:hAnsi="Myriad Pro"/>
          <w:sz w:val="22"/>
          <w:szCs w:val="22"/>
          <w:lang w:val="en-GB"/>
        </w:rPr>
        <w:instrText>u</w:instrText>
      </w:r>
      <w:r w:rsidRPr="007207BB">
        <w:rPr>
          <w:rFonts w:ascii="Arial" w:hAnsi="Arial" w:cs="Arial"/>
          <w:sz w:val="22"/>
          <w:szCs w:val="22"/>
          <w:lang w:val="en-GB"/>
        </w:rPr>
        <w:instrText>′</w:instrText>
      </w:r>
      <w:r w:rsidRPr="007207BB">
        <w:rPr>
          <w:rFonts w:ascii="Myriad Pro" w:hAnsi="Myriad Pro"/>
          <w:sz w:val="22"/>
          <w:szCs w:val="22"/>
          <w:lang w:val="en-GB"/>
        </w:rPr>
        <w:instrText>w</w:instrText>
      </w:r>
      <w:r w:rsidRPr="007207BB">
        <w:rPr>
          <w:rFonts w:ascii="Arial" w:hAnsi="Arial" w:cs="Arial"/>
          <w:sz w:val="22"/>
          <w:szCs w:val="22"/>
          <w:lang w:val="en-GB"/>
        </w:rPr>
        <w:instrText>′</w:instrText>
      </w:r>
      <w:r w:rsidRPr="007207BB">
        <w:rPr>
          <w:rFonts w:ascii="MS Gothic" w:eastAsia="MS Gothic" w:hAnsi="MS Gothic" w:cs="MS Gothic" w:hint="eastAsia"/>
          <w:sz w:val="22"/>
          <w:szCs w:val="22"/>
          <w:lang w:val="en-GB"/>
        </w:rPr>
        <w:instrText>〉</w:instrText>
      </w:r>
      <w:r w:rsidRPr="007207BB">
        <w:rPr>
          <w:rFonts w:ascii="Myriad Pro" w:hAnsi="Myriad Pro"/>
          <w:sz w:val="22"/>
          <w:szCs w:val="22"/>
          <w:lang w:val="en-GB"/>
        </w:rPr>
        <w:instrText>) predicted by semiempirical models for open-channel flow. The analysis showed that the ADV sensor can measure mean velocity and Reynolds stress within 1% of the estimated true value. Mean velocities can be obtained at distances less than 1 cm from the boundary, whereas Reynolds stress values obtained at elevations greater than 3 cm above the bottom exhibit a variation that is in agreement with the predictions of the semiempirical models. Closer to the boundary, the measure...","author":[{"dropping-particle":"","family":"Voulgaris","given":"G.","non-dropping-particle":"","parse-names":false,"suffix":""},{"dropping-particle":"","family":"Trowbridge","given":"J. H.","non-dropping-particle":"","parse-names":false,"suffix":""}],"container-title":"Journal of Atmospheric and Oceanic Technology","id":"ITEM-2","issue":"1","issued":{"date-parts":[["1998"]]},"page":"272-289","title":"Evaluation of the Acoustic Doppler Velocimeter (ADV) for Turbulence Measurements*","type":"article-journal","volume":"15"}},{"id":"VwTTq32M/woQGittu","uris":["http://www.mendeley.com/documents/?uuid=91d6384f-0c58-4d41-9dd6-63d074c61b95"],"uri":["http://www.mendeley.com/documents/?uuid=91d6384f-0c58-4d41-9dd6-63d074c61b95"],"itemData":{"DOI":"10.1061/(ASCE)0733-9429(2002)128","author":[{"dropping-particle":"","family":"Nikora","given":"Vladimir","non-dropping-particle":"","parse-names":false,"suffix":""},{"dropping-particle":"","family":"Goring","given":"Derek G","non-dropping-particle":"","parse-names":false,"suffix":""},{"dropping-particle":"","family":"Nikora","given":"Vladimir I","non-dropping-particle":"","parse-names":false,"suffix":""}],"id":"ITEM-3","issue":"December","issued":{"date-parts":[["2014"]]},"title":"Despiking Acoustic Doppler Velocimeter Data Despiking Acoustic Doppler Velocimeter Data","type":"article-journal","volume":"9429"}},{"id":"VwTTq32M/UKgtoJBG","uris":["http://www.mendeley.com/documents/?uuid=a1c979c8-34e4-399b-aced-9c65e81049e7"],"uri":["http://www.mendeley.com/documents/?uuid=a1c979c8-34e4-399b-aced-9c65e81049e7"],"itemData":{"DOI":"10.1002/(SICI)1099-1085(20000215)14:2&lt;351::AID-HYP963&gt;3.0.CO;2-K","ISS</w:instrText>
      </w:r>
      <w:r w:rsidRPr="007207BB">
        <w:rPr>
          <w:rFonts w:ascii="Myriad Pro" w:hAnsi="Myriad Pro"/>
          <w:sz w:val="22"/>
          <w:szCs w:val="22"/>
          <w:lang w:val="fr-FR"/>
        </w:rPr>
        <w:instrText xml:space="preserve">N":"08856087","abstract":"The acoustic Doppler velocimeter (ADV) measures three-dimensional velocities in a small, remote sampling volume at high frequencies, however, these measurements incorporate errors that are intrinsic to the measurement technique. This paper demonstrates a new method for calculating the total measurement errors, including sampling errors, Doppler noise and errors due to velocity shear in the sampling volume associated with single-point ADV measurements. This procedure incorporates both the effects of instrument configuration and the distribution of errors between velocity components for any probe orientation. It is shown that the ADV can characterize turbulent velocity fluctuations at frequencies up to the maximum sampling rate and that Reynolds shear stress errors are very small. Copyright (C) 2000 John Wiley &amp; Sons, Ltd.","author":[{"dropping-particle":"","family":"McLelland","given":"Stuart J.","non-dropping-particle":"","parse-names":false,"suffix":""},{"dropping-particle":"","family":"Nicholas","given":"Andrew P.","non-dropping-particle":"","parse-names":false,"suffix":""}],"container-title":"Hydrological Processes","id":"ITEM-4","issue":"2","issued":{"date-parts":[["2000","2","15"]]},"page":"351-366","publisher":"John Wiley &amp; Sons Ltd","title":"A new method for evaluating errors in high-frequency ADV measurements","type":"article-journal","volume":"14"}}],"schema":"https://github.com/citation-style-language/schema/raw/master/csl-citation.json"} </w:instrText>
      </w:r>
      <w:r w:rsidRPr="007207BB">
        <w:rPr>
          <w:rFonts w:ascii="Myriad Pro" w:hAnsi="Myriad Pro"/>
          <w:sz w:val="22"/>
          <w:szCs w:val="22"/>
          <w:lang w:val="en-GB"/>
        </w:rPr>
        <w:fldChar w:fldCharType="separate"/>
      </w:r>
      <w:r w:rsidRPr="007207BB">
        <w:rPr>
          <w:rFonts w:ascii="Myriad Pro" w:hAnsi="Myriad Pro"/>
          <w:sz w:val="22"/>
          <w:szCs w:val="22"/>
          <w:lang w:val="fr-FR"/>
        </w:rPr>
        <w:t>(Martin et al., 2002; McLelland &amp; Nicholas, 2000; Nikora et al., 2014; Voulgaris &amp; Trowbridge, 1998)</w:t>
      </w:r>
      <w:r w:rsidRPr="007207BB">
        <w:rPr>
          <w:rFonts w:ascii="Myriad Pro" w:hAnsi="Myriad Pro"/>
          <w:sz w:val="22"/>
          <w:szCs w:val="22"/>
        </w:rPr>
        <w:fldChar w:fldCharType="end"/>
      </w:r>
      <w:r w:rsidRPr="007207BB">
        <w:rPr>
          <w:rFonts w:ascii="Myriad Pro" w:hAnsi="Myriad Pro"/>
          <w:sz w:val="22"/>
          <w:szCs w:val="22"/>
          <w:lang w:val="fr-FR"/>
        </w:rPr>
        <w:t xml:space="preserve">. </w:t>
      </w:r>
      <w:r w:rsidRPr="007207BB">
        <w:rPr>
          <w:rFonts w:ascii="Myriad Pro" w:hAnsi="Myriad Pro"/>
          <w:sz w:val="22"/>
          <w:szCs w:val="22"/>
          <w:lang w:val="en-GB"/>
        </w:rPr>
        <w:t xml:space="preserve">Data with a correlation of less than 60% and signal to noise ratio (SNR) less than 10 were removed.  Whilst these thresholds are lower than recommended for turbulence calculations (recommended correlation = 70%, SNR = 15; </w:t>
      </w:r>
      <w:r w:rsidRPr="007207BB">
        <w:rPr>
          <w:rFonts w:ascii="Myriad Pro" w:hAnsi="Myriad Pro"/>
          <w:sz w:val="22"/>
          <w:szCs w:val="22"/>
          <w:lang w:val="en-GB"/>
        </w:rPr>
        <w:fldChar w:fldCharType="begin" w:fldLock="1"/>
      </w:r>
      <w:r w:rsidRPr="007207BB">
        <w:rPr>
          <w:rFonts w:ascii="Myriad Pro" w:hAnsi="Myriad Pro"/>
          <w:sz w:val="22"/>
          <w:szCs w:val="22"/>
          <w:lang w:val="en-GB"/>
        </w:rPr>
        <w:instrText xml:space="preserve"> ADDIN ZOTERO_ITEM CSL_CITATION {"citationID":"Li8M8ees","properties":{"formattedCitation":"(Nortek, 2009)","plainCitation":"(Nortek, 2009)","dontUpdate":true,"noteIndex":0},"citationItems":[{"id":"VwTTq32M/gbxgjn6U","uris":["http://www.mendeley.com/documents/?uuid=024b463b-51db-4f2c-a88a-6418ea555c73"],"uri":["http://www.mendeley.com/documents/?uuid=024b463b-51db-4f2c-a88a-6418ea555c73"],"itemData":{"author":[{"dropping-particle":"","family":"Nortek","given":"","non-dropping-particle":"","parse-names":false,"suffix":""}],"id":"ITEM-1","issued":{"date-parts":[["2009"]]},"title":"Vectrino UserGuide","type":"article-journal"}}],"schema":"https://github.com/citation-style-language/schema/raw/master/csl-citation.json"} </w:instrText>
      </w:r>
      <w:r w:rsidRPr="007207BB">
        <w:rPr>
          <w:rFonts w:ascii="Myriad Pro" w:hAnsi="Myriad Pro"/>
          <w:sz w:val="22"/>
          <w:szCs w:val="22"/>
          <w:lang w:val="en-GB"/>
        </w:rPr>
        <w:fldChar w:fldCharType="separate"/>
      </w:r>
      <w:r w:rsidRPr="007207BB">
        <w:rPr>
          <w:rFonts w:ascii="Myriad Pro" w:hAnsi="Myriad Pro"/>
          <w:sz w:val="22"/>
          <w:szCs w:val="22"/>
          <w:lang w:val="en-GB"/>
        </w:rPr>
        <w:t>Nortek, 2009)</w:t>
      </w:r>
      <w:r w:rsidRPr="007207BB">
        <w:rPr>
          <w:rFonts w:ascii="Myriad Pro" w:hAnsi="Myriad Pro"/>
          <w:sz w:val="22"/>
          <w:szCs w:val="22"/>
        </w:rPr>
        <w:fldChar w:fldCharType="end"/>
      </w:r>
      <w:r w:rsidRPr="007207BB">
        <w:rPr>
          <w:rFonts w:ascii="Myriad Pro" w:hAnsi="Myriad Pro"/>
          <w:sz w:val="22"/>
          <w:szCs w:val="22"/>
          <w:lang w:val="en-GB"/>
        </w:rPr>
        <w:t xml:space="preserve">, they are an acceptable compromise when working close to the bed </w:t>
      </w:r>
      <w:r w:rsidRPr="007207BB">
        <w:rPr>
          <w:rFonts w:ascii="Myriad Pro" w:hAnsi="Myriad Pro"/>
          <w:sz w:val="22"/>
          <w:szCs w:val="22"/>
          <w:lang w:val="en-GB"/>
        </w:rPr>
        <w:fldChar w:fldCharType="begin" w:fldLock="1"/>
      </w:r>
      <w:r w:rsidRPr="007207BB">
        <w:rPr>
          <w:rFonts w:ascii="Myriad Pro" w:hAnsi="Myriad Pro"/>
          <w:sz w:val="22"/>
          <w:szCs w:val="22"/>
          <w:lang w:val="en-GB"/>
        </w:rPr>
        <w:instrText xml:space="preserve"> ADDIN ZOTERO_ITEM CSL_CITATION {"citationID":"IMXRWYet","properties":{"formattedCitation":"(McLelland &amp; Nicholas, 2000)","plainCitation":"(McLelland &amp; Nicholas, 2000)","noteIndex":0},"citationItems":[{"id":"VwTTq32M/UKgtoJBG","uris":["http://www.mendeley.com/documents/?uuid=a1c979c8-34e4-399b-aced-9c65e81049e7"],"uri":["http://www.mendeley.com/documents/?uuid=a1c979c8-34e4-399b-aced-9c65e81049e7"],"itemData":{"DOI":"10.1002/(SICI)1099-1085(20000215)14:2&lt;351::AID-HYP963&gt;3.0.CO;2-K","ISSN":"08856087","abstract":"The acoustic Doppler velocimeter (ADV) measures three-dimensional velocities in a small, remote sampling volume at high frequencies, however, these measurements incorporate errors that are intrinsic to the measurement technique. This paper demonstrates a new method for calculating the total measurement errors, including sampling errors, Doppler noise and errors due to velocity shear in the sampling volume associated with single-point ADV measurements. This procedure incorporates both the effects of instrument configuration and the distribution of errors between velocity components for any probe orientation. It is shown that the ADV can characterize turbulent velocity fluctuations at frequencies up to the maximum sampling rate and that Reynolds shear stress errors are very small. Copyright (C) 2000 John Wiley &amp; Sons, Ltd.","author":[{"dropping-particle":"","family":"McLelland","given":"Stuart J.","non-dropping-particle":"","parse-names":false,"suffix":""},{"dropping-particle":"","family":"Nicholas","given":"Andrew P.","non-dropping-particle":"","parse-names":false,"suffix":""}],"container-title":"Hydrological Processes","id":"ITEM-1","issue":"2","issued":{"date-parts":[["2000","2","15"]]},"page":"351-366","publisher":"John Wiley &amp; Sons Ltd","title":"A new method for evaluating errors in high-frequency ADV measurements","type":"article-journal","volume":"14"}}],"schema":"https://github.com/citation-style-language/schema/raw/master/csl-citation.json"} </w:instrText>
      </w:r>
      <w:r w:rsidRPr="007207BB">
        <w:rPr>
          <w:rFonts w:ascii="Myriad Pro" w:hAnsi="Myriad Pro"/>
          <w:sz w:val="22"/>
          <w:szCs w:val="22"/>
          <w:lang w:val="en-GB"/>
        </w:rPr>
        <w:fldChar w:fldCharType="separate"/>
      </w:r>
      <w:r w:rsidRPr="007207BB">
        <w:rPr>
          <w:rFonts w:ascii="Myriad Pro" w:hAnsi="Myriad Pro"/>
          <w:sz w:val="22"/>
          <w:szCs w:val="22"/>
          <w:lang w:val="en-GB"/>
        </w:rPr>
        <w:t>(McLelland &amp; Nicholas, 2000)</w:t>
      </w:r>
      <w:r w:rsidRPr="007207BB">
        <w:rPr>
          <w:rFonts w:ascii="Myriad Pro" w:hAnsi="Myriad Pro"/>
          <w:sz w:val="22"/>
          <w:szCs w:val="22"/>
        </w:rPr>
        <w:fldChar w:fldCharType="end"/>
      </w:r>
      <w:r w:rsidRPr="007207BB">
        <w:rPr>
          <w:rFonts w:ascii="Myriad Pro" w:hAnsi="Myriad Pro"/>
          <w:sz w:val="22"/>
          <w:szCs w:val="22"/>
          <w:lang w:val="en-GB"/>
        </w:rPr>
        <w:t xml:space="preserve">. Any velocity time series with more than 20% data removed from any axis was discarded. This left 5-6 replicates of 2 minute, 50Hz, time series velocity data for each </w:t>
      </w:r>
      <w:r w:rsidR="006C7A44" w:rsidRPr="006C7A44">
        <w:rPr>
          <w:rFonts w:ascii="Myriad Pro" w:hAnsi="Myriad Pro"/>
          <w:sz w:val="22"/>
          <w:szCs w:val="22"/>
          <w:lang w:val="en-GB"/>
        </w:rPr>
        <w:t>discharge step</w:t>
      </w:r>
      <w:r w:rsidRPr="007207BB">
        <w:rPr>
          <w:rFonts w:ascii="Myriad Pro" w:hAnsi="Myriad Pro"/>
          <w:sz w:val="22"/>
          <w:szCs w:val="22"/>
          <w:lang w:val="en-GB"/>
        </w:rPr>
        <w:t xml:space="preserve">. </w:t>
      </w:r>
    </w:p>
    <w:p w14:paraId="55074459" w14:textId="77777777" w:rsidR="007207BB" w:rsidRPr="007207BB" w:rsidRDefault="007207BB" w:rsidP="007207BB">
      <w:pPr>
        <w:pStyle w:val="SMText"/>
        <w:rPr>
          <w:rFonts w:ascii="Myriad Pro" w:hAnsi="Myriad Pro"/>
          <w:sz w:val="22"/>
          <w:szCs w:val="22"/>
          <w:lang w:val="en-GB"/>
        </w:rPr>
      </w:pPr>
    </w:p>
    <w:p w14:paraId="12D5F303" w14:textId="77777777" w:rsidR="007207BB" w:rsidRPr="007207BB" w:rsidRDefault="007207BB" w:rsidP="007207BB">
      <w:pPr>
        <w:pStyle w:val="SMText"/>
        <w:ind w:firstLine="0"/>
        <w:rPr>
          <w:rFonts w:ascii="Myriad Pro" w:hAnsi="Myriad Pro"/>
          <w:sz w:val="22"/>
          <w:szCs w:val="22"/>
          <w:lang w:val="en-GB"/>
        </w:rPr>
      </w:pPr>
      <w:r w:rsidRPr="007207BB">
        <w:rPr>
          <w:rFonts w:ascii="Myriad Pro" w:hAnsi="Myriad Pro"/>
          <w:sz w:val="22"/>
          <w:szCs w:val="22"/>
          <w:lang w:val="en-GB"/>
        </w:rPr>
        <w:t xml:space="preserve">Bed shear stress was calculated via the turbulent kinetic energy (TKE) approach using turbulence measurements for a single point close to the bed </w:t>
      </w:r>
      <w:r w:rsidRPr="007207BB">
        <w:rPr>
          <w:rFonts w:ascii="Myriad Pro" w:hAnsi="Myriad Pro"/>
          <w:sz w:val="22"/>
          <w:szCs w:val="22"/>
          <w:lang w:val="en-GB"/>
        </w:rPr>
        <w:fldChar w:fldCharType="begin" w:fldLock="1"/>
      </w:r>
      <w:r w:rsidRPr="007207BB">
        <w:rPr>
          <w:rFonts w:ascii="Myriad Pro" w:hAnsi="Myriad Pro"/>
          <w:sz w:val="22"/>
          <w:szCs w:val="22"/>
          <w:lang w:val="en-GB"/>
        </w:rPr>
        <w:instrText xml:space="preserve"> ADDIN ZOTERO_ITEM CSL_CITATION {"citationID":"azLF2wOr","properties":{"formattedCitation":"(Biron et al., 2004)","plainCitation":"(Biron et al., 2004)","noteIndex":0},"citationItems":[{"id":"VwTTq32M/p4UNFgU6","uris":["http://www.mendeley.com/documents/?uuid=4261da8c-0561-4f41-8940-35259064da1c"],"uri":["http://www.mendeley.com/documents/?uuid=4261da8c-0561-4f41-8940-35259064da1c"],"itemData":{"DOI":"10.1002/esp.1111","ISSN":"01979337","abstract":"Bed shear stress is a fundamental variable in river studies to link flow conditions to sediment transport. It is, however, difficult to estimate this variable accurately, particularly in complex flow fields. This study compares shear stress estimated from the log profile, drag, Reynolds and turbulent kinetic energy (TKE) approaches in a laboratory flume in a simple boundary layer, over plexiglas and over sand, and in a complex flow field around deflectors. Results show that in a simple boundary layer, the log profile estimate is always the highest. Over plexiglas, the TKE estimate was the second largest with a value 30 per cent less than the log estimate. However, over sand, the TKE estimate did not show the expected increase in shear stress. In a simple boundary layer, the Reynolds shear stress seems the most appropriate method, particularly the extrapolated value at the bed obtained from a turbulent profile. In a complex flow field around deflectors, the TKE method provided the best estimate of shear stress as it is not affected by local streamline variations and it takes into account the increased streamwise turbulent fluctuations close to the deflectors. It is suggested that when single-point measurements are used to estimate shear stress, the instrument should be positioned close to 0.1 of the flow depth, which corresponds to the peak value height in profiles of Reynolds and TKE shear stress. © 2004 John Wiley and Sons, Ltd.","author":[{"dropping-particle":"","family":"Biron","given":"Pascale M.","non-dropping-particle":"","parse-names":false,"suffix":""},{"dropping-particle":"","family":"Robson","given":"Colleen","non-dropping-particle":"","parse-names":false,"suffix":""},{"dropping-particle":"","family":"Lapointe","given":"Michel F.","non-dropping-particle":"","parse-names":false,"suffix":""},{"dropping-particle":"","family":"Gaskin","given":"Susan J.","non-dropping-particle":"","parse-names":false,"suffix":""}],"container-title":"Earth Surface Processes and Landforms","id":"ITEM-1","issue":"11","issued":{"date-parts":[["2004"]]},"page":"1403-1415","title":"Comparing different methods of bed shear stress estimates in simple and complex flow fields","type":"article-journal","volume":"29"}}],"schema":"https://github.com/citation-style-language/schema/raw/master/csl-citation.json"} </w:instrText>
      </w:r>
      <w:r w:rsidRPr="007207BB">
        <w:rPr>
          <w:rFonts w:ascii="Myriad Pro" w:hAnsi="Myriad Pro"/>
          <w:sz w:val="22"/>
          <w:szCs w:val="22"/>
          <w:lang w:val="en-GB"/>
        </w:rPr>
        <w:fldChar w:fldCharType="separate"/>
      </w:r>
      <w:r w:rsidRPr="007207BB">
        <w:rPr>
          <w:rFonts w:ascii="Myriad Pro" w:hAnsi="Myriad Pro"/>
          <w:sz w:val="22"/>
          <w:szCs w:val="22"/>
          <w:lang w:val="en-GB"/>
        </w:rPr>
        <w:t>(Biron et al., 2004)</w:t>
      </w:r>
      <w:r w:rsidRPr="007207BB">
        <w:rPr>
          <w:rFonts w:ascii="Myriad Pro" w:hAnsi="Myriad Pro"/>
          <w:sz w:val="22"/>
          <w:szCs w:val="22"/>
        </w:rPr>
        <w:fldChar w:fldCharType="end"/>
      </w:r>
      <w:r w:rsidRPr="007207BB">
        <w:rPr>
          <w:rFonts w:ascii="Myriad Pro" w:hAnsi="Myriad Pro"/>
          <w:sz w:val="22"/>
          <w:szCs w:val="22"/>
          <w:lang w:val="en-GB"/>
        </w:rPr>
        <w:t>. TKE was calculated from the intensity of the velocity fluctuations in three dimensions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7195"/>
        <w:gridCol w:w="927"/>
      </w:tblGrid>
      <w:tr w:rsidR="007207BB" w:rsidRPr="007207BB" w14:paraId="6BA7DDD4" w14:textId="77777777" w:rsidTr="007207BB">
        <w:trPr>
          <w:trHeight w:val="577"/>
        </w:trPr>
        <w:tc>
          <w:tcPr>
            <w:tcW w:w="562" w:type="dxa"/>
          </w:tcPr>
          <w:p w14:paraId="34D8640D" w14:textId="77777777" w:rsidR="007207BB" w:rsidRPr="007207BB" w:rsidRDefault="007207BB" w:rsidP="007207BB">
            <w:pPr>
              <w:pStyle w:val="SMText"/>
              <w:rPr>
                <w:rFonts w:ascii="Myriad Pro" w:hAnsi="Myriad Pro"/>
                <w:sz w:val="22"/>
                <w:szCs w:val="22"/>
                <w:lang w:val="en-GB"/>
              </w:rPr>
            </w:pPr>
          </w:p>
        </w:tc>
        <w:tc>
          <w:tcPr>
            <w:tcW w:w="7938" w:type="dxa"/>
            <w:hideMark/>
          </w:tcPr>
          <w:p w14:paraId="6C8315C5" w14:textId="2A28FAEC" w:rsidR="007207BB" w:rsidRPr="007207BB" w:rsidRDefault="007207BB" w:rsidP="007207BB">
            <w:pPr>
              <w:pStyle w:val="SMText"/>
              <w:rPr>
                <w:rFonts w:ascii="Myriad Pro" w:hAnsi="Myriad Pro"/>
                <w:sz w:val="22"/>
                <w:szCs w:val="22"/>
                <w:lang w:val="en-GB"/>
              </w:rPr>
            </w:pPr>
            <m:oMathPara>
              <m:oMath>
                <m:r>
                  <w:rPr>
                    <w:rFonts w:ascii="Cambria Math" w:hAnsi="Cambria Math"/>
                    <w:sz w:val="22"/>
                    <w:szCs w:val="22"/>
                    <w:lang w:val="en-GB"/>
                  </w:rPr>
                  <m:t>E=</m:t>
                </m:r>
                <m:f>
                  <m:fPr>
                    <m:ctrlPr>
                      <w:rPr>
                        <w:rFonts w:ascii="Cambria Math" w:hAnsi="Cambria Math"/>
                        <w:i/>
                        <w:sz w:val="22"/>
                        <w:szCs w:val="22"/>
                        <w:lang w:val="en-GB"/>
                      </w:rPr>
                    </m:ctrlPr>
                  </m:fPr>
                  <m:num>
                    <m:r>
                      <w:rPr>
                        <w:rFonts w:ascii="Cambria Math" w:hAnsi="Cambria Math"/>
                        <w:sz w:val="22"/>
                        <w:szCs w:val="22"/>
                        <w:lang w:val="en-GB"/>
                      </w:rPr>
                      <m:t>(</m:t>
                    </m:r>
                    <m:sSup>
                      <m:sSupPr>
                        <m:ctrlPr>
                          <w:rPr>
                            <w:rFonts w:ascii="Cambria Math" w:hAnsi="Cambria Math"/>
                            <w:i/>
                            <w:sz w:val="22"/>
                            <w:szCs w:val="22"/>
                            <w:lang w:val="en-GB"/>
                          </w:rPr>
                        </m:ctrlPr>
                      </m:sSupPr>
                      <m:e>
                        <m:r>
                          <m:rPr>
                            <m:sty m:val="p"/>
                          </m:rPr>
                          <w:rPr>
                            <w:rFonts w:ascii="Cambria Math" w:hAnsi="Cambria Math"/>
                            <w:sz w:val="22"/>
                            <w:szCs w:val="22"/>
                            <w:lang w:val="en-GB"/>
                          </w:rPr>
                          <m:t>u</m:t>
                        </m:r>
                      </m:e>
                      <m:sup>
                        <m:r>
                          <m:rPr>
                            <m:sty m:val="p"/>
                          </m:rPr>
                          <w:rPr>
                            <w:rFonts w:ascii="Cambria Math" w:hAnsi="Cambria Math"/>
                            <w:sz w:val="22"/>
                            <w:szCs w:val="22"/>
                            <w:lang w:val="en-GB"/>
                          </w:rPr>
                          <m:t>'</m:t>
                        </m:r>
                        <m:r>
                          <m:rPr>
                            <m:sty m:val="p"/>
                          </m:rPr>
                          <w:rPr>
                            <w:rFonts w:ascii="Cambria Math" w:hAnsi="Cambria Math"/>
                            <w:sz w:val="22"/>
                            <w:szCs w:val="22"/>
                            <w:vertAlign w:val="superscript"/>
                            <w:lang w:val="en-GB"/>
                          </w:rPr>
                          <m:t>2</m:t>
                        </m:r>
                      </m:sup>
                    </m:sSup>
                    <m:r>
                      <m:rPr>
                        <m:sty m:val="p"/>
                      </m:rPr>
                      <w:rPr>
                        <w:rFonts w:ascii="Cambria Math" w:hAnsi="Cambria Math"/>
                        <w:sz w:val="22"/>
                        <w:szCs w:val="22"/>
                        <w:lang w:val="en-GB"/>
                      </w:rPr>
                      <m:t>+</m:t>
                    </m:r>
                    <m:sSup>
                      <m:sSupPr>
                        <m:ctrlPr>
                          <w:rPr>
                            <w:rFonts w:ascii="Cambria Math" w:hAnsi="Cambria Math"/>
                            <w:i/>
                            <w:sz w:val="22"/>
                            <w:szCs w:val="22"/>
                            <w:lang w:val="en-GB"/>
                          </w:rPr>
                        </m:ctrlPr>
                      </m:sSupPr>
                      <m:e>
                        <m:r>
                          <w:rPr>
                            <w:rFonts w:ascii="Cambria Math" w:hAnsi="Cambria Math"/>
                            <w:sz w:val="22"/>
                            <w:szCs w:val="22"/>
                            <w:lang w:val="en-GB"/>
                          </w:rPr>
                          <m:t>v</m:t>
                        </m:r>
                      </m:e>
                      <m:sup>
                        <m:r>
                          <m:rPr>
                            <m:sty m:val="p"/>
                          </m:rPr>
                          <w:rPr>
                            <w:rFonts w:ascii="Cambria Math" w:hAnsi="Cambria Math"/>
                            <w:sz w:val="22"/>
                            <w:szCs w:val="22"/>
                            <w:lang w:val="en-GB"/>
                          </w:rPr>
                          <m:t>'</m:t>
                        </m:r>
                        <m:r>
                          <m:rPr>
                            <m:sty m:val="p"/>
                          </m:rPr>
                          <w:rPr>
                            <w:rFonts w:ascii="Cambria Math" w:hAnsi="Cambria Math"/>
                            <w:sz w:val="22"/>
                            <w:szCs w:val="22"/>
                            <w:vertAlign w:val="superscript"/>
                            <w:lang w:val="en-GB"/>
                          </w:rPr>
                          <m:t>2</m:t>
                        </m:r>
                      </m:sup>
                    </m:sSup>
                    <m:r>
                      <m:rPr>
                        <m:sty m:val="p"/>
                      </m:rPr>
                      <w:rPr>
                        <w:rFonts w:ascii="Cambria Math" w:hAnsi="Cambria Math"/>
                        <w:sz w:val="22"/>
                        <w:szCs w:val="22"/>
                        <w:lang w:val="en-GB"/>
                      </w:rPr>
                      <m:t xml:space="preserve">+ </m:t>
                    </m:r>
                    <m:sSup>
                      <m:sSupPr>
                        <m:ctrlPr>
                          <w:rPr>
                            <w:rFonts w:ascii="Cambria Math" w:hAnsi="Cambria Math"/>
                            <w:i/>
                            <w:sz w:val="22"/>
                            <w:szCs w:val="22"/>
                            <w:lang w:val="en-GB"/>
                          </w:rPr>
                        </m:ctrlPr>
                      </m:sSupPr>
                      <m:e>
                        <m:r>
                          <w:rPr>
                            <w:rFonts w:ascii="Cambria Math" w:hAnsi="Cambria Math"/>
                            <w:sz w:val="22"/>
                            <w:szCs w:val="22"/>
                            <w:lang w:val="en-GB"/>
                          </w:rPr>
                          <m:t>w</m:t>
                        </m:r>
                      </m:e>
                      <m:sup>
                        <m:r>
                          <m:rPr>
                            <m:sty m:val="p"/>
                          </m:rPr>
                          <w:rPr>
                            <w:rFonts w:ascii="Cambria Math" w:hAnsi="Cambria Math"/>
                            <w:sz w:val="22"/>
                            <w:szCs w:val="22"/>
                            <w:lang w:val="en-GB"/>
                          </w:rPr>
                          <m:t>'</m:t>
                        </m:r>
                        <m:r>
                          <m:rPr>
                            <m:sty m:val="p"/>
                          </m:rPr>
                          <w:rPr>
                            <w:rFonts w:ascii="Cambria Math" w:hAnsi="Cambria Math"/>
                            <w:sz w:val="22"/>
                            <w:szCs w:val="22"/>
                            <w:vertAlign w:val="superscript"/>
                            <w:lang w:val="en-GB"/>
                          </w:rPr>
                          <m:t>2</m:t>
                        </m:r>
                      </m:sup>
                    </m:sSup>
                    <m:r>
                      <m:rPr>
                        <m:sty m:val="p"/>
                      </m:rPr>
                      <w:rPr>
                        <w:rFonts w:ascii="Cambria Math" w:hAnsi="Cambria Math"/>
                        <w:sz w:val="22"/>
                        <w:szCs w:val="22"/>
                        <w:lang w:val="en-GB"/>
                      </w:rPr>
                      <m:t xml:space="preserve">) </m:t>
                    </m:r>
                  </m:num>
                  <m:den>
                    <m:r>
                      <w:rPr>
                        <w:rFonts w:ascii="Cambria Math" w:hAnsi="Cambria Math"/>
                        <w:sz w:val="22"/>
                        <w:szCs w:val="22"/>
                        <w:lang w:val="en-GB"/>
                      </w:rPr>
                      <m:t>2</m:t>
                    </m:r>
                  </m:den>
                </m:f>
              </m:oMath>
            </m:oMathPara>
          </w:p>
        </w:tc>
        <w:tc>
          <w:tcPr>
            <w:tcW w:w="516" w:type="dxa"/>
            <w:vAlign w:val="center"/>
            <w:hideMark/>
          </w:tcPr>
          <w:p w14:paraId="7BE7189B" w14:textId="77777777" w:rsidR="007207BB" w:rsidRPr="007207BB" w:rsidRDefault="007207BB" w:rsidP="007207BB">
            <w:pPr>
              <w:pStyle w:val="SMText"/>
              <w:rPr>
                <w:rFonts w:ascii="Myriad Pro" w:hAnsi="Myriad Pro"/>
                <w:sz w:val="22"/>
                <w:szCs w:val="22"/>
                <w:lang w:val="en-GB"/>
              </w:rPr>
            </w:pPr>
            <w:r w:rsidRPr="007207BB">
              <w:rPr>
                <w:rFonts w:ascii="Myriad Pro" w:hAnsi="Myriad Pro"/>
                <w:sz w:val="22"/>
                <w:szCs w:val="22"/>
                <w:lang w:val="en-GB"/>
              </w:rPr>
              <w:t>(</w:t>
            </w:r>
            <w:r w:rsidRPr="007207BB">
              <w:rPr>
                <w:rFonts w:ascii="Myriad Pro" w:hAnsi="Myriad Pro"/>
                <w:sz w:val="22"/>
                <w:szCs w:val="22"/>
                <w:lang w:val="en-GB"/>
              </w:rPr>
              <w:fldChar w:fldCharType="begin"/>
            </w:r>
            <w:r w:rsidRPr="007207BB">
              <w:rPr>
                <w:rFonts w:ascii="Myriad Pro" w:hAnsi="Myriad Pro"/>
                <w:sz w:val="22"/>
                <w:szCs w:val="22"/>
                <w:lang w:val="en-GB"/>
              </w:rPr>
              <w:instrText xml:space="preserve"> SEQ Equation \* ARABIC </w:instrText>
            </w:r>
            <w:r w:rsidRPr="007207BB">
              <w:rPr>
                <w:rFonts w:ascii="Myriad Pro" w:hAnsi="Myriad Pro"/>
                <w:sz w:val="22"/>
                <w:szCs w:val="22"/>
                <w:lang w:val="en-GB"/>
              </w:rPr>
              <w:fldChar w:fldCharType="separate"/>
            </w:r>
            <w:r w:rsidRPr="007207BB">
              <w:rPr>
                <w:rFonts w:ascii="Myriad Pro" w:hAnsi="Myriad Pro"/>
                <w:sz w:val="22"/>
                <w:szCs w:val="22"/>
                <w:lang w:val="en-GB"/>
              </w:rPr>
              <w:t>1</w:t>
            </w:r>
            <w:r w:rsidRPr="007207BB">
              <w:rPr>
                <w:rFonts w:ascii="Myriad Pro" w:hAnsi="Myriad Pro"/>
                <w:sz w:val="22"/>
                <w:szCs w:val="22"/>
              </w:rPr>
              <w:fldChar w:fldCharType="end"/>
            </w:r>
            <w:r w:rsidRPr="007207BB">
              <w:rPr>
                <w:rFonts w:ascii="Myriad Pro" w:hAnsi="Myriad Pro"/>
                <w:sz w:val="22"/>
                <w:szCs w:val="22"/>
                <w:lang w:val="en-GB"/>
              </w:rPr>
              <w:t>)</w:t>
            </w:r>
          </w:p>
        </w:tc>
      </w:tr>
    </w:tbl>
    <w:p w14:paraId="21F60108" w14:textId="6DD1A72F" w:rsidR="007207BB" w:rsidRPr="007207BB" w:rsidRDefault="007207BB" w:rsidP="007207BB">
      <w:pPr>
        <w:pStyle w:val="SMText"/>
        <w:ind w:firstLine="0"/>
        <w:rPr>
          <w:rFonts w:ascii="Myriad Pro" w:hAnsi="Myriad Pro"/>
          <w:sz w:val="22"/>
          <w:szCs w:val="22"/>
          <w:lang w:val="en-GB"/>
        </w:rPr>
      </w:pPr>
      <w:r w:rsidRPr="007207BB">
        <w:rPr>
          <w:rFonts w:ascii="Myriad Pro" w:hAnsi="Myriad Pro"/>
          <w:sz w:val="22"/>
          <w:szCs w:val="22"/>
          <w:lang w:val="en-GB"/>
        </w:rPr>
        <w:t xml:space="preserve">Where </w:t>
      </w:r>
      <m:oMath>
        <m:sSup>
          <m:sSupPr>
            <m:ctrlPr>
              <w:rPr>
                <w:rFonts w:ascii="Cambria Math" w:hAnsi="Cambria Math"/>
                <w:i/>
                <w:sz w:val="22"/>
                <w:szCs w:val="22"/>
                <w:lang w:val="en-GB"/>
              </w:rPr>
            </m:ctrlPr>
          </m:sSupPr>
          <m:e>
            <m:r>
              <m:rPr>
                <m:sty m:val="p"/>
              </m:rPr>
              <w:rPr>
                <w:rFonts w:ascii="Cambria Math" w:hAnsi="Cambria Math"/>
                <w:sz w:val="22"/>
                <w:szCs w:val="22"/>
                <w:lang w:val="en-GB"/>
              </w:rPr>
              <m:t>u</m:t>
            </m:r>
          </m:e>
          <m:sup>
            <m:r>
              <m:rPr>
                <m:sty m:val="p"/>
              </m:rPr>
              <w:rPr>
                <w:rFonts w:ascii="Cambria Math" w:hAnsi="Cambria Math"/>
                <w:sz w:val="22"/>
                <w:szCs w:val="22"/>
                <w:lang w:val="en-GB"/>
              </w:rPr>
              <m:t>'</m:t>
            </m:r>
            <m:r>
              <m:rPr>
                <m:sty m:val="p"/>
              </m:rPr>
              <w:rPr>
                <w:rFonts w:ascii="Cambria Math" w:hAnsi="Cambria Math"/>
                <w:sz w:val="22"/>
                <w:szCs w:val="22"/>
                <w:vertAlign w:val="superscript"/>
                <w:lang w:val="en-GB"/>
              </w:rPr>
              <m:t>2</m:t>
            </m:r>
          </m:sup>
        </m:sSup>
        <m:r>
          <m:rPr>
            <m:sty m:val="p"/>
          </m:rPr>
          <w:rPr>
            <w:rFonts w:ascii="Cambria Math" w:hAnsi="Cambria Math"/>
            <w:sz w:val="22"/>
            <w:szCs w:val="22"/>
            <w:lang w:val="en-GB"/>
          </w:rPr>
          <m:t>,</m:t>
        </m:r>
        <m:sSup>
          <m:sSupPr>
            <m:ctrlPr>
              <w:rPr>
                <w:rFonts w:ascii="Cambria Math" w:hAnsi="Cambria Math"/>
                <w:i/>
                <w:sz w:val="22"/>
                <w:szCs w:val="22"/>
                <w:lang w:val="en-GB"/>
              </w:rPr>
            </m:ctrlPr>
          </m:sSupPr>
          <m:e>
            <m:r>
              <w:rPr>
                <w:rFonts w:ascii="Cambria Math" w:hAnsi="Cambria Math"/>
                <w:sz w:val="22"/>
                <w:szCs w:val="22"/>
                <w:lang w:val="en-GB"/>
              </w:rPr>
              <m:t>v</m:t>
            </m:r>
          </m:e>
          <m:sup>
            <m:r>
              <m:rPr>
                <m:sty m:val="p"/>
              </m:rPr>
              <w:rPr>
                <w:rFonts w:ascii="Cambria Math" w:hAnsi="Cambria Math"/>
                <w:sz w:val="22"/>
                <w:szCs w:val="22"/>
                <w:lang w:val="en-GB"/>
              </w:rPr>
              <m:t>'</m:t>
            </m:r>
            <m:r>
              <m:rPr>
                <m:sty m:val="p"/>
              </m:rPr>
              <w:rPr>
                <w:rFonts w:ascii="Cambria Math" w:hAnsi="Cambria Math"/>
                <w:sz w:val="22"/>
                <w:szCs w:val="22"/>
                <w:vertAlign w:val="superscript"/>
                <w:lang w:val="en-GB"/>
              </w:rPr>
              <m:t>2</m:t>
            </m:r>
          </m:sup>
        </m:sSup>
      </m:oMath>
      <w:r w:rsidRPr="007207BB">
        <w:rPr>
          <w:rFonts w:ascii="Myriad Pro" w:hAnsi="Myriad Pro"/>
          <w:sz w:val="22"/>
          <w:szCs w:val="22"/>
          <w:lang w:val="en-GB"/>
        </w:rPr>
        <w:t xml:space="preserve"> and </w:t>
      </w:r>
      <m:oMath>
        <m:sSup>
          <m:sSupPr>
            <m:ctrlPr>
              <w:rPr>
                <w:rFonts w:ascii="Cambria Math" w:hAnsi="Cambria Math"/>
                <w:i/>
                <w:sz w:val="22"/>
                <w:szCs w:val="22"/>
                <w:lang w:val="en-GB"/>
              </w:rPr>
            </m:ctrlPr>
          </m:sSupPr>
          <m:e>
            <m:r>
              <w:rPr>
                <w:rFonts w:ascii="Cambria Math" w:hAnsi="Cambria Math"/>
                <w:sz w:val="22"/>
                <w:szCs w:val="22"/>
                <w:lang w:val="en-GB"/>
              </w:rPr>
              <m:t>w</m:t>
            </m:r>
          </m:e>
          <m:sup>
            <m:r>
              <m:rPr>
                <m:sty m:val="p"/>
              </m:rPr>
              <w:rPr>
                <w:rFonts w:ascii="Cambria Math" w:hAnsi="Cambria Math"/>
                <w:sz w:val="22"/>
                <w:szCs w:val="22"/>
                <w:lang w:val="en-GB"/>
              </w:rPr>
              <m:t>'</m:t>
            </m:r>
            <m:r>
              <m:rPr>
                <m:sty m:val="p"/>
              </m:rPr>
              <w:rPr>
                <w:rFonts w:ascii="Cambria Math" w:hAnsi="Cambria Math"/>
                <w:sz w:val="22"/>
                <w:szCs w:val="22"/>
                <w:vertAlign w:val="superscript"/>
                <w:lang w:val="en-GB"/>
              </w:rPr>
              <m:t>2</m:t>
            </m:r>
          </m:sup>
        </m:sSup>
      </m:oMath>
      <w:r w:rsidRPr="007207BB">
        <w:rPr>
          <w:rFonts w:ascii="Myriad Pro" w:hAnsi="Myriad Pro"/>
          <w:sz w:val="22"/>
          <w:szCs w:val="22"/>
          <w:lang w:val="en-GB"/>
        </w:rPr>
        <w:t xml:space="preserve"> </w:t>
      </w:r>
      <w:r>
        <w:rPr>
          <w:rFonts w:ascii="Myriad Pro" w:hAnsi="Myriad Pro"/>
          <w:sz w:val="22"/>
          <w:szCs w:val="22"/>
          <w:lang w:val="en-GB"/>
        </w:rPr>
        <w:t>are</w:t>
      </w:r>
      <w:r w:rsidRPr="007207BB">
        <w:rPr>
          <w:rFonts w:ascii="Myriad Pro" w:hAnsi="Myriad Pro"/>
          <w:sz w:val="22"/>
          <w:szCs w:val="22"/>
          <w:lang w:val="en-GB"/>
        </w:rPr>
        <w:t xml:space="preserve"> the second order moment statistics for velocity in the streamwise, cross-stream and vertical directions, respectively. Subsequently, bed shear stress </w:t>
      </w:r>
      <m:oMath>
        <m:sSub>
          <m:sSubPr>
            <m:ctrlPr>
              <w:rPr>
                <w:rFonts w:ascii="Cambria Math" w:hAnsi="Cambria Math"/>
                <w:i/>
                <w:sz w:val="22"/>
                <w:szCs w:val="22"/>
                <w:lang w:val="en-GB"/>
              </w:rPr>
            </m:ctrlPr>
          </m:sSubPr>
          <m:e>
            <m:r>
              <m:rPr>
                <m:sty m:val="p"/>
              </m:rPr>
              <w:rPr>
                <w:rFonts w:ascii="Cambria Math" w:hAnsi="Cambria Math"/>
                <w:sz w:val="22"/>
                <w:szCs w:val="22"/>
                <w:lang w:val="en-GB"/>
              </w:rPr>
              <m:t>τ</m:t>
            </m:r>
          </m:e>
          <m:sub>
            <m:r>
              <w:rPr>
                <w:rFonts w:ascii="Cambria Math" w:hAnsi="Cambria Math"/>
                <w:sz w:val="22"/>
                <w:szCs w:val="22"/>
                <w:lang w:val="en-GB"/>
              </w:rPr>
              <m:t>b</m:t>
            </m:r>
          </m:sub>
        </m:sSub>
      </m:oMath>
      <w:r w:rsidRPr="007207BB">
        <w:rPr>
          <w:rFonts w:ascii="Myriad Pro" w:hAnsi="Myriad Pro"/>
          <w:sz w:val="22"/>
          <w:szCs w:val="22"/>
          <w:lang w:val="en-GB"/>
        </w:rPr>
        <w:t xml:space="preserve"> (N m</w:t>
      </w:r>
      <w:r w:rsidRPr="007207BB">
        <w:rPr>
          <w:rFonts w:ascii="Myriad Pro" w:hAnsi="Myriad Pro"/>
          <w:sz w:val="22"/>
          <w:szCs w:val="22"/>
          <w:vertAlign w:val="superscript"/>
          <w:lang w:val="en-GB"/>
        </w:rPr>
        <w:t>-2</w:t>
      </w:r>
      <w:r w:rsidRPr="007207BB">
        <w:rPr>
          <w:rFonts w:ascii="Myriad Pro" w:hAnsi="Myriad Pro"/>
          <w:sz w:val="22"/>
          <w:szCs w:val="22"/>
          <w:lang w:val="en-GB"/>
        </w:rPr>
        <w:t>) was estimated according to:</w:t>
      </w:r>
    </w:p>
    <w:p w14:paraId="759262D9" w14:textId="77777777" w:rsidR="007207BB" w:rsidRPr="007207BB" w:rsidRDefault="007207BB" w:rsidP="007207BB">
      <w:pPr>
        <w:pStyle w:val="SMText"/>
        <w:rPr>
          <w:rFonts w:ascii="Myriad Pro" w:hAnsi="Myriad Pro"/>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7175"/>
        <w:gridCol w:w="941"/>
      </w:tblGrid>
      <w:tr w:rsidR="007207BB" w:rsidRPr="007207BB" w14:paraId="7F87EA76" w14:textId="77777777" w:rsidTr="007207BB">
        <w:trPr>
          <w:trHeight w:val="497"/>
        </w:trPr>
        <w:tc>
          <w:tcPr>
            <w:tcW w:w="562" w:type="dxa"/>
          </w:tcPr>
          <w:p w14:paraId="0BE721F6" w14:textId="77777777" w:rsidR="007207BB" w:rsidRPr="007207BB" w:rsidRDefault="007207BB" w:rsidP="007207BB">
            <w:pPr>
              <w:pStyle w:val="SMText"/>
              <w:rPr>
                <w:rFonts w:ascii="Myriad Pro" w:hAnsi="Myriad Pro"/>
                <w:sz w:val="22"/>
                <w:szCs w:val="22"/>
                <w:lang w:val="en-GB"/>
              </w:rPr>
            </w:pPr>
          </w:p>
        </w:tc>
        <w:tc>
          <w:tcPr>
            <w:tcW w:w="7938" w:type="dxa"/>
            <w:hideMark/>
          </w:tcPr>
          <w:p w14:paraId="3D0E890C" w14:textId="08EC8FC3" w:rsidR="007207BB" w:rsidRPr="007207BB" w:rsidRDefault="00412637" w:rsidP="007207BB">
            <w:pPr>
              <w:pStyle w:val="SMText"/>
              <w:rPr>
                <w:rFonts w:ascii="Myriad Pro" w:hAnsi="Myriad Pro"/>
                <w:sz w:val="22"/>
                <w:szCs w:val="22"/>
                <w:lang w:val="en-GB"/>
              </w:rPr>
            </w:pPr>
            <m:oMathPara>
              <m:oMath>
                <m:sSub>
                  <m:sSubPr>
                    <m:ctrlPr>
                      <w:rPr>
                        <w:rFonts w:ascii="Cambria Math" w:hAnsi="Cambria Math"/>
                        <w:i/>
                        <w:sz w:val="22"/>
                        <w:szCs w:val="22"/>
                        <w:lang w:val="en-GB"/>
                      </w:rPr>
                    </m:ctrlPr>
                  </m:sSubPr>
                  <m:e>
                    <m:r>
                      <m:rPr>
                        <m:sty m:val="p"/>
                      </m:rPr>
                      <w:rPr>
                        <w:rFonts w:ascii="Cambria Math" w:hAnsi="Cambria Math"/>
                        <w:sz w:val="22"/>
                        <w:szCs w:val="22"/>
                        <w:lang w:val="en-GB"/>
                      </w:rPr>
                      <m:t>τ</m:t>
                    </m:r>
                  </m:e>
                  <m:sub>
                    <m:r>
                      <w:rPr>
                        <w:rFonts w:ascii="Cambria Math" w:hAnsi="Cambria Math"/>
                        <w:sz w:val="22"/>
                        <w:szCs w:val="22"/>
                        <w:lang w:val="en-GB"/>
                      </w:rPr>
                      <m:t>b</m:t>
                    </m:r>
                  </m:sub>
                </m:sSub>
                <m:r>
                  <w:rPr>
                    <w:rFonts w:ascii="Cambria Math" w:hAnsi="Cambria Math"/>
                    <w:sz w:val="22"/>
                    <w:szCs w:val="22"/>
                    <w:lang w:val="en-GB"/>
                  </w:rPr>
                  <m:t>=</m:t>
                </m:r>
                <m:sSub>
                  <m:sSubPr>
                    <m:ctrlPr>
                      <w:rPr>
                        <w:rFonts w:ascii="Cambria Math" w:hAnsi="Cambria Math"/>
                        <w:i/>
                        <w:iCs/>
                        <w:sz w:val="22"/>
                        <w:szCs w:val="22"/>
                        <w:lang w:val="en-GB"/>
                      </w:rPr>
                    </m:ctrlPr>
                  </m:sSubPr>
                  <m:e>
                    <m:r>
                      <w:rPr>
                        <w:rFonts w:ascii="Cambria Math" w:hAnsi="Cambria Math"/>
                        <w:sz w:val="22"/>
                        <w:szCs w:val="22"/>
                        <w:lang w:val="en-GB"/>
                      </w:rPr>
                      <m:t>C</m:t>
                    </m:r>
                  </m:e>
                  <m:sub>
                    <m:r>
                      <w:rPr>
                        <w:rFonts w:ascii="Cambria Math" w:hAnsi="Cambria Math"/>
                        <w:sz w:val="22"/>
                        <w:szCs w:val="22"/>
                        <w:lang w:val="en-GB"/>
                      </w:rPr>
                      <m:t>1</m:t>
                    </m:r>
                  </m:sub>
                </m:sSub>
                <m:sSub>
                  <m:sSubPr>
                    <m:ctrlPr>
                      <w:rPr>
                        <w:rFonts w:ascii="Cambria Math" w:hAnsi="Cambria Math"/>
                        <w:sz w:val="22"/>
                        <w:szCs w:val="22"/>
                        <w:lang w:val="en-GB"/>
                      </w:rPr>
                    </m:ctrlPr>
                  </m:sSubPr>
                  <m:e>
                    <m:r>
                      <m:rPr>
                        <m:sty m:val="p"/>
                      </m:rPr>
                      <w:rPr>
                        <w:rFonts w:ascii="Cambria Math" w:hAnsi="Cambria Math"/>
                        <w:sz w:val="22"/>
                        <w:szCs w:val="22"/>
                        <w:lang w:val="en-GB"/>
                      </w:rPr>
                      <m:t>ρ</m:t>
                    </m:r>
                  </m:e>
                  <m:sub>
                    <m:r>
                      <w:rPr>
                        <w:rFonts w:ascii="Cambria Math" w:hAnsi="Cambria Math"/>
                        <w:sz w:val="22"/>
                        <w:szCs w:val="22"/>
                        <w:lang w:val="en-GB"/>
                      </w:rPr>
                      <m:t>w</m:t>
                    </m:r>
                  </m:sub>
                </m:sSub>
                <m:r>
                  <w:rPr>
                    <w:rFonts w:ascii="Cambria Math" w:hAnsi="Cambria Math"/>
                    <w:sz w:val="22"/>
                    <w:szCs w:val="22"/>
                    <w:lang w:val="en-GB"/>
                  </w:rPr>
                  <m:t>E</m:t>
                </m:r>
              </m:oMath>
            </m:oMathPara>
          </w:p>
        </w:tc>
        <w:tc>
          <w:tcPr>
            <w:tcW w:w="516" w:type="dxa"/>
            <w:vAlign w:val="center"/>
            <w:hideMark/>
          </w:tcPr>
          <w:p w14:paraId="71AC716A" w14:textId="77777777" w:rsidR="007207BB" w:rsidRPr="007207BB" w:rsidRDefault="007207BB" w:rsidP="007207BB">
            <w:pPr>
              <w:pStyle w:val="SMText"/>
              <w:rPr>
                <w:rFonts w:ascii="Myriad Pro" w:hAnsi="Myriad Pro"/>
                <w:sz w:val="22"/>
                <w:szCs w:val="22"/>
                <w:lang w:val="en-GB"/>
              </w:rPr>
            </w:pPr>
            <w:r w:rsidRPr="007207BB">
              <w:rPr>
                <w:rFonts w:ascii="Myriad Pro" w:hAnsi="Myriad Pro"/>
                <w:sz w:val="22"/>
                <w:szCs w:val="22"/>
                <w:lang w:val="en-GB"/>
              </w:rPr>
              <w:t>(</w:t>
            </w:r>
            <w:r w:rsidRPr="007207BB">
              <w:rPr>
                <w:rFonts w:ascii="Myriad Pro" w:hAnsi="Myriad Pro"/>
                <w:sz w:val="22"/>
                <w:szCs w:val="22"/>
                <w:lang w:val="en-GB"/>
              </w:rPr>
              <w:fldChar w:fldCharType="begin"/>
            </w:r>
            <w:r w:rsidRPr="007207BB">
              <w:rPr>
                <w:rFonts w:ascii="Myriad Pro" w:hAnsi="Myriad Pro"/>
                <w:sz w:val="22"/>
                <w:szCs w:val="22"/>
                <w:lang w:val="en-GB"/>
              </w:rPr>
              <w:instrText xml:space="preserve"> SEQ Equation \* ARABIC </w:instrText>
            </w:r>
            <w:r w:rsidRPr="007207BB">
              <w:rPr>
                <w:rFonts w:ascii="Myriad Pro" w:hAnsi="Myriad Pro"/>
                <w:sz w:val="22"/>
                <w:szCs w:val="22"/>
                <w:lang w:val="en-GB"/>
              </w:rPr>
              <w:fldChar w:fldCharType="separate"/>
            </w:r>
            <w:r w:rsidRPr="007207BB">
              <w:rPr>
                <w:rFonts w:ascii="Myriad Pro" w:hAnsi="Myriad Pro"/>
                <w:sz w:val="22"/>
                <w:szCs w:val="22"/>
                <w:lang w:val="en-GB"/>
              </w:rPr>
              <w:t>2</w:t>
            </w:r>
            <w:r w:rsidRPr="007207BB">
              <w:rPr>
                <w:rFonts w:ascii="Myriad Pro" w:hAnsi="Myriad Pro"/>
                <w:sz w:val="22"/>
                <w:szCs w:val="22"/>
              </w:rPr>
              <w:fldChar w:fldCharType="end"/>
            </w:r>
            <w:r w:rsidRPr="007207BB">
              <w:rPr>
                <w:rFonts w:ascii="Myriad Pro" w:hAnsi="Myriad Pro"/>
                <w:sz w:val="22"/>
                <w:szCs w:val="22"/>
                <w:lang w:val="en-GB"/>
              </w:rPr>
              <w:t>)</w:t>
            </w:r>
          </w:p>
        </w:tc>
      </w:tr>
    </w:tbl>
    <w:p w14:paraId="1C3AB3EB" w14:textId="77777777" w:rsidR="007207BB" w:rsidRPr="007207BB" w:rsidRDefault="007207BB" w:rsidP="007207BB">
      <w:pPr>
        <w:pStyle w:val="SMText"/>
        <w:rPr>
          <w:rFonts w:ascii="Myriad Pro" w:hAnsi="Myriad Pro"/>
          <w:sz w:val="22"/>
          <w:szCs w:val="22"/>
          <w:lang w:val="en-GB"/>
        </w:rPr>
      </w:pPr>
    </w:p>
    <w:p w14:paraId="13150C60" w14:textId="38B95657" w:rsidR="007207BB" w:rsidRPr="007207BB" w:rsidRDefault="007207BB" w:rsidP="007207BB">
      <w:pPr>
        <w:pStyle w:val="SMText"/>
        <w:ind w:firstLine="0"/>
        <w:rPr>
          <w:rFonts w:ascii="Myriad Pro" w:hAnsi="Myriad Pro"/>
          <w:sz w:val="22"/>
          <w:szCs w:val="22"/>
          <w:vertAlign w:val="superscript"/>
          <w:lang w:val="en-GB"/>
        </w:rPr>
      </w:pPr>
      <w:r w:rsidRPr="007207BB">
        <w:rPr>
          <w:rFonts w:ascii="Myriad Pro" w:hAnsi="Myriad Pro"/>
          <w:sz w:val="22"/>
          <w:szCs w:val="22"/>
          <w:lang w:val="en-GB"/>
        </w:rPr>
        <w:t xml:space="preserve">Where constant </w:t>
      </w:r>
      <m:oMath>
        <m:sSub>
          <m:sSubPr>
            <m:ctrlPr>
              <w:rPr>
                <w:rFonts w:ascii="Cambria Math" w:hAnsi="Cambria Math"/>
                <w:i/>
                <w:iCs/>
                <w:sz w:val="22"/>
                <w:szCs w:val="22"/>
                <w:lang w:val="en-GB"/>
              </w:rPr>
            </m:ctrlPr>
          </m:sSubPr>
          <m:e>
            <m:r>
              <w:rPr>
                <w:rFonts w:ascii="Cambria Math" w:hAnsi="Cambria Math"/>
                <w:sz w:val="22"/>
                <w:szCs w:val="22"/>
                <w:lang w:val="en-GB"/>
              </w:rPr>
              <m:t>C</m:t>
            </m:r>
          </m:e>
          <m:sub>
            <m:r>
              <w:rPr>
                <w:rFonts w:ascii="Cambria Math" w:hAnsi="Cambria Math"/>
                <w:sz w:val="22"/>
                <w:szCs w:val="22"/>
                <w:lang w:val="en-GB"/>
              </w:rPr>
              <m:t>1</m:t>
            </m:r>
          </m:sub>
        </m:sSub>
      </m:oMath>
      <w:r w:rsidRPr="007207BB">
        <w:rPr>
          <w:rFonts w:ascii="Myriad Pro" w:hAnsi="Myriad Pro"/>
          <w:sz w:val="22"/>
          <w:szCs w:val="22"/>
          <w:lang w:val="en-GB"/>
        </w:rPr>
        <w:t xml:space="preserve"> = 0.19 </w:t>
      </w:r>
      <w:r w:rsidRPr="007207BB">
        <w:rPr>
          <w:rFonts w:ascii="Myriad Pro" w:hAnsi="Myriad Pro"/>
          <w:sz w:val="22"/>
          <w:szCs w:val="22"/>
          <w:lang w:val="en-GB"/>
        </w:rPr>
        <w:fldChar w:fldCharType="begin" w:fldLock="1"/>
      </w:r>
      <w:r w:rsidRPr="007207BB">
        <w:rPr>
          <w:rFonts w:ascii="Myriad Pro" w:hAnsi="Myriad Pro"/>
          <w:sz w:val="22"/>
          <w:szCs w:val="22"/>
          <w:lang w:val="en-GB"/>
        </w:rPr>
        <w:instrText xml:space="preserve"> ADDIN ZOTERO_ITEM CSL_CITATION {"citationID":"0y53dWst","properties":{"formattedCitation":"(Soulsby, 1983; Stapleton &amp; Huntley, 1995)","plainCitation":"(Soulsby, 1983; Stapleton &amp; Huntley, 1995)","noteIndex":0},"citationItems":[{"id":"VwTTq32M/L0FgvcrB","uris":["http://www.mendeley.com/documents/?uuid=c218fbe4-98ec-3ecf-8a8c-50c7cc9cae0f"],"uri":["http://www.mendeley.com/documents/?uuid=c218fbe4-98ec-3ecf-8a8c-50c7cc9cae0f"],"itemData":{"DOI":"10.1002/esp.3290200906","ISSN":"01979337","author":[{"dropping-particle":"","family":"Stapleton","given":"K. R.","non-dropping-particle":"","parse-names":false,"suffix":""},{"dropping-particle":"","family":"Huntley","given":"D. A.","non-dropping-particle":"","parse-names":false,"suffix":""}],"container-title":"Earth Surface Processes and Landforms","id":"ITEM-1","issue":"9","issued":{"date-parts":[["1995"]]},"page":"807-815","title":"Seabed stress determinations using the inertial dissipation method and the turbulent kinetic energy method","type":"article-journal","volume":"20"}},{"id":"VwTTq32M/WuAjPSte","uris":["http://www.mendeley.com/documents/?uuid=5ef097e5-a602-3809-b70e-d2e8a2cdf52b"],"uri":["http://www.mendeley.com/documents/?uuid=5ef097e5-a602-3809-b70e-d2e8a2cdf52b"],"itemData":{"DOI":"10.1016/S0422-9894(08)70503-8","ISSN":"04229894","abstract":"This chapter discusses the bottom boundary layer of shelf seas; and describes the principal features of the vertical current structure and the turbulence properties observed in the various kinds of bottom boundary layer encountered in shelf seas. Spectra of turbulence and the bursting phenomenon are also discussed. The oscillatory–planetary boundary layer in a shallow sea may be depth-limited, it will frequently exhibit significant thermal stratification effects, it may additionally be modified by sand-waves or sandbanks, and for non-uniform sediment distributions it may also develop an internal boundary layer. The boundary layer beneath tidal and other currents on the continental shelf exhibit many similarities with boundary layers in the atmosphere and the laboratory. Measurements of turbulence profiles would help to improve empirical expressions for the scaling of the spectral distribution of turbulent energy. Although considerable effort has gone into the study of the bursting phenomenon in its own right, especially in the laboratory, it still remains for a practical and usable method to be proposed that will incorporate the processes involved into a theoretical framework for the bottom boundary layer. © 1983, Elsevier B.V. All rights reserved.","author":[{"dropping-particle":"","family":"Soulsby","given":"R. L.","non-dropping-particle":"","parse-names":false,"suffix":""}],"container-title":"Elsevier Oceanography Series","id":"ITEM-2","issue":"C","issued":{"date-parts":[["1983","1","1"]]},"page":"189-266","title":"The bottom boundary layer of shelf seas","type":"article-journal","volume":"35"}}],"schema":"https://github.com/citation-style-language/schema/raw/master/csl-citation.json"} </w:instrText>
      </w:r>
      <w:r w:rsidRPr="007207BB">
        <w:rPr>
          <w:rFonts w:ascii="Myriad Pro" w:hAnsi="Myriad Pro"/>
          <w:sz w:val="22"/>
          <w:szCs w:val="22"/>
          <w:lang w:val="en-GB"/>
        </w:rPr>
        <w:fldChar w:fldCharType="separate"/>
      </w:r>
      <w:r w:rsidRPr="007207BB">
        <w:rPr>
          <w:rFonts w:ascii="Myriad Pro" w:hAnsi="Myriad Pro"/>
          <w:sz w:val="22"/>
          <w:szCs w:val="22"/>
          <w:lang w:val="en-GB"/>
        </w:rPr>
        <w:t>(Soulsby, 1983; Stapleton &amp; Huntley, 1995)</w:t>
      </w:r>
      <w:r w:rsidRPr="007207BB">
        <w:rPr>
          <w:rFonts w:ascii="Myriad Pro" w:hAnsi="Myriad Pro"/>
          <w:sz w:val="22"/>
          <w:szCs w:val="22"/>
        </w:rPr>
        <w:fldChar w:fldCharType="end"/>
      </w:r>
      <w:r w:rsidRPr="007207BB">
        <w:rPr>
          <w:rFonts w:ascii="Myriad Pro" w:hAnsi="Myriad Pro"/>
          <w:sz w:val="22"/>
          <w:szCs w:val="22"/>
          <w:lang w:val="en-GB"/>
        </w:rPr>
        <w:t xml:space="preserve"> and, </w:t>
      </w:r>
      <m:oMath>
        <m:sSub>
          <m:sSubPr>
            <m:ctrlPr>
              <w:rPr>
                <w:rFonts w:ascii="Cambria Math" w:hAnsi="Cambria Math"/>
                <w:sz w:val="22"/>
                <w:szCs w:val="22"/>
                <w:lang w:val="en-GB"/>
              </w:rPr>
            </m:ctrlPr>
          </m:sSubPr>
          <m:e>
            <m:r>
              <m:rPr>
                <m:sty m:val="p"/>
              </m:rPr>
              <w:rPr>
                <w:rFonts w:ascii="Cambria Math" w:hAnsi="Cambria Math"/>
                <w:sz w:val="22"/>
                <w:szCs w:val="22"/>
                <w:lang w:val="en-GB"/>
              </w:rPr>
              <m:t>ρ</m:t>
            </m:r>
          </m:e>
          <m:sub>
            <m:r>
              <w:rPr>
                <w:rFonts w:ascii="Cambria Math" w:hAnsi="Cambria Math"/>
                <w:sz w:val="22"/>
                <w:szCs w:val="22"/>
                <w:lang w:val="en-GB"/>
              </w:rPr>
              <m:t>w</m:t>
            </m:r>
          </m:sub>
        </m:sSub>
      </m:oMath>
      <w:r w:rsidRPr="007207BB">
        <w:rPr>
          <w:rFonts w:ascii="Myriad Pro" w:hAnsi="Myriad Pro"/>
          <w:sz w:val="22"/>
          <w:szCs w:val="22"/>
          <w:lang w:val="en-GB"/>
        </w:rPr>
        <w:t xml:space="preserve"> is water density = 1000 kg m</w:t>
      </w:r>
      <w:r w:rsidRPr="007207BB">
        <w:rPr>
          <w:rFonts w:ascii="Myriad Pro" w:hAnsi="Myriad Pro"/>
          <w:sz w:val="22"/>
          <w:szCs w:val="22"/>
          <w:vertAlign w:val="superscript"/>
          <w:lang w:val="en-GB"/>
        </w:rPr>
        <w:t xml:space="preserve">-3. </w:t>
      </w:r>
    </w:p>
    <w:p w14:paraId="7989F094" w14:textId="77777777" w:rsidR="00355362" w:rsidRPr="007207BB" w:rsidRDefault="00355362" w:rsidP="00EF25A3">
      <w:pPr>
        <w:pStyle w:val="SMText"/>
        <w:ind w:firstLine="0"/>
        <w:rPr>
          <w:rFonts w:ascii="Myriad Pro" w:hAnsi="Myriad Pro"/>
          <w:sz w:val="22"/>
          <w:szCs w:val="22"/>
          <w:lang w:val="en-GB"/>
        </w:rPr>
      </w:pPr>
    </w:p>
    <w:p w14:paraId="3C7A16EF" w14:textId="0E94C1D7" w:rsidR="009A5287" w:rsidRPr="00CE6EAA" w:rsidRDefault="009A5287" w:rsidP="00571FAD">
      <w:pPr>
        <w:pStyle w:val="SMText"/>
        <w:ind w:firstLine="0"/>
        <w:rPr>
          <w:rFonts w:ascii="Myriad Pro" w:hAnsi="Myriad Pro"/>
        </w:rPr>
      </w:pPr>
    </w:p>
    <w:p w14:paraId="32CE9E2D" w14:textId="77777777" w:rsidR="003E1980" w:rsidRPr="00CE6EAA" w:rsidRDefault="003E1980" w:rsidP="009A5287">
      <w:pPr>
        <w:pStyle w:val="SMcaption"/>
        <w:rPr>
          <w:rFonts w:ascii="Myriad Pro" w:hAnsi="Myriad Pro"/>
        </w:rPr>
      </w:pPr>
    </w:p>
    <w:p w14:paraId="645A0A45" w14:textId="77777777" w:rsidR="007207BB" w:rsidRDefault="007207BB" w:rsidP="003E1980">
      <w:pPr>
        <w:pStyle w:val="SMHeading"/>
        <w:rPr>
          <w:rFonts w:ascii="Myriad Pro" w:hAnsi="Myriad Pro"/>
          <w:sz w:val="22"/>
          <w:szCs w:val="22"/>
        </w:rPr>
      </w:pPr>
      <w:r>
        <w:rPr>
          <w:noProof/>
          <w:lang w:val="en-GB" w:eastAsia="en-GB"/>
        </w:rPr>
        <w:lastRenderedPageBreak/>
        <w:drawing>
          <wp:inline distT="0" distB="0" distL="0" distR="0" wp14:anchorId="348A2404" wp14:editId="32946F9E">
            <wp:extent cx="4906010" cy="4969510"/>
            <wp:effectExtent l="0" t="0" r="0" b="2540"/>
            <wp:docPr id="2" name="Picture 2" descr="P97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971#yI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6010" cy="4969510"/>
                    </a:xfrm>
                    <a:prstGeom prst="rect">
                      <a:avLst/>
                    </a:prstGeom>
                    <a:noFill/>
                    <a:ln>
                      <a:noFill/>
                    </a:ln>
                  </pic:spPr>
                </pic:pic>
              </a:graphicData>
            </a:graphic>
          </wp:inline>
        </w:drawing>
      </w:r>
    </w:p>
    <w:p w14:paraId="2A630BF5" w14:textId="3571A880" w:rsidR="003E1980" w:rsidRDefault="00227D86" w:rsidP="003E1980">
      <w:pPr>
        <w:pStyle w:val="SMHeading"/>
        <w:rPr>
          <w:rFonts w:ascii="Myriad Pro" w:hAnsi="Myriad Pro"/>
          <w:b w:val="0"/>
          <w:iCs/>
          <w:sz w:val="22"/>
          <w:szCs w:val="22"/>
          <w:lang w:val="en-GB"/>
        </w:rPr>
      </w:pPr>
      <w:r w:rsidRPr="005314B5">
        <w:rPr>
          <w:rFonts w:ascii="Myriad Pro" w:hAnsi="Myriad Pro"/>
          <w:sz w:val="22"/>
          <w:szCs w:val="22"/>
        </w:rPr>
        <w:t>Figure S1</w:t>
      </w:r>
      <w:r w:rsidR="003E1980" w:rsidRPr="005314B5">
        <w:rPr>
          <w:rFonts w:ascii="Myriad Pro" w:hAnsi="Myriad Pro"/>
          <w:sz w:val="22"/>
          <w:szCs w:val="22"/>
        </w:rPr>
        <w:t xml:space="preserve">. </w:t>
      </w:r>
      <w:r w:rsidR="007207BB" w:rsidRPr="007207BB">
        <w:rPr>
          <w:rFonts w:ascii="Myriad Pro" w:hAnsi="Myriad Pro"/>
          <w:b w:val="0"/>
          <w:iCs/>
          <w:sz w:val="22"/>
          <w:szCs w:val="22"/>
          <w:lang w:val="en-GB"/>
        </w:rPr>
        <w:t xml:space="preserve">Association between width (b axis) and depth (c axis) of cases of each species. A linear trend between b and c was used to estimate the unknown c axis of caddisfly used in the flume experiments. The trend is weaker for </w:t>
      </w:r>
      <w:r w:rsidR="007207BB" w:rsidRPr="007207BB">
        <w:rPr>
          <w:rFonts w:ascii="Myriad Pro" w:hAnsi="Myriad Pro"/>
          <w:b w:val="0"/>
          <w:i/>
          <w:sz w:val="22"/>
          <w:szCs w:val="22"/>
          <w:lang w:val="en-GB"/>
        </w:rPr>
        <w:t xml:space="preserve">P. </w:t>
      </w:r>
      <w:proofErr w:type="spellStart"/>
      <w:r w:rsidR="007207BB" w:rsidRPr="007207BB">
        <w:rPr>
          <w:rFonts w:ascii="Myriad Pro" w:hAnsi="Myriad Pro"/>
          <w:b w:val="0"/>
          <w:i/>
          <w:sz w:val="22"/>
          <w:szCs w:val="22"/>
          <w:lang w:val="en-GB"/>
        </w:rPr>
        <w:t>latipennis</w:t>
      </w:r>
      <w:proofErr w:type="spellEnd"/>
      <w:r w:rsidR="007207BB" w:rsidRPr="007207BB">
        <w:rPr>
          <w:rFonts w:ascii="Myriad Pro" w:hAnsi="Myriad Pro"/>
          <w:b w:val="0"/>
          <w:iCs/>
          <w:sz w:val="22"/>
          <w:szCs w:val="22"/>
          <w:lang w:val="en-GB"/>
        </w:rPr>
        <w:t xml:space="preserve"> and particularly </w:t>
      </w:r>
      <w:r w:rsidR="007207BB" w:rsidRPr="007207BB">
        <w:rPr>
          <w:rFonts w:ascii="Myriad Pro" w:hAnsi="Myriad Pro"/>
          <w:b w:val="0"/>
          <w:i/>
          <w:sz w:val="22"/>
          <w:szCs w:val="22"/>
          <w:lang w:val="en-GB"/>
        </w:rPr>
        <w:t>A. fuscipes</w:t>
      </w:r>
      <w:r w:rsidR="007207BB" w:rsidRPr="007207BB">
        <w:rPr>
          <w:rFonts w:ascii="Myriad Pro" w:hAnsi="Myriad Pro"/>
          <w:b w:val="0"/>
          <w:iCs/>
          <w:sz w:val="22"/>
          <w:szCs w:val="22"/>
          <w:lang w:val="en-GB"/>
        </w:rPr>
        <w:t xml:space="preserve"> due to </w:t>
      </w:r>
      <w:r w:rsidR="007207BB" w:rsidRPr="007207BB">
        <w:rPr>
          <w:rFonts w:ascii="Myriad Pro" w:hAnsi="Myriad Pro"/>
          <w:b w:val="0"/>
          <w:iCs/>
          <w:sz w:val="22"/>
          <w:szCs w:val="22"/>
          <w:lang w:val="en-GB"/>
        </w:rPr>
        <w:lastRenderedPageBreak/>
        <w:t>variability in case design between species. However, it provides a sufficiently accurate method to calculate case volume for the analysis in this paper because it distinguishes between species.</w:t>
      </w:r>
    </w:p>
    <w:p w14:paraId="6698CA8A" w14:textId="6B00C750" w:rsidR="007207BB" w:rsidRDefault="007207BB" w:rsidP="00B877A8">
      <w:pPr>
        <w:pStyle w:val="SMHeading"/>
        <w:jc w:val="center"/>
        <w:rPr>
          <w:rFonts w:ascii="Myriad Pro" w:hAnsi="Myriad Pro"/>
          <w:b w:val="0"/>
          <w:iCs/>
          <w:sz w:val="22"/>
          <w:szCs w:val="22"/>
          <w:lang w:val="en-GB"/>
        </w:rPr>
      </w:pPr>
      <w:r w:rsidRPr="007207BB">
        <w:rPr>
          <w:rFonts w:eastAsia="Calibri"/>
          <w:b w:val="0"/>
          <w:bCs w:val="0"/>
          <w:noProof/>
          <w:kern w:val="0"/>
          <w:sz w:val="20"/>
          <w:szCs w:val="22"/>
          <w:lang w:val="en-GB" w:eastAsia="en-GB"/>
        </w:rPr>
        <w:drawing>
          <wp:inline distT="0" distB="0" distL="0" distR="0" wp14:anchorId="17EB3250" wp14:editId="34F5F06B">
            <wp:extent cx="3566160" cy="3188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6160" cy="3188335"/>
                    </a:xfrm>
                    <a:prstGeom prst="rect">
                      <a:avLst/>
                    </a:prstGeom>
                    <a:noFill/>
                  </pic:spPr>
                </pic:pic>
              </a:graphicData>
            </a:graphic>
          </wp:inline>
        </w:drawing>
      </w:r>
    </w:p>
    <w:p w14:paraId="47D05CE5" w14:textId="66E2ED52" w:rsidR="007207BB" w:rsidRPr="007207BB" w:rsidRDefault="007207BB" w:rsidP="007207BB">
      <w:pPr>
        <w:pStyle w:val="SMHeading"/>
        <w:rPr>
          <w:rFonts w:ascii="Myriad Pro" w:hAnsi="Myriad Pro"/>
          <w:iCs/>
          <w:sz w:val="22"/>
          <w:szCs w:val="22"/>
          <w:lang w:val="en-GB"/>
        </w:rPr>
      </w:pPr>
      <w:r>
        <w:rPr>
          <w:rFonts w:ascii="Myriad Pro" w:hAnsi="Myriad Pro"/>
          <w:sz w:val="22"/>
          <w:szCs w:val="22"/>
        </w:rPr>
        <w:t>Figure S2</w:t>
      </w:r>
      <w:r w:rsidRPr="005314B5">
        <w:rPr>
          <w:rFonts w:ascii="Myriad Pro" w:hAnsi="Myriad Pro"/>
          <w:sz w:val="22"/>
          <w:szCs w:val="22"/>
        </w:rPr>
        <w:t xml:space="preserve">. </w:t>
      </w:r>
      <w:r w:rsidRPr="007207BB">
        <w:rPr>
          <w:rFonts w:ascii="Myriad Pro" w:hAnsi="Myriad Pro"/>
          <w:b w:val="0"/>
          <w:iCs/>
          <w:sz w:val="22"/>
          <w:szCs w:val="22"/>
          <w:lang w:val="en-GB"/>
        </w:rPr>
        <w:t xml:space="preserve">Tertiary diagram of particle shape (after </w:t>
      </w:r>
      <w:r w:rsidRPr="007207BB">
        <w:rPr>
          <w:rFonts w:ascii="Myriad Pro" w:hAnsi="Myriad Pro"/>
          <w:b w:val="0"/>
          <w:iCs/>
          <w:sz w:val="22"/>
          <w:szCs w:val="22"/>
          <w:lang w:val="en-GB"/>
        </w:rPr>
        <w:fldChar w:fldCharType="begin" w:fldLock="1"/>
      </w:r>
      <w:r w:rsidRPr="007207BB">
        <w:rPr>
          <w:rFonts w:ascii="Myriad Pro" w:hAnsi="Myriad Pro"/>
          <w:b w:val="0"/>
          <w:iCs/>
          <w:sz w:val="22"/>
          <w:szCs w:val="22"/>
          <w:lang w:val="en-GB"/>
        </w:rPr>
        <w:instrText xml:space="preserve"> ADDIN ZOTERO_ITEM CSL_CITATION {"citationID":"pn3WwoUA","properties":{"formattedCitation":"(Graham &amp; Midgley, n.d.)","plainCitation":"(Graham &amp; Midgley, n.d.)","dontUpdate":true,"noteIndex":0},"citationItems":[{"id":"VwTTq32M/2GoUVCXN","uris":["http://www.mendeley.com/documents/?uuid=cee8510c-a932-357d-9b12-0e5d18840ddd"],"uri":["http://www.mendeley.com/documents/?uuid=cee8510c-a932-357d-9b12-0e5d18840ddd"],"itemData":{"abstract":"Analysis of the shape of sedimentary particles can provide information about their transport history and aid facies differentiation and the characterization of depositional environments. Triangular (Sneed and Folk) diagrams, employing ratios of the three orthogonal particle axes, have been advocated as the most appropriate method for unbiased presentation of primary particle shape data. A spreadsheet method for the production of these diagrams is described. Clast data-sets from a range of environments are presented using this method. An alternative use of the spreadsheet for the presentation of sedimentary fabric shape is suggested.","author":[{"dropping-particle":"","family":"Graham","given":"David J","non-dropping-particle":"","parse-names":false,"suffix":""},{"dropping-particle":"","family":"Midgley","given":"Nicholas G","non-dropping-particle":"","parse-names":false,"suffix":""}],"id":"ITEM-1","issued":{"date-parts":[["0"]]},"title":"TECHNICAL COMMUNICATION GRAPHICAL REPRESENTATION OF PARTICLE SHAPE USING TRIANGULAR DIAGRAMS: AN EXCEL SPREADSHEET METHOD","type":"report"}}],"schema":"https://github.com/citation-style-language/schema/raw/master/csl-citation.json"} </w:instrText>
      </w:r>
      <w:r w:rsidRPr="007207BB">
        <w:rPr>
          <w:rFonts w:ascii="Myriad Pro" w:hAnsi="Myriad Pro"/>
          <w:b w:val="0"/>
          <w:iCs/>
          <w:sz w:val="22"/>
          <w:szCs w:val="22"/>
          <w:lang w:val="en-GB"/>
        </w:rPr>
        <w:fldChar w:fldCharType="separate"/>
      </w:r>
      <w:r w:rsidRPr="007207BB">
        <w:rPr>
          <w:rFonts w:ascii="Myriad Pro" w:hAnsi="Myriad Pro"/>
          <w:b w:val="0"/>
          <w:iCs/>
          <w:sz w:val="22"/>
          <w:szCs w:val="22"/>
          <w:lang w:val="en-GB"/>
        </w:rPr>
        <w:t>Graham &amp; Midgley, 2000)</w:t>
      </w:r>
      <w:r w:rsidRPr="007207BB">
        <w:rPr>
          <w:rFonts w:ascii="Myriad Pro" w:hAnsi="Myriad Pro"/>
          <w:b w:val="0"/>
          <w:iCs/>
          <w:sz w:val="22"/>
          <w:szCs w:val="22"/>
          <w:lang w:val="en-GB"/>
        </w:rPr>
        <w:fldChar w:fldCharType="end"/>
      </w:r>
      <w:r w:rsidRPr="007207BB">
        <w:rPr>
          <w:rFonts w:ascii="Myriad Pro" w:hAnsi="Myriad Pro"/>
          <w:b w:val="0"/>
          <w:iCs/>
          <w:sz w:val="22"/>
          <w:szCs w:val="22"/>
          <w:lang w:val="en-GB"/>
        </w:rPr>
        <w:t xml:space="preserve">. Shape classifications are based on Sneed and Folk (1958). Distinct differences in shape are evident between the rod-shaped cases of </w:t>
      </w:r>
      <w:r w:rsidRPr="007207BB">
        <w:rPr>
          <w:rFonts w:ascii="Myriad Pro" w:hAnsi="Myriad Pro"/>
          <w:b w:val="0"/>
          <w:i/>
          <w:iCs/>
          <w:sz w:val="22"/>
          <w:szCs w:val="22"/>
          <w:lang w:val="en-GB"/>
        </w:rPr>
        <w:t xml:space="preserve">P. </w:t>
      </w:r>
      <w:proofErr w:type="spellStart"/>
      <w:r w:rsidRPr="007207BB">
        <w:rPr>
          <w:rFonts w:ascii="Myriad Pro" w:hAnsi="Myriad Pro"/>
          <w:b w:val="0"/>
          <w:i/>
          <w:iCs/>
          <w:sz w:val="22"/>
          <w:szCs w:val="22"/>
          <w:lang w:val="en-GB"/>
        </w:rPr>
        <w:t>latipennis</w:t>
      </w:r>
      <w:proofErr w:type="spellEnd"/>
      <w:r w:rsidRPr="007207BB">
        <w:rPr>
          <w:rFonts w:ascii="Myriad Pro" w:hAnsi="Myriad Pro"/>
          <w:b w:val="0"/>
          <w:iCs/>
          <w:sz w:val="22"/>
          <w:szCs w:val="22"/>
          <w:lang w:val="en-GB"/>
        </w:rPr>
        <w:t xml:space="preserve"> and </w:t>
      </w:r>
      <w:r w:rsidRPr="007207BB">
        <w:rPr>
          <w:rFonts w:ascii="Myriad Pro" w:hAnsi="Myriad Pro"/>
          <w:b w:val="0"/>
          <w:i/>
          <w:iCs/>
          <w:sz w:val="22"/>
          <w:szCs w:val="22"/>
          <w:lang w:val="en-GB"/>
        </w:rPr>
        <w:t xml:space="preserve">S. </w:t>
      </w:r>
      <w:proofErr w:type="spellStart"/>
      <w:r w:rsidR="003A6035" w:rsidRPr="007207BB">
        <w:rPr>
          <w:rFonts w:ascii="Myriad Pro" w:hAnsi="Myriad Pro"/>
          <w:b w:val="0"/>
          <w:i/>
          <w:iCs/>
          <w:sz w:val="22"/>
          <w:szCs w:val="22"/>
          <w:lang w:val="en-GB"/>
        </w:rPr>
        <w:t>personatum</w:t>
      </w:r>
      <w:proofErr w:type="spellEnd"/>
      <w:r w:rsidR="003A6035" w:rsidRPr="007207BB">
        <w:rPr>
          <w:rFonts w:ascii="Myriad Pro" w:hAnsi="Myriad Pro"/>
          <w:b w:val="0"/>
          <w:iCs/>
          <w:sz w:val="22"/>
          <w:szCs w:val="22"/>
          <w:lang w:val="en-GB"/>
        </w:rPr>
        <w:t>, which</w:t>
      </w:r>
      <w:r w:rsidRPr="007207BB">
        <w:rPr>
          <w:rFonts w:ascii="Myriad Pro" w:hAnsi="Myriad Pro"/>
          <w:b w:val="0"/>
          <w:iCs/>
          <w:sz w:val="22"/>
          <w:szCs w:val="22"/>
          <w:lang w:val="en-GB"/>
        </w:rPr>
        <w:t xml:space="preserve"> are very elongate and </w:t>
      </w:r>
      <w:r w:rsidRPr="007207BB">
        <w:rPr>
          <w:rFonts w:ascii="Myriad Pro" w:hAnsi="Myriad Pro"/>
          <w:b w:val="0"/>
          <w:i/>
          <w:iCs/>
          <w:sz w:val="22"/>
          <w:szCs w:val="22"/>
          <w:lang w:val="en-GB"/>
        </w:rPr>
        <w:t xml:space="preserve">A. fuscipes </w:t>
      </w:r>
      <w:r w:rsidRPr="007207BB">
        <w:rPr>
          <w:rFonts w:ascii="Myriad Pro" w:hAnsi="Myriad Pro"/>
          <w:b w:val="0"/>
          <w:iCs/>
          <w:sz w:val="22"/>
          <w:szCs w:val="22"/>
          <w:lang w:val="en-GB"/>
        </w:rPr>
        <w:t xml:space="preserve">cases, which are less elongate. As the length of the three axis are more similar for </w:t>
      </w:r>
      <w:r w:rsidRPr="007207BB">
        <w:rPr>
          <w:rFonts w:ascii="Myriad Pro" w:hAnsi="Myriad Pro"/>
          <w:b w:val="0"/>
          <w:i/>
          <w:iCs/>
          <w:sz w:val="22"/>
          <w:szCs w:val="22"/>
          <w:lang w:val="en-GB"/>
        </w:rPr>
        <w:t>A. fuscipes</w:t>
      </w:r>
      <w:r w:rsidRPr="007207BB">
        <w:rPr>
          <w:rFonts w:ascii="Myriad Pro" w:hAnsi="Myriad Pro"/>
          <w:b w:val="0"/>
          <w:iCs/>
          <w:sz w:val="22"/>
          <w:szCs w:val="22"/>
          <w:lang w:val="en-GB"/>
        </w:rPr>
        <w:t>, they also plot over a wider range.</w:t>
      </w:r>
    </w:p>
    <w:p w14:paraId="34CE76F8" w14:textId="77777777" w:rsidR="005314B5" w:rsidRDefault="005314B5" w:rsidP="00477182">
      <w:pPr>
        <w:pStyle w:val="SMcaption"/>
        <w:rPr>
          <w:rFonts w:ascii="Myriad Pro" w:hAnsi="Myriad Pro"/>
          <w:sz w:val="22"/>
          <w:szCs w:val="22"/>
        </w:rPr>
      </w:pPr>
    </w:p>
    <w:p w14:paraId="530CA1C4" w14:textId="065B5EE3" w:rsidR="0066722B" w:rsidRPr="00CE6EAA" w:rsidRDefault="00571FAD" w:rsidP="00477182">
      <w:pPr>
        <w:pStyle w:val="SMcaption"/>
        <w:rPr>
          <w:rFonts w:ascii="Myriad Pro" w:hAnsi="Myriad Pro"/>
          <w:b/>
          <w:i/>
        </w:rPr>
      </w:pPr>
      <w:r>
        <w:rPr>
          <w:rFonts w:ascii="Myriad Pro" w:hAnsi="Myriad Pro"/>
          <w:b/>
          <w:i/>
          <w:sz w:val="22"/>
          <w:szCs w:val="22"/>
        </w:rPr>
        <w:br w:type="column"/>
      </w:r>
    </w:p>
    <w:tbl>
      <w:tblPr>
        <w:tblW w:w="8646" w:type="dxa"/>
        <w:jc w:val="center"/>
        <w:tblLayout w:type="fixed"/>
        <w:tblCellMar>
          <w:left w:w="0" w:type="dxa"/>
          <w:right w:w="0" w:type="dxa"/>
        </w:tblCellMar>
        <w:tblLook w:val="0600" w:firstRow="0" w:lastRow="0" w:firstColumn="0" w:lastColumn="0" w:noHBand="1" w:noVBand="1"/>
      </w:tblPr>
      <w:tblGrid>
        <w:gridCol w:w="662"/>
        <w:gridCol w:w="898"/>
        <w:gridCol w:w="992"/>
        <w:gridCol w:w="992"/>
        <w:gridCol w:w="1276"/>
        <w:gridCol w:w="992"/>
        <w:gridCol w:w="992"/>
        <w:gridCol w:w="992"/>
        <w:gridCol w:w="850"/>
      </w:tblGrid>
      <w:tr w:rsidR="00385A41" w:rsidRPr="007207BB" w14:paraId="6814027E" w14:textId="77777777" w:rsidTr="00385A41">
        <w:trPr>
          <w:trHeight w:val="407"/>
          <w:jc w:val="center"/>
        </w:trPr>
        <w:tc>
          <w:tcPr>
            <w:tcW w:w="662" w:type="dxa"/>
            <w:tcBorders>
              <w:top w:val="single" w:sz="4" w:space="0" w:color="auto"/>
              <w:left w:val="nil"/>
              <w:bottom w:val="single" w:sz="4" w:space="0" w:color="auto"/>
              <w:right w:val="nil"/>
            </w:tcBorders>
            <w:vAlign w:val="center"/>
            <w:hideMark/>
          </w:tcPr>
          <w:p w14:paraId="5B4D019F" w14:textId="16D49CB8" w:rsidR="00385A41" w:rsidRPr="007207BB" w:rsidRDefault="0066722B" w:rsidP="00385A41">
            <w:pPr>
              <w:contextualSpacing/>
              <w:rPr>
                <w:rFonts w:ascii="Calibri" w:eastAsia="Calibri" w:hAnsi="Calibri" w:cs="Calibri"/>
                <w:sz w:val="20"/>
                <w:lang w:val="en-GB"/>
              </w:rPr>
            </w:pPr>
            <w:r w:rsidRPr="005314B5">
              <w:rPr>
                <w:rFonts w:ascii="Myriad Pro" w:hAnsi="Myriad Pro"/>
                <w:sz w:val="22"/>
                <w:szCs w:val="22"/>
              </w:rPr>
              <w:t>&lt;</w:t>
            </w:r>
            <w:r w:rsidR="00385A41" w:rsidRPr="007207BB">
              <w:rPr>
                <w:rFonts w:ascii="Calibri" w:eastAsia="Calibri" w:hAnsi="Calibri" w:cs="Calibri"/>
                <w:sz w:val="20"/>
                <w:lang w:val="en-GB"/>
              </w:rPr>
              <w:t>Flow stage</w:t>
            </w:r>
          </w:p>
        </w:tc>
        <w:tc>
          <w:tcPr>
            <w:tcW w:w="898" w:type="dxa"/>
            <w:tcBorders>
              <w:top w:val="single" w:sz="4" w:space="0" w:color="auto"/>
              <w:left w:val="nil"/>
              <w:bottom w:val="single" w:sz="4" w:space="0" w:color="auto"/>
              <w:right w:val="nil"/>
            </w:tcBorders>
            <w:tcMar>
              <w:top w:w="15" w:type="dxa"/>
              <w:left w:w="15" w:type="dxa"/>
              <w:bottom w:w="0" w:type="dxa"/>
              <w:right w:w="15" w:type="dxa"/>
            </w:tcMar>
            <w:vAlign w:val="bottom"/>
            <w:hideMark/>
          </w:tcPr>
          <w:p w14:paraId="34442A39"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Bed slope</w:t>
            </w:r>
          </w:p>
        </w:tc>
        <w:tc>
          <w:tcPr>
            <w:tcW w:w="992" w:type="dxa"/>
            <w:tcBorders>
              <w:top w:val="single" w:sz="4" w:space="0" w:color="auto"/>
              <w:left w:val="nil"/>
              <w:bottom w:val="single" w:sz="4" w:space="0" w:color="auto"/>
              <w:right w:val="nil"/>
            </w:tcBorders>
            <w:tcMar>
              <w:top w:w="15" w:type="dxa"/>
              <w:left w:w="15" w:type="dxa"/>
              <w:bottom w:w="0" w:type="dxa"/>
              <w:right w:w="15" w:type="dxa"/>
            </w:tcMar>
            <w:vAlign w:val="bottom"/>
            <w:hideMark/>
          </w:tcPr>
          <w:p w14:paraId="3614910B"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Depth (m)</w:t>
            </w:r>
          </w:p>
        </w:tc>
        <w:tc>
          <w:tcPr>
            <w:tcW w:w="992" w:type="dxa"/>
            <w:tcBorders>
              <w:top w:val="single" w:sz="4" w:space="0" w:color="auto"/>
              <w:left w:val="nil"/>
              <w:bottom w:val="single" w:sz="4" w:space="0" w:color="auto"/>
              <w:right w:val="nil"/>
            </w:tcBorders>
            <w:tcMar>
              <w:top w:w="15" w:type="dxa"/>
              <w:left w:w="15" w:type="dxa"/>
              <w:bottom w:w="0" w:type="dxa"/>
              <w:right w:w="15" w:type="dxa"/>
            </w:tcMar>
            <w:vAlign w:val="bottom"/>
            <w:hideMark/>
          </w:tcPr>
          <w:p w14:paraId="4E0D1FA6"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Q (m</w:t>
            </w:r>
            <w:r w:rsidRPr="007207BB">
              <w:rPr>
                <w:rFonts w:ascii="Calibri" w:eastAsia="Calibri" w:hAnsi="Calibri" w:cs="Calibri"/>
                <w:sz w:val="20"/>
                <w:vertAlign w:val="superscript"/>
                <w:lang w:val="en-GB"/>
              </w:rPr>
              <w:t xml:space="preserve">3 </w:t>
            </w:r>
            <w:r w:rsidRPr="007207BB">
              <w:rPr>
                <w:rFonts w:ascii="Calibri" w:eastAsia="Calibri" w:hAnsi="Calibri" w:cs="Calibri"/>
                <w:sz w:val="20"/>
                <w:lang w:val="en-GB"/>
              </w:rPr>
              <w:t>s</w:t>
            </w:r>
            <w:r w:rsidRPr="007207BB">
              <w:rPr>
                <w:rFonts w:ascii="Calibri" w:eastAsia="Calibri" w:hAnsi="Calibri" w:cs="Calibri"/>
                <w:sz w:val="20"/>
                <w:vertAlign w:val="superscript"/>
                <w:lang w:val="en-GB"/>
              </w:rPr>
              <w:t>-1</w:t>
            </w:r>
            <w:r w:rsidRPr="007207BB">
              <w:rPr>
                <w:rFonts w:ascii="Calibri" w:eastAsia="Calibri" w:hAnsi="Calibri" w:cs="Calibri"/>
                <w:sz w:val="20"/>
                <w:lang w:val="en-GB"/>
              </w:rPr>
              <w:t>)</w:t>
            </w:r>
          </w:p>
        </w:tc>
        <w:tc>
          <w:tcPr>
            <w:tcW w:w="1276" w:type="dxa"/>
            <w:tcBorders>
              <w:top w:val="single" w:sz="4" w:space="0" w:color="auto"/>
              <w:left w:val="nil"/>
              <w:bottom w:val="single" w:sz="4" w:space="0" w:color="auto"/>
              <w:right w:val="nil"/>
            </w:tcBorders>
            <w:tcMar>
              <w:top w:w="15" w:type="dxa"/>
              <w:left w:w="15" w:type="dxa"/>
              <w:bottom w:w="0" w:type="dxa"/>
              <w:right w:w="15" w:type="dxa"/>
            </w:tcMar>
            <w:vAlign w:val="bottom"/>
            <w:hideMark/>
          </w:tcPr>
          <w:p w14:paraId="6883F62C"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U (m s</w:t>
            </w:r>
            <w:r w:rsidRPr="007207BB">
              <w:rPr>
                <w:rFonts w:ascii="Calibri" w:eastAsia="Calibri" w:hAnsi="Calibri" w:cs="Calibri"/>
                <w:sz w:val="20"/>
                <w:vertAlign w:val="superscript"/>
                <w:lang w:val="en-GB"/>
              </w:rPr>
              <w:t>-1</w:t>
            </w:r>
            <w:r w:rsidRPr="007207BB">
              <w:rPr>
                <w:rFonts w:ascii="Calibri" w:eastAsia="Calibri" w:hAnsi="Calibri" w:cs="Calibri"/>
                <w:sz w:val="20"/>
                <w:lang w:val="en-GB"/>
              </w:rPr>
              <w:t>)</w:t>
            </w:r>
          </w:p>
        </w:tc>
        <w:tc>
          <w:tcPr>
            <w:tcW w:w="992" w:type="dxa"/>
            <w:tcBorders>
              <w:top w:val="single" w:sz="4" w:space="0" w:color="auto"/>
              <w:left w:val="nil"/>
              <w:bottom w:val="single" w:sz="4" w:space="0" w:color="auto"/>
              <w:right w:val="nil"/>
            </w:tcBorders>
            <w:vAlign w:val="bottom"/>
          </w:tcPr>
          <w:p w14:paraId="2987F224"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Re</w:t>
            </w:r>
          </w:p>
        </w:tc>
        <w:tc>
          <w:tcPr>
            <w:tcW w:w="992" w:type="dxa"/>
            <w:tcBorders>
              <w:top w:val="single" w:sz="4" w:space="0" w:color="auto"/>
              <w:left w:val="nil"/>
              <w:bottom w:val="single" w:sz="4" w:space="0" w:color="auto"/>
              <w:right w:val="nil"/>
            </w:tcBorders>
            <w:vAlign w:val="bottom"/>
          </w:tcPr>
          <w:p w14:paraId="5F612817"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Fr</w:t>
            </w:r>
          </w:p>
        </w:tc>
        <w:tc>
          <w:tcPr>
            <w:tcW w:w="992" w:type="dxa"/>
            <w:tcBorders>
              <w:top w:val="single" w:sz="4" w:space="0" w:color="auto"/>
              <w:left w:val="nil"/>
              <w:bottom w:val="single" w:sz="4" w:space="0" w:color="auto"/>
              <w:right w:val="nil"/>
            </w:tcBorders>
            <w:tcMar>
              <w:top w:w="15" w:type="dxa"/>
              <w:left w:w="15" w:type="dxa"/>
              <w:bottom w:w="0" w:type="dxa"/>
              <w:right w:w="15" w:type="dxa"/>
            </w:tcMar>
            <w:vAlign w:val="bottom"/>
            <w:hideMark/>
          </w:tcPr>
          <w:p w14:paraId="2D4BF278" w14:textId="77777777" w:rsidR="00385A41" w:rsidRPr="007207BB" w:rsidRDefault="00385A41" w:rsidP="00385A41">
            <w:pPr>
              <w:contextualSpacing/>
              <w:rPr>
                <w:rFonts w:ascii="Calibri" w:eastAsia="Calibri" w:hAnsi="Calibri" w:cs="Calibri"/>
                <w:sz w:val="20"/>
                <w:lang w:val="en-GB"/>
              </w:rPr>
            </w:pPr>
            <w:proofErr w:type="spellStart"/>
            <w:r w:rsidRPr="007207BB">
              <w:rPr>
                <w:rFonts w:ascii="Calibri" w:eastAsia="Calibri" w:hAnsi="Calibri" w:cs="Calibri"/>
                <w:sz w:val="20"/>
                <w:lang w:val="en-GB"/>
              </w:rPr>
              <w:t>U</w:t>
            </w:r>
            <w:r w:rsidRPr="007207BB">
              <w:rPr>
                <w:rFonts w:ascii="Calibri" w:eastAsia="Calibri" w:hAnsi="Calibri" w:cs="Calibri"/>
                <w:sz w:val="20"/>
                <w:vertAlign w:val="subscript"/>
                <w:lang w:val="en-GB"/>
              </w:rPr>
              <w:t>b</w:t>
            </w:r>
            <w:proofErr w:type="spellEnd"/>
            <w:r w:rsidRPr="007207BB">
              <w:rPr>
                <w:rFonts w:ascii="Calibri" w:eastAsia="Calibri" w:hAnsi="Calibri" w:cs="Calibri"/>
                <w:sz w:val="20"/>
                <w:vertAlign w:val="subscript"/>
                <w:lang w:val="en-GB"/>
              </w:rPr>
              <w:t xml:space="preserve"> </w:t>
            </w:r>
          </w:p>
          <w:p w14:paraId="55A19F96"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(m s</w:t>
            </w:r>
            <w:r w:rsidRPr="007207BB">
              <w:rPr>
                <w:rFonts w:ascii="Calibri" w:eastAsia="Calibri" w:hAnsi="Calibri" w:cs="Calibri"/>
                <w:sz w:val="20"/>
                <w:vertAlign w:val="superscript"/>
                <w:lang w:val="en-GB"/>
              </w:rPr>
              <w:t>-1</w:t>
            </w:r>
            <w:r w:rsidRPr="007207BB">
              <w:rPr>
                <w:rFonts w:ascii="Calibri" w:eastAsia="Calibri" w:hAnsi="Calibri" w:cs="Calibri"/>
                <w:sz w:val="20"/>
                <w:lang w:val="en-GB"/>
              </w:rPr>
              <w:t>)</w:t>
            </w:r>
          </w:p>
        </w:tc>
        <w:tc>
          <w:tcPr>
            <w:tcW w:w="850" w:type="dxa"/>
            <w:tcBorders>
              <w:top w:val="single" w:sz="4" w:space="0" w:color="auto"/>
              <w:left w:val="nil"/>
              <w:bottom w:val="single" w:sz="4" w:space="0" w:color="auto"/>
              <w:right w:val="nil"/>
            </w:tcBorders>
            <w:tcMar>
              <w:top w:w="15" w:type="dxa"/>
              <w:left w:w="15" w:type="dxa"/>
              <w:bottom w:w="0" w:type="dxa"/>
              <w:right w:w="15" w:type="dxa"/>
            </w:tcMar>
            <w:vAlign w:val="bottom"/>
            <w:hideMark/>
          </w:tcPr>
          <w:p w14:paraId="34742DF6" w14:textId="77777777" w:rsidR="00385A41" w:rsidRPr="007207BB" w:rsidRDefault="00412637" w:rsidP="00385A41">
            <w:pPr>
              <w:contextualSpacing/>
              <w:rPr>
                <w:rFonts w:ascii="Calibri" w:eastAsia="Calibri" w:hAnsi="Calibri" w:cs="Calibri"/>
                <w:sz w:val="20"/>
                <w:lang w:val="en-GB"/>
              </w:rPr>
            </w:pPr>
            <m:oMath>
              <m:sSub>
                <m:sSubPr>
                  <m:ctrlPr>
                    <w:rPr>
                      <w:rFonts w:ascii="Cambria Math" w:eastAsia="Calibri" w:hAnsi="Cambria Math" w:cs="Calibri"/>
                      <w:i/>
                      <w:szCs w:val="22"/>
                      <w:lang w:val="en-GB"/>
                    </w:rPr>
                  </m:ctrlPr>
                </m:sSubPr>
                <m:e>
                  <m:r>
                    <m:rPr>
                      <m:sty m:val="p"/>
                    </m:rPr>
                    <w:rPr>
                      <w:rFonts w:ascii="Cambria Math" w:eastAsia="MS Mincho" w:hAnsi="Cambria Math"/>
                      <w:sz w:val="20"/>
                      <w:lang w:val="en-GB"/>
                    </w:rPr>
                    <m:t>τ</m:t>
                  </m:r>
                </m:e>
                <m:sub>
                  <m:r>
                    <w:rPr>
                      <w:rFonts w:ascii="Cambria Math" w:eastAsia="Calibri" w:hAnsi="Cambria Math" w:cs="Calibri"/>
                      <w:sz w:val="20"/>
                      <w:lang w:val="en-GB"/>
                    </w:rPr>
                    <m:t>b</m:t>
                  </m:r>
                </m:sub>
              </m:sSub>
            </m:oMath>
            <w:r w:rsidR="00385A41" w:rsidRPr="007207BB">
              <w:rPr>
                <w:rFonts w:ascii="Calibri" w:eastAsia="Calibri" w:hAnsi="Calibri" w:cs="Calibri"/>
                <w:sz w:val="20"/>
                <w:lang w:val="en-GB"/>
              </w:rPr>
              <w:t xml:space="preserve"> (N m</w:t>
            </w:r>
            <w:r w:rsidR="00385A41" w:rsidRPr="007207BB">
              <w:rPr>
                <w:rFonts w:ascii="Calibri" w:eastAsia="Calibri" w:hAnsi="Calibri" w:cs="Calibri"/>
                <w:sz w:val="20"/>
                <w:vertAlign w:val="superscript"/>
                <w:lang w:val="en-GB"/>
              </w:rPr>
              <w:t>-2</w:t>
            </w:r>
            <w:r w:rsidR="00385A41" w:rsidRPr="007207BB">
              <w:rPr>
                <w:rFonts w:ascii="Calibri" w:eastAsia="Calibri" w:hAnsi="Calibri" w:cs="Calibri"/>
                <w:sz w:val="20"/>
                <w:lang w:val="en-GB"/>
              </w:rPr>
              <w:t>)</w:t>
            </w:r>
          </w:p>
        </w:tc>
      </w:tr>
      <w:tr w:rsidR="00385A41" w:rsidRPr="007207BB" w14:paraId="15039F87" w14:textId="77777777" w:rsidTr="00385A41">
        <w:trPr>
          <w:trHeight w:val="335"/>
          <w:jc w:val="center"/>
        </w:trPr>
        <w:tc>
          <w:tcPr>
            <w:tcW w:w="662" w:type="dxa"/>
            <w:tcBorders>
              <w:top w:val="single" w:sz="4" w:space="0" w:color="auto"/>
              <w:left w:val="nil"/>
              <w:bottom w:val="nil"/>
              <w:right w:val="nil"/>
            </w:tcBorders>
            <w:tcMar>
              <w:top w:w="15" w:type="dxa"/>
              <w:left w:w="15" w:type="dxa"/>
              <w:bottom w:w="0" w:type="dxa"/>
              <w:right w:w="15" w:type="dxa"/>
            </w:tcMar>
            <w:vAlign w:val="bottom"/>
            <w:hideMark/>
          </w:tcPr>
          <w:p w14:paraId="62B08A97"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1</w:t>
            </w:r>
          </w:p>
        </w:tc>
        <w:tc>
          <w:tcPr>
            <w:tcW w:w="898" w:type="dxa"/>
            <w:tcBorders>
              <w:top w:val="single" w:sz="4" w:space="0" w:color="auto"/>
              <w:left w:val="nil"/>
              <w:bottom w:val="nil"/>
              <w:right w:val="nil"/>
            </w:tcBorders>
            <w:tcMar>
              <w:top w:w="15" w:type="dxa"/>
              <w:left w:w="15" w:type="dxa"/>
              <w:bottom w:w="0" w:type="dxa"/>
              <w:right w:w="15" w:type="dxa"/>
            </w:tcMar>
            <w:vAlign w:val="bottom"/>
            <w:hideMark/>
          </w:tcPr>
          <w:p w14:paraId="29C1B57F"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0.02</w:t>
            </w:r>
          </w:p>
        </w:tc>
        <w:tc>
          <w:tcPr>
            <w:tcW w:w="992" w:type="dxa"/>
            <w:tcBorders>
              <w:top w:val="single" w:sz="4" w:space="0" w:color="auto"/>
              <w:left w:val="nil"/>
              <w:bottom w:val="nil"/>
              <w:right w:val="nil"/>
            </w:tcBorders>
            <w:tcMar>
              <w:top w:w="15" w:type="dxa"/>
              <w:left w:w="15" w:type="dxa"/>
              <w:bottom w:w="0" w:type="dxa"/>
              <w:right w:w="15" w:type="dxa"/>
            </w:tcMar>
            <w:vAlign w:val="bottom"/>
            <w:hideMark/>
          </w:tcPr>
          <w:p w14:paraId="075C9F88"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0.081</w:t>
            </w:r>
          </w:p>
        </w:tc>
        <w:tc>
          <w:tcPr>
            <w:tcW w:w="992" w:type="dxa"/>
            <w:tcBorders>
              <w:top w:val="single" w:sz="4" w:space="0" w:color="auto"/>
              <w:left w:val="nil"/>
              <w:bottom w:val="nil"/>
              <w:right w:val="nil"/>
            </w:tcBorders>
            <w:tcMar>
              <w:top w:w="15" w:type="dxa"/>
              <w:left w:w="15" w:type="dxa"/>
              <w:bottom w:w="0" w:type="dxa"/>
              <w:right w:w="15" w:type="dxa"/>
            </w:tcMar>
            <w:vAlign w:val="bottom"/>
            <w:hideMark/>
          </w:tcPr>
          <w:p w14:paraId="0760E872"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0.0005</w:t>
            </w:r>
          </w:p>
        </w:tc>
        <w:tc>
          <w:tcPr>
            <w:tcW w:w="1276" w:type="dxa"/>
            <w:tcBorders>
              <w:top w:val="single" w:sz="4" w:space="0" w:color="auto"/>
              <w:left w:val="nil"/>
              <w:bottom w:val="nil"/>
              <w:right w:val="nil"/>
            </w:tcBorders>
            <w:tcMar>
              <w:top w:w="15" w:type="dxa"/>
              <w:left w:w="15" w:type="dxa"/>
              <w:bottom w:w="0" w:type="dxa"/>
              <w:right w:w="15" w:type="dxa"/>
            </w:tcMar>
            <w:vAlign w:val="bottom"/>
            <w:hideMark/>
          </w:tcPr>
          <w:p w14:paraId="2BC20E32"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0.02</w:t>
            </w:r>
          </w:p>
        </w:tc>
        <w:tc>
          <w:tcPr>
            <w:tcW w:w="992" w:type="dxa"/>
            <w:tcBorders>
              <w:top w:val="single" w:sz="4" w:space="0" w:color="auto"/>
              <w:left w:val="nil"/>
              <w:bottom w:val="nil"/>
              <w:right w:val="nil"/>
            </w:tcBorders>
            <w:vAlign w:val="bottom"/>
          </w:tcPr>
          <w:p w14:paraId="4EA75128"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1152⁺</w:t>
            </w:r>
          </w:p>
        </w:tc>
        <w:tc>
          <w:tcPr>
            <w:tcW w:w="992" w:type="dxa"/>
            <w:tcBorders>
              <w:top w:val="single" w:sz="4" w:space="0" w:color="auto"/>
              <w:left w:val="nil"/>
              <w:bottom w:val="nil"/>
              <w:right w:val="nil"/>
            </w:tcBorders>
            <w:vAlign w:val="bottom"/>
          </w:tcPr>
          <w:p w14:paraId="03E13FD4"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0.025</w:t>
            </w:r>
          </w:p>
        </w:tc>
        <w:tc>
          <w:tcPr>
            <w:tcW w:w="992" w:type="dxa"/>
            <w:tcBorders>
              <w:top w:val="single" w:sz="4" w:space="0" w:color="auto"/>
              <w:left w:val="nil"/>
              <w:bottom w:val="nil"/>
              <w:right w:val="nil"/>
            </w:tcBorders>
            <w:tcMar>
              <w:top w:w="15" w:type="dxa"/>
              <w:left w:w="15" w:type="dxa"/>
              <w:bottom w:w="0" w:type="dxa"/>
              <w:right w:w="15" w:type="dxa"/>
            </w:tcMar>
            <w:vAlign w:val="bottom"/>
            <w:hideMark/>
          </w:tcPr>
          <w:p w14:paraId="735A68C0"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0.02*</w:t>
            </w:r>
          </w:p>
        </w:tc>
        <w:tc>
          <w:tcPr>
            <w:tcW w:w="850" w:type="dxa"/>
            <w:tcBorders>
              <w:top w:val="single" w:sz="4" w:space="0" w:color="auto"/>
              <w:left w:val="nil"/>
              <w:bottom w:val="nil"/>
              <w:right w:val="nil"/>
            </w:tcBorders>
            <w:tcMar>
              <w:top w:w="15" w:type="dxa"/>
              <w:left w:w="15" w:type="dxa"/>
              <w:bottom w:w="0" w:type="dxa"/>
              <w:right w:w="15" w:type="dxa"/>
            </w:tcMar>
            <w:vAlign w:val="bottom"/>
            <w:hideMark/>
          </w:tcPr>
          <w:p w14:paraId="6E718B8D"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0.0030</w:t>
            </w:r>
          </w:p>
        </w:tc>
      </w:tr>
      <w:tr w:rsidR="00385A41" w:rsidRPr="007207BB" w14:paraId="6C340650" w14:textId="77777777" w:rsidTr="00385A41">
        <w:trPr>
          <w:trHeight w:val="335"/>
          <w:jc w:val="center"/>
        </w:trPr>
        <w:tc>
          <w:tcPr>
            <w:tcW w:w="662" w:type="dxa"/>
            <w:tcMar>
              <w:top w:w="15" w:type="dxa"/>
              <w:left w:w="15" w:type="dxa"/>
              <w:bottom w:w="0" w:type="dxa"/>
              <w:right w:w="15" w:type="dxa"/>
            </w:tcMar>
            <w:vAlign w:val="bottom"/>
            <w:hideMark/>
          </w:tcPr>
          <w:p w14:paraId="470BC8E5"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2</w:t>
            </w:r>
          </w:p>
        </w:tc>
        <w:tc>
          <w:tcPr>
            <w:tcW w:w="898" w:type="dxa"/>
            <w:tcMar>
              <w:top w:w="15" w:type="dxa"/>
              <w:left w:w="15" w:type="dxa"/>
              <w:bottom w:w="0" w:type="dxa"/>
              <w:right w:w="15" w:type="dxa"/>
            </w:tcMar>
            <w:vAlign w:val="bottom"/>
            <w:hideMark/>
          </w:tcPr>
          <w:p w14:paraId="2A26E4A4"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0.02</w:t>
            </w:r>
          </w:p>
        </w:tc>
        <w:tc>
          <w:tcPr>
            <w:tcW w:w="992" w:type="dxa"/>
            <w:tcMar>
              <w:top w:w="15" w:type="dxa"/>
              <w:left w:w="15" w:type="dxa"/>
              <w:bottom w:w="0" w:type="dxa"/>
              <w:right w:w="15" w:type="dxa"/>
            </w:tcMar>
            <w:vAlign w:val="bottom"/>
            <w:hideMark/>
          </w:tcPr>
          <w:p w14:paraId="311E2D30"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0.081</w:t>
            </w:r>
          </w:p>
        </w:tc>
        <w:tc>
          <w:tcPr>
            <w:tcW w:w="992" w:type="dxa"/>
            <w:tcMar>
              <w:top w:w="15" w:type="dxa"/>
              <w:left w:w="15" w:type="dxa"/>
              <w:bottom w:w="0" w:type="dxa"/>
              <w:right w:w="15" w:type="dxa"/>
            </w:tcMar>
            <w:vAlign w:val="bottom"/>
            <w:hideMark/>
          </w:tcPr>
          <w:p w14:paraId="6DB85A75"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0.0010</w:t>
            </w:r>
          </w:p>
        </w:tc>
        <w:tc>
          <w:tcPr>
            <w:tcW w:w="1276" w:type="dxa"/>
            <w:tcMar>
              <w:top w:w="15" w:type="dxa"/>
              <w:left w:w="15" w:type="dxa"/>
              <w:bottom w:w="0" w:type="dxa"/>
              <w:right w:w="15" w:type="dxa"/>
            </w:tcMar>
            <w:vAlign w:val="bottom"/>
            <w:hideMark/>
          </w:tcPr>
          <w:p w14:paraId="54733A68"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0.04</w:t>
            </w:r>
          </w:p>
        </w:tc>
        <w:tc>
          <w:tcPr>
            <w:tcW w:w="992" w:type="dxa"/>
            <w:vAlign w:val="bottom"/>
          </w:tcPr>
          <w:p w14:paraId="63948404"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2199⁺</w:t>
            </w:r>
          </w:p>
        </w:tc>
        <w:tc>
          <w:tcPr>
            <w:tcW w:w="992" w:type="dxa"/>
            <w:vAlign w:val="bottom"/>
          </w:tcPr>
          <w:p w14:paraId="53997E4B"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0.047</w:t>
            </w:r>
          </w:p>
        </w:tc>
        <w:tc>
          <w:tcPr>
            <w:tcW w:w="992" w:type="dxa"/>
            <w:tcMar>
              <w:top w:w="15" w:type="dxa"/>
              <w:left w:w="15" w:type="dxa"/>
              <w:bottom w:w="0" w:type="dxa"/>
              <w:right w:w="15" w:type="dxa"/>
            </w:tcMar>
            <w:vAlign w:val="bottom"/>
            <w:hideMark/>
          </w:tcPr>
          <w:p w14:paraId="428EF237"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0.03*</w:t>
            </w:r>
          </w:p>
        </w:tc>
        <w:tc>
          <w:tcPr>
            <w:tcW w:w="850" w:type="dxa"/>
            <w:tcMar>
              <w:top w:w="15" w:type="dxa"/>
              <w:left w:w="15" w:type="dxa"/>
              <w:bottom w:w="0" w:type="dxa"/>
              <w:right w:w="15" w:type="dxa"/>
            </w:tcMar>
            <w:vAlign w:val="bottom"/>
            <w:hideMark/>
          </w:tcPr>
          <w:p w14:paraId="00EF0233"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0.0114</w:t>
            </w:r>
          </w:p>
        </w:tc>
      </w:tr>
      <w:tr w:rsidR="00385A41" w:rsidRPr="007207BB" w14:paraId="405166BF" w14:textId="77777777" w:rsidTr="00385A41">
        <w:trPr>
          <w:trHeight w:val="335"/>
          <w:jc w:val="center"/>
        </w:trPr>
        <w:tc>
          <w:tcPr>
            <w:tcW w:w="662" w:type="dxa"/>
            <w:tcMar>
              <w:top w:w="15" w:type="dxa"/>
              <w:left w:w="15" w:type="dxa"/>
              <w:bottom w:w="0" w:type="dxa"/>
              <w:right w:w="15" w:type="dxa"/>
            </w:tcMar>
            <w:vAlign w:val="bottom"/>
            <w:hideMark/>
          </w:tcPr>
          <w:p w14:paraId="22E31637"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3</w:t>
            </w:r>
          </w:p>
        </w:tc>
        <w:tc>
          <w:tcPr>
            <w:tcW w:w="898" w:type="dxa"/>
            <w:tcMar>
              <w:top w:w="15" w:type="dxa"/>
              <w:left w:w="15" w:type="dxa"/>
              <w:bottom w:w="0" w:type="dxa"/>
              <w:right w:w="15" w:type="dxa"/>
            </w:tcMar>
            <w:vAlign w:val="bottom"/>
            <w:hideMark/>
          </w:tcPr>
          <w:p w14:paraId="7CD7F140"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0.02</w:t>
            </w:r>
          </w:p>
        </w:tc>
        <w:tc>
          <w:tcPr>
            <w:tcW w:w="992" w:type="dxa"/>
            <w:tcMar>
              <w:top w:w="15" w:type="dxa"/>
              <w:left w:w="15" w:type="dxa"/>
              <w:bottom w:w="0" w:type="dxa"/>
              <w:right w:w="15" w:type="dxa"/>
            </w:tcMar>
            <w:vAlign w:val="bottom"/>
            <w:hideMark/>
          </w:tcPr>
          <w:p w14:paraId="034F2A13"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0.081</w:t>
            </w:r>
          </w:p>
        </w:tc>
        <w:tc>
          <w:tcPr>
            <w:tcW w:w="992" w:type="dxa"/>
            <w:tcMar>
              <w:top w:w="15" w:type="dxa"/>
              <w:left w:w="15" w:type="dxa"/>
              <w:bottom w:w="0" w:type="dxa"/>
              <w:right w:w="15" w:type="dxa"/>
            </w:tcMar>
            <w:vAlign w:val="bottom"/>
            <w:hideMark/>
          </w:tcPr>
          <w:p w14:paraId="0F0DDE44"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0.0018</w:t>
            </w:r>
          </w:p>
        </w:tc>
        <w:tc>
          <w:tcPr>
            <w:tcW w:w="1276" w:type="dxa"/>
            <w:tcMar>
              <w:top w:w="15" w:type="dxa"/>
              <w:left w:w="15" w:type="dxa"/>
              <w:bottom w:w="0" w:type="dxa"/>
              <w:right w:w="15" w:type="dxa"/>
            </w:tcMar>
            <w:vAlign w:val="bottom"/>
            <w:hideMark/>
          </w:tcPr>
          <w:p w14:paraId="2214957F"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0.08</w:t>
            </w:r>
          </w:p>
        </w:tc>
        <w:tc>
          <w:tcPr>
            <w:tcW w:w="992" w:type="dxa"/>
            <w:vAlign w:val="bottom"/>
          </w:tcPr>
          <w:p w14:paraId="0AB7FBDC"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3976</w:t>
            </w:r>
          </w:p>
        </w:tc>
        <w:tc>
          <w:tcPr>
            <w:tcW w:w="992" w:type="dxa"/>
            <w:vAlign w:val="bottom"/>
          </w:tcPr>
          <w:p w14:paraId="4F45EEC7"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0.085</w:t>
            </w:r>
          </w:p>
        </w:tc>
        <w:tc>
          <w:tcPr>
            <w:tcW w:w="992" w:type="dxa"/>
            <w:tcMar>
              <w:top w:w="15" w:type="dxa"/>
              <w:left w:w="15" w:type="dxa"/>
              <w:bottom w:w="0" w:type="dxa"/>
              <w:right w:w="15" w:type="dxa"/>
            </w:tcMar>
            <w:vAlign w:val="bottom"/>
            <w:hideMark/>
          </w:tcPr>
          <w:p w14:paraId="48E6298D"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0.06*</w:t>
            </w:r>
          </w:p>
        </w:tc>
        <w:tc>
          <w:tcPr>
            <w:tcW w:w="850" w:type="dxa"/>
            <w:tcMar>
              <w:top w:w="15" w:type="dxa"/>
              <w:left w:w="15" w:type="dxa"/>
              <w:bottom w:w="0" w:type="dxa"/>
              <w:right w:w="15" w:type="dxa"/>
            </w:tcMar>
            <w:vAlign w:val="bottom"/>
            <w:hideMark/>
          </w:tcPr>
          <w:p w14:paraId="40D4D738"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0.0412</w:t>
            </w:r>
          </w:p>
        </w:tc>
      </w:tr>
      <w:tr w:rsidR="00385A41" w:rsidRPr="007207BB" w14:paraId="39DE6A4D" w14:textId="77777777" w:rsidTr="00385A41">
        <w:trPr>
          <w:trHeight w:val="335"/>
          <w:jc w:val="center"/>
        </w:trPr>
        <w:tc>
          <w:tcPr>
            <w:tcW w:w="662" w:type="dxa"/>
            <w:tcMar>
              <w:top w:w="15" w:type="dxa"/>
              <w:left w:w="15" w:type="dxa"/>
              <w:bottom w:w="0" w:type="dxa"/>
              <w:right w:w="15" w:type="dxa"/>
            </w:tcMar>
            <w:vAlign w:val="bottom"/>
            <w:hideMark/>
          </w:tcPr>
          <w:p w14:paraId="0DDF7A57"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4</w:t>
            </w:r>
          </w:p>
        </w:tc>
        <w:tc>
          <w:tcPr>
            <w:tcW w:w="898" w:type="dxa"/>
            <w:tcMar>
              <w:top w:w="15" w:type="dxa"/>
              <w:left w:w="15" w:type="dxa"/>
              <w:bottom w:w="0" w:type="dxa"/>
              <w:right w:w="15" w:type="dxa"/>
            </w:tcMar>
            <w:vAlign w:val="bottom"/>
            <w:hideMark/>
          </w:tcPr>
          <w:p w14:paraId="516523FC"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0.02</w:t>
            </w:r>
          </w:p>
        </w:tc>
        <w:tc>
          <w:tcPr>
            <w:tcW w:w="992" w:type="dxa"/>
            <w:tcMar>
              <w:top w:w="15" w:type="dxa"/>
              <w:left w:w="15" w:type="dxa"/>
              <w:bottom w:w="0" w:type="dxa"/>
              <w:right w:w="15" w:type="dxa"/>
            </w:tcMar>
            <w:vAlign w:val="bottom"/>
            <w:hideMark/>
          </w:tcPr>
          <w:p w14:paraId="30226638"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0.079</w:t>
            </w:r>
          </w:p>
        </w:tc>
        <w:tc>
          <w:tcPr>
            <w:tcW w:w="992" w:type="dxa"/>
            <w:tcMar>
              <w:top w:w="15" w:type="dxa"/>
              <w:left w:w="15" w:type="dxa"/>
              <w:bottom w:w="0" w:type="dxa"/>
              <w:right w:w="15" w:type="dxa"/>
            </w:tcMar>
            <w:vAlign w:val="bottom"/>
            <w:hideMark/>
          </w:tcPr>
          <w:p w14:paraId="32B84CDC"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0.0025</w:t>
            </w:r>
          </w:p>
        </w:tc>
        <w:tc>
          <w:tcPr>
            <w:tcW w:w="1276" w:type="dxa"/>
            <w:tcMar>
              <w:top w:w="15" w:type="dxa"/>
              <w:left w:w="15" w:type="dxa"/>
              <w:bottom w:w="0" w:type="dxa"/>
              <w:right w:w="15" w:type="dxa"/>
            </w:tcMar>
            <w:vAlign w:val="bottom"/>
            <w:hideMark/>
          </w:tcPr>
          <w:p w14:paraId="63695795"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0.11</w:t>
            </w:r>
          </w:p>
        </w:tc>
        <w:tc>
          <w:tcPr>
            <w:tcW w:w="992" w:type="dxa"/>
            <w:vAlign w:val="bottom"/>
          </w:tcPr>
          <w:p w14:paraId="5B51C9CA"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5532</w:t>
            </w:r>
          </w:p>
        </w:tc>
        <w:tc>
          <w:tcPr>
            <w:tcW w:w="992" w:type="dxa"/>
            <w:vAlign w:val="bottom"/>
          </w:tcPr>
          <w:p w14:paraId="6BB74257"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0.121</w:t>
            </w:r>
          </w:p>
        </w:tc>
        <w:tc>
          <w:tcPr>
            <w:tcW w:w="992" w:type="dxa"/>
            <w:tcMar>
              <w:top w:w="15" w:type="dxa"/>
              <w:left w:w="15" w:type="dxa"/>
              <w:bottom w:w="0" w:type="dxa"/>
              <w:right w:w="15" w:type="dxa"/>
            </w:tcMar>
            <w:vAlign w:val="bottom"/>
            <w:hideMark/>
          </w:tcPr>
          <w:p w14:paraId="7078FC63"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0.08*</w:t>
            </w:r>
          </w:p>
        </w:tc>
        <w:tc>
          <w:tcPr>
            <w:tcW w:w="850" w:type="dxa"/>
            <w:tcMar>
              <w:top w:w="15" w:type="dxa"/>
              <w:left w:w="15" w:type="dxa"/>
              <w:bottom w:w="0" w:type="dxa"/>
              <w:right w:w="15" w:type="dxa"/>
            </w:tcMar>
            <w:vAlign w:val="bottom"/>
            <w:hideMark/>
          </w:tcPr>
          <w:p w14:paraId="6C775AAC"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0.0668</w:t>
            </w:r>
          </w:p>
        </w:tc>
      </w:tr>
      <w:tr w:rsidR="00385A41" w:rsidRPr="007207BB" w14:paraId="7D059267" w14:textId="77777777" w:rsidTr="00385A41">
        <w:trPr>
          <w:trHeight w:val="335"/>
          <w:jc w:val="center"/>
        </w:trPr>
        <w:tc>
          <w:tcPr>
            <w:tcW w:w="662" w:type="dxa"/>
            <w:tcMar>
              <w:top w:w="15" w:type="dxa"/>
              <w:left w:w="15" w:type="dxa"/>
              <w:bottom w:w="0" w:type="dxa"/>
              <w:right w:w="15" w:type="dxa"/>
            </w:tcMar>
            <w:vAlign w:val="bottom"/>
            <w:hideMark/>
          </w:tcPr>
          <w:p w14:paraId="24A0E284"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5</w:t>
            </w:r>
          </w:p>
        </w:tc>
        <w:tc>
          <w:tcPr>
            <w:tcW w:w="898" w:type="dxa"/>
            <w:tcMar>
              <w:top w:w="15" w:type="dxa"/>
              <w:left w:w="15" w:type="dxa"/>
              <w:bottom w:w="0" w:type="dxa"/>
              <w:right w:w="15" w:type="dxa"/>
            </w:tcMar>
            <w:vAlign w:val="bottom"/>
            <w:hideMark/>
          </w:tcPr>
          <w:p w14:paraId="4B1EB3ED"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0.02</w:t>
            </w:r>
          </w:p>
        </w:tc>
        <w:tc>
          <w:tcPr>
            <w:tcW w:w="992" w:type="dxa"/>
            <w:tcMar>
              <w:top w:w="15" w:type="dxa"/>
              <w:left w:w="15" w:type="dxa"/>
              <w:bottom w:w="0" w:type="dxa"/>
              <w:right w:w="15" w:type="dxa"/>
            </w:tcMar>
            <w:vAlign w:val="bottom"/>
            <w:hideMark/>
          </w:tcPr>
          <w:p w14:paraId="73E959FF"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0.082</w:t>
            </w:r>
          </w:p>
        </w:tc>
        <w:tc>
          <w:tcPr>
            <w:tcW w:w="992" w:type="dxa"/>
            <w:tcMar>
              <w:top w:w="15" w:type="dxa"/>
              <w:left w:w="15" w:type="dxa"/>
              <w:bottom w:w="0" w:type="dxa"/>
              <w:right w:w="15" w:type="dxa"/>
            </w:tcMar>
            <w:vAlign w:val="bottom"/>
            <w:hideMark/>
          </w:tcPr>
          <w:p w14:paraId="5A2E6FBD"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0.0032</w:t>
            </w:r>
          </w:p>
        </w:tc>
        <w:tc>
          <w:tcPr>
            <w:tcW w:w="1276" w:type="dxa"/>
            <w:tcMar>
              <w:top w:w="15" w:type="dxa"/>
              <w:left w:w="15" w:type="dxa"/>
              <w:bottom w:w="0" w:type="dxa"/>
              <w:right w:w="15" w:type="dxa"/>
            </w:tcMar>
            <w:vAlign w:val="bottom"/>
            <w:hideMark/>
          </w:tcPr>
          <w:p w14:paraId="42819946"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0.13</w:t>
            </w:r>
          </w:p>
        </w:tc>
        <w:tc>
          <w:tcPr>
            <w:tcW w:w="992" w:type="dxa"/>
            <w:vAlign w:val="bottom"/>
          </w:tcPr>
          <w:p w14:paraId="00E1F6B0"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6918</w:t>
            </w:r>
          </w:p>
        </w:tc>
        <w:tc>
          <w:tcPr>
            <w:tcW w:w="992" w:type="dxa"/>
            <w:vAlign w:val="bottom"/>
          </w:tcPr>
          <w:p w14:paraId="77C172C2"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0.147</w:t>
            </w:r>
          </w:p>
        </w:tc>
        <w:tc>
          <w:tcPr>
            <w:tcW w:w="992" w:type="dxa"/>
            <w:tcMar>
              <w:top w:w="15" w:type="dxa"/>
              <w:left w:w="15" w:type="dxa"/>
              <w:bottom w:w="0" w:type="dxa"/>
              <w:right w:w="15" w:type="dxa"/>
            </w:tcMar>
            <w:vAlign w:val="bottom"/>
            <w:hideMark/>
          </w:tcPr>
          <w:p w14:paraId="535C7EDA"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0.10*</w:t>
            </w:r>
          </w:p>
        </w:tc>
        <w:tc>
          <w:tcPr>
            <w:tcW w:w="850" w:type="dxa"/>
            <w:tcMar>
              <w:top w:w="15" w:type="dxa"/>
              <w:left w:w="15" w:type="dxa"/>
              <w:bottom w:w="0" w:type="dxa"/>
              <w:right w:w="15" w:type="dxa"/>
            </w:tcMar>
            <w:vAlign w:val="bottom"/>
            <w:hideMark/>
          </w:tcPr>
          <w:p w14:paraId="1E7B58AC"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0.1125*</w:t>
            </w:r>
          </w:p>
        </w:tc>
      </w:tr>
      <w:tr w:rsidR="00385A41" w:rsidRPr="007207BB" w14:paraId="3C9E4C65" w14:textId="77777777" w:rsidTr="00385A41">
        <w:trPr>
          <w:trHeight w:val="335"/>
          <w:jc w:val="center"/>
        </w:trPr>
        <w:tc>
          <w:tcPr>
            <w:tcW w:w="662" w:type="dxa"/>
            <w:tcMar>
              <w:top w:w="15" w:type="dxa"/>
              <w:left w:w="15" w:type="dxa"/>
              <w:bottom w:w="0" w:type="dxa"/>
              <w:right w:w="15" w:type="dxa"/>
            </w:tcMar>
            <w:vAlign w:val="bottom"/>
            <w:hideMark/>
          </w:tcPr>
          <w:p w14:paraId="59CE640A"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6</w:t>
            </w:r>
          </w:p>
        </w:tc>
        <w:tc>
          <w:tcPr>
            <w:tcW w:w="898" w:type="dxa"/>
            <w:tcMar>
              <w:top w:w="15" w:type="dxa"/>
              <w:left w:w="15" w:type="dxa"/>
              <w:bottom w:w="0" w:type="dxa"/>
              <w:right w:w="15" w:type="dxa"/>
            </w:tcMar>
            <w:vAlign w:val="bottom"/>
            <w:hideMark/>
          </w:tcPr>
          <w:p w14:paraId="5DE0BFC1"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0.02</w:t>
            </w:r>
          </w:p>
        </w:tc>
        <w:tc>
          <w:tcPr>
            <w:tcW w:w="992" w:type="dxa"/>
            <w:tcMar>
              <w:top w:w="15" w:type="dxa"/>
              <w:left w:w="15" w:type="dxa"/>
              <w:bottom w:w="0" w:type="dxa"/>
              <w:right w:w="15" w:type="dxa"/>
            </w:tcMar>
            <w:vAlign w:val="bottom"/>
            <w:hideMark/>
          </w:tcPr>
          <w:p w14:paraId="12292D14"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0.080</w:t>
            </w:r>
          </w:p>
        </w:tc>
        <w:tc>
          <w:tcPr>
            <w:tcW w:w="992" w:type="dxa"/>
            <w:tcMar>
              <w:top w:w="15" w:type="dxa"/>
              <w:left w:w="15" w:type="dxa"/>
              <w:bottom w:w="0" w:type="dxa"/>
              <w:right w:w="15" w:type="dxa"/>
            </w:tcMar>
            <w:vAlign w:val="bottom"/>
            <w:hideMark/>
          </w:tcPr>
          <w:p w14:paraId="50B30333"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0.0042</w:t>
            </w:r>
          </w:p>
        </w:tc>
        <w:tc>
          <w:tcPr>
            <w:tcW w:w="1276" w:type="dxa"/>
            <w:tcMar>
              <w:top w:w="15" w:type="dxa"/>
              <w:left w:w="15" w:type="dxa"/>
              <w:bottom w:w="0" w:type="dxa"/>
              <w:right w:w="15" w:type="dxa"/>
            </w:tcMar>
            <w:vAlign w:val="bottom"/>
            <w:hideMark/>
          </w:tcPr>
          <w:p w14:paraId="7E8E986F"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0.18</w:t>
            </w:r>
          </w:p>
        </w:tc>
        <w:tc>
          <w:tcPr>
            <w:tcW w:w="992" w:type="dxa"/>
            <w:vAlign w:val="bottom"/>
          </w:tcPr>
          <w:p w14:paraId="3F7AE385"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9091</w:t>
            </w:r>
          </w:p>
        </w:tc>
        <w:tc>
          <w:tcPr>
            <w:tcW w:w="992" w:type="dxa"/>
            <w:vAlign w:val="bottom"/>
          </w:tcPr>
          <w:p w14:paraId="68772F45"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0.197</w:t>
            </w:r>
          </w:p>
        </w:tc>
        <w:tc>
          <w:tcPr>
            <w:tcW w:w="992" w:type="dxa"/>
            <w:tcMar>
              <w:top w:w="15" w:type="dxa"/>
              <w:left w:w="15" w:type="dxa"/>
              <w:bottom w:w="0" w:type="dxa"/>
              <w:right w:w="15" w:type="dxa"/>
            </w:tcMar>
            <w:vAlign w:val="bottom"/>
            <w:hideMark/>
          </w:tcPr>
          <w:p w14:paraId="3F5D4E9F"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0.13*</w:t>
            </w:r>
          </w:p>
        </w:tc>
        <w:tc>
          <w:tcPr>
            <w:tcW w:w="850" w:type="dxa"/>
            <w:tcMar>
              <w:top w:w="15" w:type="dxa"/>
              <w:left w:w="15" w:type="dxa"/>
              <w:bottom w:w="0" w:type="dxa"/>
              <w:right w:w="15" w:type="dxa"/>
            </w:tcMar>
            <w:vAlign w:val="bottom"/>
            <w:hideMark/>
          </w:tcPr>
          <w:p w14:paraId="799DFA75"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0.1599*</w:t>
            </w:r>
          </w:p>
        </w:tc>
      </w:tr>
      <w:tr w:rsidR="00385A41" w:rsidRPr="007207BB" w14:paraId="08D8E5FB" w14:textId="77777777" w:rsidTr="00385A41">
        <w:trPr>
          <w:trHeight w:val="335"/>
          <w:jc w:val="center"/>
        </w:trPr>
        <w:tc>
          <w:tcPr>
            <w:tcW w:w="662" w:type="dxa"/>
            <w:tcMar>
              <w:top w:w="15" w:type="dxa"/>
              <w:left w:w="15" w:type="dxa"/>
              <w:bottom w:w="0" w:type="dxa"/>
              <w:right w:w="15" w:type="dxa"/>
            </w:tcMar>
            <w:vAlign w:val="bottom"/>
            <w:hideMark/>
          </w:tcPr>
          <w:p w14:paraId="1FE59C21"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7</w:t>
            </w:r>
          </w:p>
        </w:tc>
        <w:tc>
          <w:tcPr>
            <w:tcW w:w="898" w:type="dxa"/>
            <w:tcMar>
              <w:top w:w="15" w:type="dxa"/>
              <w:left w:w="15" w:type="dxa"/>
              <w:bottom w:w="0" w:type="dxa"/>
              <w:right w:w="15" w:type="dxa"/>
            </w:tcMar>
            <w:vAlign w:val="bottom"/>
            <w:hideMark/>
          </w:tcPr>
          <w:p w14:paraId="46A364DF"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0.02</w:t>
            </w:r>
          </w:p>
        </w:tc>
        <w:tc>
          <w:tcPr>
            <w:tcW w:w="992" w:type="dxa"/>
            <w:tcMar>
              <w:top w:w="15" w:type="dxa"/>
              <w:left w:w="15" w:type="dxa"/>
              <w:bottom w:w="0" w:type="dxa"/>
              <w:right w:w="15" w:type="dxa"/>
            </w:tcMar>
            <w:vAlign w:val="bottom"/>
            <w:hideMark/>
          </w:tcPr>
          <w:p w14:paraId="05619269"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0.082</w:t>
            </w:r>
          </w:p>
        </w:tc>
        <w:tc>
          <w:tcPr>
            <w:tcW w:w="992" w:type="dxa"/>
            <w:tcMar>
              <w:top w:w="15" w:type="dxa"/>
              <w:left w:w="15" w:type="dxa"/>
              <w:bottom w:w="0" w:type="dxa"/>
              <w:right w:w="15" w:type="dxa"/>
            </w:tcMar>
            <w:vAlign w:val="bottom"/>
            <w:hideMark/>
          </w:tcPr>
          <w:p w14:paraId="0B3A7FFE"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0.0051</w:t>
            </w:r>
          </w:p>
        </w:tc>
        <w:tc>
          <w:tcPr>
            <w:tcW w:w="1276" w:type="dxa"/>
            <w:tcMar>
              <w:top w:w="15" w:type="dxa"/>
              <w:left w:w="15" w:type="dxa"/>
              <w:bottom w:w="0" w:type="dxa"/>
              <w:right w:w="15" w:type="dxa"/>
            </w:tcMar>
            <w:vAlign w:val="bottom"/>
            <w:hideMark/>
          </w:tcPr>
          <w:p w14:paraId="5E4CEF70"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0.21</w:t>
            </w:r>
          </w:p>
        </w:tc>
        <w:tc>
          <w:tcPr>
            <w:tcW w:w="992" w:type="dxa"/>
            <w:vAlign w:val="bottom"/>
          </w:tcPr>
          <w:p w14:paraId="488A966B"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10900</w:t>
            </w:r>
          </w:p>
        </w:tc>
        <w:tc>
          <w:tcPr>
            <w:tcW w:w="992" w:type="dxa"/>
            <w:vAlign w:val="bottom"/>
          </w:tcPr>
          <w:p w14:paraId="07B974F2"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0.229</w:t>
            </w:r>
          </w:p>
        </w:tc>
        <w:tc>
          <w:tcPr>
            <w:tcW w:w="992" w:type="dxa"/>
            <w:tcMar>
              <w:top w:w="15" w:type="dxa"/>
              <w:left w:w="15" w:type="dxa"/>
              <w:bottom w:w="0" w:type="dxa"/>
              <w:right w:w="15" w:type="dxa"/>
            </w:tcMar>
            <w:vAlign w:val="bottom"/>
            <w:hideMark/>
          </w:tcPr>
          <w:p w14:paraId="70C814DE"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0.15*</w:t>
            </w:r>
          </w:p>
        </w:tc>
        <w:tc>
          <w:tcPr>
            <w:tcW w:w="850" w:type="dxa"/>
            <w:tcMar>
              <w:top w:w="15" w:type="dxa"/>
              <w:left w:w="15" w:type="dxa"/>
              <w:bottom w:w="0" w:type="dxa"/>
              <w:right w:w="15" w:type="dxa"/>
            </w:tcMar>
            <w:vAlign w:val="bottom"/>
            <w:hideMark/>
          </w:tcPr>
          <w:p w14:paraId="46D58840"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0.2287*</w:t>
            </w:r>
          </w:p>
        </w:tc>
      </w:tr>
      <w:tr w:rsidR="00385A41" w:rsidRPr="007207BB" w14:paraId="00CCF755" w14:textId="77777777" w:rsidTr="00385A41">
        <w:trPr>
          <w:trHeight w:val="335"/>
          <w:jc w:val="center"/>
        </w:trPr>
        <w:tc>
          <w:tcPr>
            <w:tcW w:w="662" w:type="dxa"/>
            <w:tcMar>
              <w:top w:w="15" w:type="dxa"/>
              <w:left w:w="15" w:type="dxa"/>
              <w:bottom w:w="0" w:type="dxa"/>
              <w:right w:w="15" w:type="dxa"/>
            </w:tcMar>
            <w:vAlign w:val="bottom"/>
            <w:hideMark/>
          </w:tcPr>
          <w:p w14:paraId="03FB82CA"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8</w:t>
            </w:r>
          </w:p>
        </w:tc>
        <w:tc>
          <w:tcPr>
            <w:tcW w:w="898" w:type="dxa"/>
            <w:tcMar>
              <w:top w:w="15" w:type="dxa"/>
              <w:left w:w="15" w:type="dxa"/>
              <w:bottom w:w="0" w:type="dxa"/>
              <w:right w:w="15" w:type="dxa"/>
            </w:tcMar>
            <w:vAlign w:val="bottom"/>
            <w:hideMark/>
          </w:tcPr>
          <w:p w14:paraId="62D52020"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0.03</w:t>
            </w:r>
          </w:p>
        </w:tc>
        <w:tc>
          <w:tcPr>
            <w:tcW w:w="992" w:type="dxa"/>
            <w:tcMar>
              <w:top w:w="15" w:type="dxa"/>
              <w:left w:w="15" w:type="dxa"/>
              <w:bottom w:w="0" w:type="dxa"/>
              <w:right w:w="15" w:type="dxa"/>
            </w:tcMar>
            <w:vAlign w:val="bottom"/>
            <w:hideMark/>
          </w:tcPr>
          <w:p w14:paraId="253E53ED"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0.081</w:t>
            </w:r>
          </w:p>
        </w:tc>
        <w:tc>
          <w:tcPr>
            <w:tcW w:w="992" w:type="dxa"/>
            <w:tcMar>
              <w:top w:w="15" w:type="dxa"/>
              <w:left w:w="15" w:type="dxa"/>
              <w:bottom w:w="0" w:type="dxa"/>
              <w:right w:w="15" w:type="dxa"/>
            </w:tcMar>
            <w:vAlign w:val="bottom"/>
            <w:hideMark/>
          </w:tcPr>
          <w:p w14:paraId="63267EF1"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0.0060</w:t>
            </w:r>
          </w:p>
        </w:tc>
        <w:tc>
          <w:tcPr>
            <w:tcW w:w="1276" w:type="dxa"/>
            <w:tcMar>
              <w:top w:w="15" w:type="dxa"/>
              <w:left w:w="15" w:type="dxa"/>
              <w:bottom w:w="0" w:type="dxa"/>
              <w:right w:w="15" w:type="dxa"/>
            </w:tcMar>
            <w:vAlign w:val="bottom"/>
            <w:hideMark/>
          </w:tcPr>
          <w:p w14:paraId="56E0C734"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0.27</w:t>
            </w:r>
          </w:p>
        </w:tc>
        <w:tc>
          <w:tcPr>
            <w:tcW w:w="992" w:type="dxa"/>
            <w:vAlign w:val="bottom"/>
          </w:tcPr>
          <w:p w14:paraId="08470610"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12955</w:t>
            </w:r>
          </w:p>
        </w:tc>
        <w:tc>
          <w:tcPr>
            <w:tcW w:w="992" w:type="dxa"/>
            <w:vAlign w:val="bottom"/>
          </w:tcPr>
          <w:p w14:paraId="27C04411"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0.276</w:t>
            </w:r>
          </w:p>
        </w:tc>
        <w:tc>
          <w:tcPr>
            <w:tcW w:w="992" w:type="dxa"/>
            <w:tcMar>
              <w:top w:w="15" w:type="dxa"/>
              <w:left w:w="15" w:type="dxa"/>
              <w:bottom w:w="0" w:type="dxa"/>
              <w:right w:w="15" w:type="dxa"/>
            </w:tcMar>
            <w:vAlign w:val="bottom"/>
            <w:hideMark/>
          </w:tcPr>
          <w:p w14:paraId="1600191E"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0.18*</w:t>
            </w:r>
          </w:p>
        </w:tc>
        <w:tc>
          <w:tcPr>
            <w:tcW w:w="850" w:type="dxa"/>
            <w:tcMar>
              <w:top w:w="15" w:type="dxa"/>
              <w:left w:w="15" w:type="dxa"/>
              <w:bottom w:w="0" w:type="dxa"/>
              <w:right w:w="15" w:type="dxa"/>
            </w:tcMar>
            <w:vAlign w:val="bottom"/>
            <w:hideMark/>
          </w:tcPr>
          <w:p w14:paraId="1CD05EAE"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0.2830*</w:t>
            </w:r>
          </w:p>
        </w:tc>
      </w:tr>
      <w:tr w:rsidR="00385A41" w:rsidRPr="007207BB" w14:paraId="23C9E74A" w14:textId="77777777" w:rsidTr="00385A41">
        <w:trPr>
          <w:trHeight w:val="335"/>
          <w:jc w:val="center"/>
        </w:trPr>
        <w:tc>
          <w:tcPr>
            <w:tcW w:w="662" w:type="dxa"/>
            <w:tcMar>
              <w:top w:w="15" w:type="dxa"/>
              <w:left w:w="15" w:type="dxa"/>
              <w:bottom w:w="0" w:type="dxa"/>
              <w:right w:w="15" w:type="dxa"/>
            </w:tcMar>
            <w:vAlign w:val="bottom"/>
            <w:hideMark/>
          </w:tcPr>
          <w:p w14:paraId="52391B3F"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9</w:t>
            </w:r>
          </w:p>
        </w:tc>
        <w:tc>
          <w:tcPr>
            <w:tcW w:w="898" w:type="dxa"/>
            <w:tcMar>
              <w:top w:w="15" w:type="dxa"/>
              <w:left w:w="15" w:type="dxa"/>
              <w:bottom w:w="0" w:type="dxa"/>
              <w:right w:w="15" w:type="dxa"/>
            </w:tcMar>
            <w:vAlign w:val="bottom"/>
            <w:hideMark/>
          </w:tcPr>
          <w:p w14:paraId="73D70F89"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0.05</w:t>
            </w:r>
          </w:p>
        </w:tc>
        <w:tc>
          <w:tcPr>
            <w:tcW w:w="992" w:type="dxa"/>
            <w:tcMar>
              <w:top w:w="15" w:type="dxa"/>
              <w:left w:w="15" w:type="dxa"/>
              <w:bottom w:w="0" w:type="dxa"/>
              <w:right w:w="15" w:type="dxa"/>
            </w:tcMar>
            <w:vAlign w:val="bottom"/>
            <w:hideMark/>
          </w:tcPr>
          <w:p w14:paraId="1C7BE34C"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0.082</w:t>
            </w:r>
          </w:p>
        </w:tc>
        <w:tc>
          <w:tcPr>
            <w:tcW w:w="992" w:type="dxa"/>
            <w:tcMar>
              <w:top w:w="15" w:type="dxa"/>
              <w:left w:w="15" w:type="dxa"/>
              <w:bottom w:w="0" w:type="dxa"/>
              <w:right w:w="15" w:type="dxa"/>
            </w:tcMar>
            <w:vAlign w:val="bottom"/>
            <w:hideMark/>
          </w:tcPr>
          <w:p w14:paraId="57CB9D12"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0.0070</w:t>
            </w:r>
          </w:p>
        </w:tc>
        <w:tc>
          <w:tcPr>
            <w:tcW w:w="1276" w:type="dxa"/>
            <w:tcMar>
              <w:top w:w="15" w:type="dxa"/>
              <w:left w:w="15" w:type="dxa"/>
              <w:bottom w:w="0" w:type="dxa"/>
              <w:right w:w="15" w:type="dxa"/>
            </w:tcMar>
            <w:vAlign w:val="bottom"/>
            <w:hideMark/>
          </w:tcPr>
          <w:p w14:paraId="395599CD"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0.29</w:t>
            </w:r>
          </w:p>
        </w:tc>
        <w:tc>
          <w:tcPr>
            <w:tcW w:w="992" w:type="dxa"/>
            <w:vAlign w:val="bottom"/>
          </w:tcPr>
          <w:p w14:paraId="23FA1448"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15118</w:t>
            </w:r>
          </w:p>
        </w:tc>
        <w:tc>
          <w:tcPr>
            <w:tcW w:w="992" w:type="dxa"/>
            <w:vAlign w:val="bottom"/>
          </w:tcPr>
          <w:p w14:paraId="4BE8DA95"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0.320</w:t>
            </w:r>
          </w:p>
        </w:tc>
        <w:tc>
          <w:tcPr>
            <w:tcW w:w="992" w:type="dxa"/>
            <w:tcMar>
              <w:top w:w="15" w:type="dxa"/>
              <w:left w:w="15" w:type="dxa"/>
              <w:bottom w:w="0" w:type="dxa"/>
              <w:right w:w="15" w:type="dxa"/>
            </w:tcMar>
            <w:vAlign w:val="bottom"/>
            <w:hideMark/>
          </w:tcPr>
          <w:p w14:paraId="3F166A75"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0.19*</w:t>
            </w:r>
          </w:p>
        </w:tc>
        <w:tc>
          <w:tcPr>
            <w:tcW w:w="850" w:type="dxa"/>
            <w:tcMar>
              <w:top w:w="15" w:type="dxa"/>
              <w:left w:w="15" w:type="dxa"/>
              <w:bottom w:w="0" w:type="dxa"/>
              <w:right w:w="15" w:type="dxa"/>
            </w:tcMar>
            <w:vAlign w:val="bottom"/>
            <w:hideMark/>
          </w:tcPr>
          <w:p w14:paraId="59FEECA9"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0.3432*</w:t>
            </w:r>
          </w:p>
        </w:tc>
      </w:tr>
      <w:tr w:rsidR="00385A41" w:rsidRPr="007207BB" w14:paraId="55D0A180" w14:textId="77777777" w:rsidTr="00385A41">
        <w:trPr>
          <w:trHeight w:val="335"/>
          <w:jc w:val="center"/>
        </w:trPr>
        <w:tc>
          <w:tcPr>
            <w:tcW w:w="662" w:type="dxa"/>
            <w:tcMar>
              <w:top w:w="15" w:type="dxa"/>
              <w:left w:w="15" w:type="dxa"/>
              <w:bottom w:w="0" w:type="dxa"/>
              <w:right w:w="15" w:type="dxa"/>
            </w:tcMar>
            <w:vAlign w:val="bottom"/>
            <w:hideMark/>
          </w:tcPr>
          <w:p w14:paraId="13BAB7D6"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10</w:t>
            </w:r>
          </w:p>
        </w:tc>
        <w:tc>
          <w:tcPr>
            <w:tcW w:w="898" w:type="dxa"/>
            <w:tcMar>
              <w:top w:w="15" w:type="dxa"/>
              <w:left w:w="15" w:type="dxa"/>
              <w:bottom w:w="0" w:type="dxa"/>
              <w:right w:w="15" w:type="dxa"/>
            </w:tcMar>
            <w:vAlign w:val="bottom"/>
            <w:hideMark/>
          </w:tcPr>
          <w:p w14:paraId="7D2B37D3"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0.06</w:t>
            </w:r>
          </w:p>
        </w:tc>
        <w:tc>
          <w:tcPr>
            <w:tcW w:w="992" w:type="dxa"/>
            <w:tcMar>
              <w:top w:w="15" w:type="dxa"/>
              <w:left w:w="15" w:type="dxa"/>
              <w:bottom w:w="0" w:type="dxa"/>
              <w:right w:w="15" w:type="dxa"/>
            </w:tcMar>
            <w:vAlign w:val="bottom"/>
            <w:hideMark/>
          </w:tcPr>
          <w:p w14:paraId="7E09847F"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0.081</w:t>
            </w:r>
          </w:p>
        </w:tc>
        <w:tc>
          <w:tcPr>
            <w:tcW w:w="992" w:type="dxa"/>
            <w:tcMar>
              <w:top w:w="15" w:type="dxa"/>
              <w:left w:w="15" w:type="dxa"/>
              <w:bottom w:w="0" w:type="dxa"/>
              <w:right w:w="15" w:type="dxa"/>
            </w:tcMar>
            <w:vAlign w:val="bottom"/>
            <w:hideMark/>
          </w:tcPr>
          <w:p w14:paraId="4E2CFD3D"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0.0085</w:t>
            </w:r>
          </w:p>
        </w:tc>
        <w:tc>
          <w:tcPr>
            <w:tcW w:w="1276" w:type="dxa"/>
            <w:tcMar>
              <w:top w:w="15" w:type="dxa"/>
              <w:left w:w="15" w:type="dxa"/>
              <w:bottom w:w="0" w:type="dxa"/>
              <w:right w:w="15" w:type="dxa"/>
            </w:tcMar>
            <w:vAlign w:val="bottom"/>
            <w:hideMark/>
          </w:tcPr>
          <w:p w14:paraId="2EFBE5CD"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0.35</w:t>
            </w:r>
          </w:p>
        </w:tc>
        <w:tc>
          <w:tcPr>
            <w:tcW w:w="992" w:type="dxa"/>
            <w:vAlign w:val="bottom"/>
          </w:tcPr>
          <w:p w14:paraId="10ABBEBF"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18351</w:t>
            </w:r>
          </w:p>
        </w:tc>
        <w:tc>
          <w:tcPr>
            <w:tcW w:w="992" w:type="dxa"/>
            <w:vAlign w:val="bottom"/>
          </w:tcPr>
          <w:p w14:paraId="27C14DA0"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0.393</w:t>
            </w:r>
          </w:p>
        </w:tc>
        <w:tc>
          <w:tcPr>
            <w:tcW w:w="992" w:type="dxa"/>
            <w:tcMar>
              <w:top w:w="15" w:type="dxa"/>
              <w:left w:w="15" w:type="dxa"/>
              <w:bottom w:w="0" w:type="dxa"/>
              <w:right w:w="15" w:type="dxa"/>
            </w:tcMar>
            <w:vAlign w:val="bottom"/>
            <w:hideMark/>
          </w:tcPr>
          <w:p w14:paraId="3DCBBB5B"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0.24*</w:t>
            </w:r>
          </w:p>
        </w:tc>
        <w:tc>
          <w:tcPr>
            <w:tcW w:w="850" w:type="dxa"/>
            <w:tcMar>
              <w:top w:w="15" w:type="dxa"/>
              <w:left w:w="15" w:type="dxa"/>
              <w:bottom w:w="0" w:type="dxa"/>
              <w:right w:w="15" w:type="dxa"/>
            </w:tcMar>
            <w:vAlign w:val="bottom"/>
            <w:hideMark/>
          </w:tcPr>
          <w:p w14:paraId="4BDF6FCB"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0.4907*</w:t>
            </w:r>
          </w:p>
        </w:tc>
      </w:tr>
      <w:tr w:rsidR="00385A41" w:rsidRPr="007207BB" w14:paraId="1BFC61E9" w14:textId="77777777" w:rsidTr="00385A41">
        <w:trPr>
          <w:trHeight w:val="65"/>
          <w:jc w:val="center"/>
        </w:trPr>
        <w:tc>
          <w:tcPr>
            <w:tcW w:w="662" w:type="dxa"/>
            <w:tcBorders>
              <w:top w:val="nil"/>
              <w:left w:val="nil"/>
              <w:bottom w:val="single" w:sz="4" w:space="0" w:color="auto"/>
              <w:right w:val="nil"/>
            </w:tcBorders>
            <w:tcMar>
              <w:top w:w="15" w:type="dxa"/>
              <w:left w:w="15" w:type="dxa"/>
              <w:bottom w:w="0" w:type="dxa"/>
              <w:right w:w="15" w:type="dxa"/>
            </w:tcMar>
            <w:vAlign w:val="bottom"/>
            <w:hideMark/>
          </w:tcPr>
          <w:p w14:paraId="3FD094C6"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11</w:t>
            </w:r>
          </w:p>
        </w:tc>
        <w:tc>
          <w:tcPr>
            <w:tcW w:w="898" w:type="dxa"/>
            <w:tcBorders>
              <w:top w:val="nil"/>
              <w:left w:val="nil"/>
              <w:bottom w:val="single" w:sz="4" w:space="0" w:color="auto"/>
              <w:right w:val="nil"/>
            </w:tcBorders>
            <w:tcMar>
              <w:top w:w="15" w:type="dxa"/>
              <w:left w:w="15" w:type="dxa"/>
              <w:bottom w:w="0" w:type="dxa"/>
              <w:right w:w="15" w:type="dxa"/>
            </w:tcMar>
            <w:vAlign w:val="bottom"/>
            <w:hideMark/>
          </w:tcPr>
          <w:p w14:paraId="3FE851A3"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0.08</w:t>
            </w:r>
          </w:p>
        </w:tc>
        <w:tc>
          <w:tcPr>
            <w:tcW w:w="992" w:type="dxa"/>
            <w:tcBorders>
              <w:top w:val="nil"/>
              <w:left w:val="nil"/>
              <w:bottom w:val="single" w:sz="4" w:space="0" w:color="auto"/>
              <w:right w:val="nil"/>
            </w:tcBorders>
            <w:tcMar>
              <w:top w:w="15" w:type="dxa"/>
              <w:left w:w="15" w:type="dxa"/>
              <w:bottom w:w="0" w:type="dxa"/>
              <w:right w:w="15" w:type="dxa"/>
            </w:tcMar>
            <w:vAlign w:val="bottom"/>
            <w:hideMark/>
          </w:tcPr>
          <w:p w14:paraId="4E90AEA9"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0.080</w:t>
            </w:r>
          </w:p>
        </w:tc>
        <w:tc>
          <w:tcPr>
            <w:tcW w:w="992" w:type="dxa"/>
            <w:tcBorders>
              <w:top w:val="nil"/>
              <w:left w:val="nil"/>
              <w:bottom w:val="single" w:sz="4" w:space="0" w:color="auto"/>
              <w:right w:val="nil"/>
            </w:tcBorders>
            <w:tcMar>
              <w:top w:w="15" w:type="dxa"/>
              <w:left w:w="15" w:type="dxa"/>
              <w:bottom w:w="0" w:type="dxa"/>
              <w:right w:w="15" w:type="dxa"/>
            </w:tcMar>
            <w:vAlign w:val="bottom"/>
            <w:hideMark/>
          </w:tcPr>
          <w:p w14:paraId="1F895812"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N/A</w:t>
            </w:r>
          </w:p>
        </w:tc>
        <w:tc>
          <w:tcPr>
            <w:tcW w:w="1276" w:type="dxa"/>
            <w:tcBorders>
              <w:top w:val="nil"/>
              <w:left w:val="nil"/>
              <w:bottom w:val="single" w:sz="4" w:space="0" w:color="auto"/>
              <w:right w:val="nil"/>
            </w:tcBorders>
            <w:tcMar>
              <w:top w:w="15" w:type="dxa"/>
              <w:left w:w="15" w:type="dxa"/>
              <w:bottom w:w="0" w:type="dxa"/>
              <w:right w:w="15" w:type="dxa"/>
            </w:tcMar>
            <w:vAlign w:val="bottom"/>
            <w:hideMark/>
          </w:tcPr>
          <w:p w14:paraId="730479BC"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N/A</w:t>
            </w:r>
          </w:p>
        </w:tc>
        <w:tc>
          <w:tcPr>
            <w:tcW w:w="992" w:type="dxa"/>
            <w:tcBorders>
              <w:top w:val="nil"/>
              <w:left w:val="nil"/>
              <w:bottom w:val="single" w:sz="4" w:space="0" w:color="auto"/>
              <w:right w:val="nil"/>
            </w:tcBorders>
            <w:vAlign w:val="bottom"/>
          </w:tcPr>
          <w:p w14:paraId="0DBF2147"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N/A</w:t>
            </w:r>
          </w:p>
        </w:tc>
        <w:tc>
          <w:tcPr>
            <w:tcW w:w="992" w:type="dxa"/>
            <w:tcBorders>
              <w:top w:val="nil"/>
              <w:left w:val="nil"/>
              <w:bottom w:val="single" w:sz="4" w:space="0" w:color="auto"/>
              <w:right w:val="nil"/>
            </w:tcBorders>
            <w:vAlign w:val="bottom"/>
          </w:tcPr>
          <w:p w14:paraId="786C5D8F"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N/A</w:t>
            </w:r>
          </w:p>
        </w:tc>
        <w:tc>
          <w:tcPr>
            <w:tcW w:w="992" w:type="dxa"/>
            <w:tcBorders>
              <w:top w:val="nil"/>
              <w:left w:val="nil"/>
              <w:bottom w:val="single" w:sz="4" w:space="0" w:color="auto"/>
              <w:right w:val="nil"/>
            </w:tcBorders>
            <w:tcMar>
              <w:top w:w="15" w:type="dxa"/>
              <w:left w:w="15" w:type="dxa"/>
              <w:bottom w:w="0" w:type="dxa"/>
              <w:right w:w="15" w:type="dxa"/>
            </w:tcMar>
            <w:vAlign w:val="bottom"/>
            <w:hideMark/>
          </w:tcPr>
          <w:p w14:paraId="704E1CB3"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0.28*</w:t>
            </w:r>
          </w:p>
        </w:tc>
        <w:tc>
          <w:tcPr>
            <w:tcW w:w="850" w:type="dxa"/>
            <w:tcBorders>
              <w:top w:val="nil"/>
              <w:left w:val="nil"/>
              <w:bottom w:val="single" w:sz="4" w:space="0" w:color="auto"/>
              <w:right w:val="nil"/>
            </w:tcBorders>
            <w:tcMar>
              <w:top w:w="15" w:type="dxa"/>
              <w:left w:w="15" w:type="dxa"/>
              <w:bottom w:w="0" w:type="dxa"/>
              <w:right w:w="15" w:type="dxa"/>
            </w:tcMar>
            <w:vAlign w:val="bottom"/>
            <w:hideMark/>
          </w:tcPr>
          <w:p w14:paraId="7FAFF2A3" w14:textId="77777777" w:rsidR="00385A41" w:rsidRPr="007207BB" w:rsidRDefault="00385A41" w:rsidP="00385A41">
            <w:pPr>
              <w:contextualSpacing/>
              <w:rPr>
                <w:rFonts w:ascii="Calibri" w:eastAsia="Calibri" w:hAnsi="Calibri" w:cs="Calibri"/>
                <w:sz w:val="20"/>
                <w:lang w:val="en-GB"/>
              </w:rPr>
            </w:pPr>
            <w:r w:rsidRPr="007207BB">
              <w:rPr>
                <w:rFonts w:ascii="Calibri" w:eastAsia="Calibri" w:hAnsi="Calibri" w:cs="Calibri"/>
                <w:sz w:val="20"/>
                <w:lang w:val="en-GB"/>
              </w:rPr>
              <w:t>0.7277*</w:t>
            </w:r>
          </w:p>
        </w:tc>
      </w:tr>
    </w:tbl>
    <w:p w14:paraId="706468A0" w14:textId="77777777" w:rsidR="00385A41" w:rsidRPr="005314B5" w:rsidRDefault="00385A41" w:rsidP="006237D4">
      <w:pPr>
        <w:pStyle w:val="SMcaption"/>
        <w:rPr>
          <w:rFonts w:ascii="Myriad Pro" w:hAnsi="Myriad Pro"/>
          <w:sz w:val="22"/>
          <w:szCs w:val="22"/>
        </w:rPr>
      </w:pPr>
    </w:p>
    <w:p w14:paraId="6879B143" w14:textId="24A4BF10" w:rsidR="0066722B" w:rsidRPr="00810049" w:rsidRDefault="0066722B" w:rsidP="00810049">
      <w:pPr>
        <w:pStyle w:val="SMHeading"/>
        <w:rPr>
          <w:rFonts w:ascii="Myriad Pro" w:hAnsi="Myriad Pro"/>
          <w:b w:val="0"/>
          <w:sz w:val="22"/>
          <w:szCs w:val="22"/>
        </w:rPr>
      </w:pPr>
      <w:r w:rsidRPr="005314B5">
        <w:rPr>
          <w:rFonts w:ascii="Myriad Pro" w:hAnsi="Myriad Pro"/>
          <w:sz w:val="22"/>
          <w:szCs w:val="22"/>
        </w:rPr>
        <w:t xml:space="preserve">Table S1. </w:t>
      </w:r>
      <w:r w:rsidR="007207BB" w:rsidRPr="007207BB">
        <w:rPr>
          <w:rFonts w:ascii="Myriad Pro" w:hAnsi="Myriad Pro"/>
          <w:b w:val="0"/>
          <w:sz w:val="22"/>
          <w:szCs w:val="22"/>
          <w:lang w:val="en-GB"/>
        </w:rPr>
        <w:t xml:space="preserve">Flume and hydraulic measurements for each </w:t>
      </w:r>
      <w:r w:rsidR="006C7A44">
        <w:rPr>
          <w:rFonts w:ascii="Myriad Pro" w:hAnsi="Myriad Pro"/>
          <w:b w:val="0"/>
          <w:sz w:val="22"/>
          <w:szCs w:val="22"/>
          <w:lang w:val="en-GB"/>
        </w:rPr>
        <w:t>discharge step</w:t>
      </w:r>
      <w:r w:rsidR="007207BB" w:rsidRPr="007207BB">
        <w:rPr>
          <w:rFonts w:ascii="Myriad Pro" w:hAnsi="Myriad Pro"/>
          <w:b w:val="0"/>
          <w:sz w:val="22"/>
          <w:szCs w:val="22"/>
          <w:lang w:val="en-GB"/>
        </w:rPr>
        <w:t xml:space="preserve"> (1-11). All hydraulic measurements are the mean of replicate flow measurement runs.  Discharge, velocity and bed shear stress increased with each run, whilst depth remained constant. Depth average velocity (U) was based on a</w:t>
      </w:r>
      <w:r w:rsidR="00B877A8">
        <w:rPr>
          <w:rFonts w:ascii="Myriad Pro" w:hAnsi="Myriad Pro"/>
          <w:b w:val="0"/>
          <w:sz w:val="22"/>
          <w:szCs w:val="22"/>
          <w:lang w:val="en-GB"/>
        </w:rPr>
        <w:t xml:space="preserve"> replicate (n = 3)</w:t>
      </w:r>
      <w:r w:rsidR="007207BB" w:rsidRPr="007207BB">
        <w:rPr>
          <w:rFonts w:ascii="Myriad Pro" w:hAnsi="Myriad Pro"/>
          <w:b w:val="0"/>
          <w:sz w:val="22"/>
          <w:szCs w:val="22"/>
          <w:lang w:val="en-GB"/>
        </w:rPr>
        <w:t xml:space="preserve"> single point velocity measurement</w:t>
      </w:r>
      <w:r w:rsidR="00B877A8">
        <w:rPr>
          <w:rFonts w:ascii="Myriad Pro" w:hAnsi="Myriad Pro"/>
          <w:b w:val="0"/>
          <w:sz w:val="22"/>
          <w:szCs w:val="22"/>
          <w:lang w:val="en-GB"/>
        </w:rPr>
        <w:t>s</w:t>
      </w:r>
      <w:r w:rsidR="007207BB" w:rsidRPr="007207BB">
        <w:rPr>
          <w:rFonts w:ascii="Myriad Pro" w:hAnsi="Myriad Pro"/>
          <w:b w:val="0"/>
          <w:sz w:val="22"/>
          <w:szCs w:val="22"/>
          <w:lang w:val="en-GB"/>
        </w:rPr>
        <w:t xml:space="preserve"> taken at 60% depth (independent of TKE estimates) but, unfortunately, w</w:t>
      </w:r>
      <w:r w:rsidR="00B877A8">
        <w:rPr>
          <w:rFonts w:ascii="Myriad Pro" w:hAnsi="Myriad Pro"/>
          <w:b w:val="0"/>
          <w:sz w:val="22"/>
          <w:szCs w:val="22"/>
          <w:lang w:val="en-GB"/>
        </w:rPr>
        <w:t>ere</w:t>
      </w:r>
      <w:r w:rsidR="007207BB" w:rsidRPr="007207BB">
        <w:rPr>
          <w:rFonts w:ascii="Myriad Pro" w:hAnsi="Myriad Pro"/>
          <w:b w:val="0"/>
          <w:sz w:val="22"/>
          <w:szCs w:val="22"/>
          <w:lang w:val="en-GB"/>
        </w:rPr>
        <w:t xml:space="preserve"> not successfully collected for </w:t>
      </w:r>
      <w:r w:rsidR="006C7A44">
        <w:rPr>
          <w:rFonts w:ascii="Myriad Pro" w:hAnsi="Myriad Pro"/>
          <w:b w:val="0"/>
          <w:sz w:val="22"/>
          <w:szCs w:val="22"/>
          <w:lang w:val="en-GB"/>
        </w:rPr>
        <w:t>discharge step</w:t>
      </w:r>
      <w:r w:rsidR="007207BB" w:rsidRPr="007207BB">
        <w:rPr>
          <w:rFonts w:ascii="Myriad Pro" w:hAnsi="Myriad Pro"/>
          <w:b w:val="0"/>
          <w:sz w:val="22"/>
          <w:szCs w:val="22"/>
          <w:lang w:val="en-GB"/>
        </w:rPr>
        <w:t xml:space="preserve"> 11. Near bed velocity </w:t>
      </w:r>
      <w:proofErr w:type="spellStart"/>
      <w:r w:rsidR="007207BB" w:rsidRPr="007207BB">
        <w:rPr>
          <w:rFonts w:ascii="Myriad Pro" w:hAnsi="Myriad Pro"/>
          <w:b w:val="0"/>
          <w:sz w:val="22"/>
          <w:szCs w:val="22"/>
          <w:lang w:val="en-GB"/>
        </w:rPr>
        <w:t>U</w:t>
      </w:r>
      <w:r w:rsidR="007207BB" w:rsidRPr="007207BB">
        <w:rPr>
          <w:rFonts w:ascii="Myriad Pro" w:hAnsi="Myriad Pro"/>
          <w:b w:val="0"/>
          <w:sz w:val="22"/>
          <w:szCs w:val="22"/>
          <w:vertAlign w:val="subscript"/>
          <w:lang w:val="en-GB"/>
        </w:rPr>
        <w:t>b</w:t>
      </w:r>
      <w:proofErr w:type="spellEnd"/>
      <w:r w:rsidR="007207BB" w:rsidRPr="007207BB">
        <w:rPr>
          <w:rFonts w:ascii="Myriad Pro" w:hAnsi="Myriad Pro"/>
          <w:b w:val="0"/>
          <w:sz w:val="22"/>
          <w:szCs w:val="22"/>
          <w:vertAlign w:val="subscript"/>
          <w:lang w:val="en-GB"/>
        </w:rPr>
        <w:t xml:space="preserve"> </w:t>
      </w:r>
      <w:r w:rsidR="007207BB" w:rsidRPr="007207BB">
        <w:rPr>
          <w:rFonts w:ascii="Myriad Pro" w:hAnsi="Myriad Pro"/>
          <w:b w:val="0"/>
          <w:sz w:val="22"/>
          <w:szCs w:val="22"/>
          <w:lang w:val="en-GB"/>
        </w:rPr>
        <w:t>was centred at 10 mm above the bed</w:t>
      </w:r>
      <w:r w:rsidR="00B877A8">
        <w:rPr>
          <w:rFonts w:ascii="Myriad Pro" w:hAnsi="Myriad Pro"/>
          <w:b w:val="0"/>
          <w:sz w:val="22"/>
          <w:szCs w:val="22"/>
          <w:lang w:val="en-GB"/>
        </w:rPr>
        <w:t xml:space="preserve"> </w:t>
      </w:r>
      <w:r w:rsidR="00B877A8" w:rsidRPr="007207BB">
        <w:rPr>
          <w:rFonts w:ascii="Myriad Pro" w:hAnsi="Myriad Pro"/>
          <w:b w:val="0"/>
          <w:sz w:val="22"/>
          <w:szCs w:val="22"/>
          <w:lang w:val="en-GB"/>
        </w:rPr>
        <w:t xml:space="preserve">(n = </w:t>
      </w:r>
      <w:r w:rsidR="00B877A8">
        <w:rPr>
          <w:rFonts w:ascii="Myriad Pro" w:hAnsi="Myriad Pro"/>
          <w:b w:val="0"/>
          <w:sz w:val="22"/>
          <w:szCs w:val="22"/>
          <w:lang w:val="en-GB"/>
        </w:rPr>
        <w:t>5-6</w:t>
      </w:r>
      <w:r w:rsidR="00B877A8" w:rsidRPr="007207BB">
        <w:rPr>
          <w:rFonts w:ascii="Myriad Pro" w:hAnsi="Myriad Pro"/>
          <w:b w:val="0"/>
          <w:sz w:val="22"/>
          <w:szCs w:val="22"/>
          <w:lang w:val="en-GB"/>
        </w:rPr>
        <w:t>)</w:t>
      </w:r>
      <w:r w:rsidR="007207BB" w:rsidRPr="007207BB">
        <w:rPr>
          <w:rFonts w:ascii="Myriad Pro" w:hAnsi="Myriad Pro"/>
          <w:b w:val="0"/>
          <w:sz w:val="22"/>
          <w:szCs w:val="22"/>
          <w:lang w:val="en-GB"/>
        </w:rPr>
        <w:t>. For near bed velocity and shear stress (</w:t>
      </w:r>
      <m:oMath>
        <m:sSub>
          <m:sSubPr>
            <m:ctrlPr>
              <w:rPr>
                <w:rFonts w:ascii="Cambria Math" w:hAnsi="Cambria Math"/>
                <w:b w:val="0"/>
                <w:i/>
                <w:sz w:val="22"/>
                <w:szCs w:val="22"/>
                <w:lang w:val="en-GB"/>
              </w:rPr>
            </m:ctrlPr>
          </m:sSubPr>
          <m:e>
            <m:r>
              <m:rPr>
                <m:sty m:val="b"/>
              </m:rPr>
              <w:rPr>
                <w:rFonts w:ascii="Cambria Math" w:hAnsi="Cambria Math"/>
                <w:sz w:val="22"/>
                <w:szCs w:val="22"/>
                <w:lang w:val="en-GB"/>
              </w:rPr>
              <m:t>τ</m:t>
            </m:r>
          </m:e>
          <m:sub>
            <m:r>
              <m:rPr>
                <m:sty m:val="bi"/>
              </m:rPr>
              <w:rPr>
                <w:rFonts w:ascii="Cambria Math" w:hAnsi="Cambria Math"/>
                <w:sz w:val="22"/>
                <w:szCs w:val="22"/>
                <w:lang w:val="en-GB"/>
              </w:rPr>
              <m:t>b</m:t>
            </m:r>
          </m:sub>
        </m:sSub>
      </m:oMath>
      <w:r w:rsidR="007207BB" w:rsidRPr="00B877A8">
        <w:rPr>
          <w:rFonts w:ascii="Myriad Pro" w:hAnsi="Myriad Pro"/>
          <w:b w:val="0"/>
          <w:sz w:val="22"/>
          <w:szCs w:val="22"/>
          <w:lang w:val="en-GB"/>
        </w:rPr>
        <w:t>),</w:t>
      </w:r>
      <w:r w:rsidR="007207BB" w:rsidRPr="007207BB">
        <w:rPr>
          <w:rFonts w:ascii="Myriad Pro" w:hAnsi="Myriad Pro"/>
          <w:b w:val="0"/>
          <w:sz w:val="22"/>
          <w:szCs w:val="22"/>
          <w:lang w:val="en-GB"/>
        </w:rPr>
        <w:t xml:space="preserve"> * indicates that the stage was significantly different from both neighbouring </w:t>
      </w:r>
      <w:r w:rsidR="006C7A44">
        <w:rPr>
          <w:rFonts w:ascii="Myriad Pro" w:hAnsi="Myriad Pro"/>
          <w:b w:val="0"/>
          <w:sz w:val="22"/>
          <w:szCs w:val="22"/>
          <w:lang w:val="en-GB"/>
        </w:rPr>
        <w:t xml:space="preserve">discharge steps </w:t>
      </w:r>
      <w:r w:rsidR="007207BB" w:rsidRPr="007207BB">
        <w:rPr>
          <w:rFonts w:ascii="Myriad Pro" w:hAnsi="Myriad Pro"/>
          <w:b w:val="0"/>
          <w:sz w:val="22"/>
          <w:szCs w:val="22"/>
          <w:lang w:val="en-GB"/>
        </w:rPr>
        <w:t xml:space="preserve">according to a Tukey Honest Significant Difference test (adjusted </w:t>
      </w:r>
      <w:r w:rsidR="00810049">
        <w:rPr>
          <w:rFonts w:ascii="Myriad Pro" w:hAnsi="Myriad Pro"/>
          <w:b w:val="0"/>
          <w:i/>
          <w:sz w:val="22"/>
          <w:szCs w:val="22"/>
          <w:lang w:val="en-GB"/>
        </w:rPr>
        <w:t xml:space="preserve">p </w:t>
      </w:r>
      <w:r w:rsidR="007207BB" w:rsidRPr="007207BB">
        <w:rPr>
          <w:rFonts w:ascii="Myriad Pro" w:hAnsi="Myriad Pro"/>
          <w:b w:val="0"/>
          <w:sz w:val="22"/>
          <w:szCs w:val="22"/>
          <w:lang w:val="en-GB"/>
        </w:rPr>
        <w:t>&lt;</w:t>
      </w:r>
      <w:r w:rsidR="00810049">
        <w:rPr>
          <w:rFonts w:ascii="Myriad Pro" w:hAnsi="Myriad Pro"/>
          <w:b w:val="0"/>
          <w:sz w:val="22"/>
          <w:szCs w:val="22"/>
          <w:lang w:val="en-GB"/>
        </w:rPr>
        <w:t xml:space="preserve"> </w:t>
      </w:r>
      <w:r w:rsidR="007207BB" w:rsidRPr="007207BB">
        <w:rPr>
          <w:rFonts w:ascii="Myriad Pro" w:hAnsi="Myriad Pro"/>
          <w:b w:val="0"/>
          <w:sz w:val="22"/>
          <w:szCs w:val="22"/>
          <w:lang w:val="en-GB"/>
        </w:rPr>
        <w:t xml:space="preserve">0.05). For the Reynolds number ⁺ indicates that flow is transitional according to 500&lt;Re&lt;2500. All other </w:t>
      </w:r>
      <w:r w:rsidR="006C7A44">
        <w:rPr>
          <w:rFonts w:ascii="Myriad Pro" w:hAnsi="Myriad Pro"/>
          <w:b w:val="0"/>
          <w:sz w:val="22"/>
          <w:szCs w:val="22"/>
          <w:lang w:val="en-GB"/>
        </w:rPr>
        <w:t>discharge steps</w:t>
      </w:r>
      <w:r w:rsidR="006C7A44" w:rsidRPr="007207BB">
        <w:rPr>
          <w:rFonts w:ascii="Myriad Pro" w:hAnsi="Myriad Pro"/>
          <w:b w:val="0"/>
          <w:sz w:val="22"/>
          <w:szCs w:val="22"/>
          <w:lang w:val="en-GB"/>
        </w:rPr>
        <w:t xml:space="preserve"> </w:t>
      </w:r>
      <w:r w:rsidR="007207BB" w:rsidRPr="007207BB">
        <w:rPr>
          <w:rFonts w:ascii="Myriad Pro" w:hAnsi="Myriad Pro"/>
          <w:b w:val="0"/>
          <w:sz w:val="22"/>
          <w:szCs w:val="22"/>
          <w:lang w:val="en-GB"/>
        </w:rPr>
        <w:t xml:space="preserve">were fully turbulent. Froude numbers reveal that all </w:t>
      </w:r>
      <w:r w:rsidR="006C7A44">
        <w:rPr>
          <w:rFonts w:ascii="Myriad Pro" w:hAnsi="Myriad Pro"/>
          <w:b w:val="0"/>
          <w:sz w:val="22"/>
          <w:szCs w:val="22"/>
          <w:lang w:val="en-GB"/>
        </w:rPr>
        <w:t xml:space="preserve">discharge steps </w:t>
      </w:r>
      <w:r w:rsidR="007207BB" w:rsidRPr="007207BB">
        <w:rPr>
          <w:rFonts w:ascii="Myriad Pro" w:hAnsi="Myriad Pro"/>
          <w:b w:val="0"/>
          <w:sz w:val="22"/>
          <w:szCs w:val="22"/>
          <w:lang w:val="en-GB"/>
        </w:rPr>
        <w:t>were subcritical (Fr&lt;1).</w:t>
      </w:r>
    </w:p>
    <w:p w14:paraId="1F923707" w14:textId="77777777" w:rsidR="00B968D7" w:rsidRPr="005314B5" w:rsidRDefault="00B968D7" w:rsidP="0066722B">
      <w:pPr>
        <w:pStyle w:val="SMcaption"/>
        <w:rPr>
          <w:rFonts w:ascii="Myriad Pro" w:hAnsi="Myriad Pro"/>
          <w:b/>
          <w:i/>
          <w:sz w:val="22"/>
          <w:szCs w:val="22"/>
        </w:rPr>
      </w:pPr>
    </w:p>
    <w:p w14:paraId="2D1438C3" w14:textId="5C3BD0E2" w:rsidR="00810049" w:rsidRDefault="00810049" w:rsidP="00810049">
      <w:pPr>
        <w:pStyle w:val="SMHeading"/>
        <w:rPr>
          <w:rFonts w:ascii="Myriad Pro" w:hAnsi="Myriad Pro"/>
          <w:sz w:val="22"/>
          <w:szCs w:val="22"/>
        </w:rPr>
      </w:pPr>
      <w:r>
        <w:rPr>
          <w:rFonts w:ascii="Myriad Pro" w:hAnsi="Myriad Pro"/>
          <w:sz w:val="22"/>
          <w:szCs w:val="22"/>
        </w:rPr>
        <w:t>Captions</w:t>
      </w:r>
    </w:p>
    <w:p w14:paraId="1E3DA74C" w14:textId="70F78EB4" w:rsidR="004568BC" w:rsidRPr="00B877A8" w:rsidRDefault="00112C5B" w:rsidP="00CE6EAA">
      <w:pPr>
        <w:pStyle w:val="SMHeading"/>
        <w:rPr>
          <w:rFonts w:ascii="Myriad Pro" w:hAnsi="Myriad Pro"/>
          <w:sz w:val="22"/>
          <w:szCs w:val="22"/>
        </w:rPr>
      </w:pPr>
      <w:r w:rsidRPr="005314B5">
        <w:rPr>
          <w:rFonts w:ascii="Myriad Pro" w:hAnsi="Myriad Pro"/>
          <w:sz w:val="22"/>
          <w:szCs w:val="22"/>
        </w:rPr>
        <w:t>Movie S1</w:t>
      </w:r>
      <w:r w:rsidR="00CE6EAA" w:rsidRPr="005314B5">
        <w:rPr>
          <w:rFonts w:ascii="Myriad Pro" w:hAnsi="Myriad Pro"/>
          <w:sz w:val="22"/>
          <w:szCs w:val="22"/>
        </w:rPr>
        <w:t>.</w:t>
      </w:r>
      <w:r w:rsidR="00B877A8">
        <w:rPr>
          <w:rFonts w:ascii="Myriad Pro" w:hAnsi="Myriad Pro"/>
          <w:sz w:val="22"/>
          <w:szCs w:val="22"/>
        </w:rPr>
        <w:t xml:space="preserve"> </w:t>
      </w:r>
      <w:r w:rsidR="00B877A8" w:rsidRPr="00B877A8">
        <w:rPr>
          <w:rFonts w:ascii="Myriad Pro" w:hAnsi="Myriad Pro"/>
          <w:b w:val="0"/>
          <w:sz w:val="22"/>
          <w:szCs w:val="22"/>
        </w:rPr>
        <w:t>Transport of caddisfly case (</w:t>
      </w:r>
      <w:r w:rsidR="00B877A8" w:rsidRPr="00B877A8">
        <w:rPr>
          <w:rFonts w:ascii="Myriad Pro" w:hAnsi="Myriad Pro"/>
          <w:b w:val="0"/>
          <w:i/>
          <w:sz w:val="22"/>
          <w:szCs w:val="22"/>
        </w:rPr>
        <w:t xml:space="preserve">P. </w:t>
      </w:r>
      <w:proofErr w:type="spellStart"/>
      <w:r w:rsidR="00B877A8" w:rsidRPr="00B877A8">
        <w:rPr>
          <w:rFonts w:ascii="Myriad Pro" w:hAnsi="Myriad Pro"/>
          <w:b w:val="0"/>
          <w:i/>
          <w:sz w:val="22"/>
          <w:szCs w:val="22"/>
        </w:rPr>
        <w:t>latipennis</w:t>
      </w:r>
      <w:proofErr w:type="spellEnd"/>
      <w:r w:rsidR="00B877A8" w:rsidRPr="00B877A8">
        <w:rPr>
          <w:rFonts w:ascii="Myriad Pro" w:hAnsi="Myriad Pro"/>
          <w:b w:val="0"/>
          <w:sz w:val="22"/>
          <w:szCs w:val="22"/>
        </w:rPr>
        <w:t xml:space="preserve">) (right) compared to </w:t>
      </w:r>
      <w:r w:rsidR="00B877A8">
        <w:rPr>
          <w:rFonts w:ascii="Myriad Pro" w:hAnsi="Myriad Pro"/>
          <w:b w:val="0"/>
          <w:sz w:val="22"/>
          <w:szCs w:val="22"/>
        </w:rPr>
        <w:t xml:space="preserve">the </w:t>
      </w:r>
      <w:r w:rsidR="00B877A8" w:rsidRPr="00B877A8">
        <w:rPr>
          <w:rFonts w:ascii="Myriad Pro" w:hAnsi="Myriad Pro"/>
          <w:b w:val="0"/>
          <w:sz w:val="22"/>
          <w:szCs w:val="22"/>
        </w:rPr>
        <w:t xml:space="preserve">fine sediment incorporated into </w:t>
      </w:r>
      <w:r w:rsidR="00B877A8">
        <w:rPr>
          <w:rFonts w:ascii="Myriad Pro" w:hAnsi="Myriad Pro"/>
          <w:b w:val="0"/>
          <w:sz w:val="22"/>
          <w:szCs w:val="22"/>
        </w:rPr>
        <w:t>the case</w:t>
      </w:r>
      <w:r w:rsidR="00B877A8" w:rsidRPr="00B877A8">
        <w:rPr>
          <w:rFonts w:ascii="Myriad Pro" w:hAnsi="Myriad Pro"/>
          <w:b w:val="0"/>
          <w:sz w:val="22"/>
          <w:szCs w:val="22"/>
        </w:rPr>
        <w:t xml:space="preserve">. </w:t>
      </w:r>
      <w:proofErr w:type="gramStart"/>
      <w:r w:rsidR="00B877A8" w:rsidRPr="00B877A8">
        <w:rPr>
          <w:rFonts w:ascii="Myriad Pro" w:hAnsi="Myriad Pro"/>
          <w:b w:val="0"/>
          <w:sz w:val="22"/>
          <w:szCs w:val="22"/>
        </w:rPr>
        <w:t>During the course of</w:t>
      </w:r>
      <w:proofErr w:type="gramEnd"/>
      <w:r w:rsidR="00B877A8" w:rsidRPr="00B877A8">
        <w:rPr>
          <w:rFonts w:ascii="Myriad Pro" w:hAnsi="Myriad Pro"/>
          <w:b w:val="0"/>
          <w:sz w:val="22"/>
          <w:szCs w:val="22"/>
        </w:rPr>
        <w:t xml:space="preserve"> the video, bed shear stress and flow velocity are gradually increased until both the case and sediment are mobilized. Timings are not </w:t>
      </w:r>
      <w:r w:rsidR="00B877A8">
        <w:rPr>
          <w:rFonts w:ascii="Myriad Pro" w:hAnsi="Myriad Pro"/>
          <w:b w:val="0"/>
          <w:sz w:val="22"/>
          <w:szCs w:val="22"/>
        </w:rPr>
        <w:t xml:space="preserve">perfectly </w:t>
      </w:r>
      <w:r w:rsidR="00B877A8" w:rsidRPr="00B877A8">
        <w:rPr>
          <w:rFonts w:ascii="Myriad Pro" w:hAnsi="Myriad Pro"/>
          <w:b w:val="0"/>
          <w:sz w:val="22"/>
          <w:szCs w:val="22"/>
        </w:rPr>
        <w:t xml:space="preserve">synced between videos but </w:t>
      </w:r>
      <w:r w:rsidR="00B877A8" w:rsidRPr="00B877A8">
        <w:rPr>
          <w:rFonts w:ascii="Myriad Pro" w:hAnsi="Myriad Pro"/>
          <w:b w:val="0"/>
          <w:i/>
          <w:sz w:val="22"/>
          <w:szCs w:val="22"/>
        </w:rPr>
        <w:t xml:space="preserve">P. </w:t>
      </w:r>
      <w:proofErr w:type="spellStart"/>
      <w:r w:rsidR="00B877A8" w:rsidRPr="00B877A8">
        <w:rPr>
          <w:rFonts w:ascii="Myriad Pro" w:hAnsi="Myriad Pro"/>
          <w:b w:val="0"/>
          <w:i/>
          <w:sz w:val="22"/>
          <w:szCs w:val="22"/>
        </w:rPr>
        <w:t>latipennis</w:t>
      </w:r>
      <w:proofErr w:type="spellEnd"/>
      <w:r w:rsidR="00B877A8" w:rsidRPr="00B877A8">
        <w:rPr>
          <w:rFonts w:ascii="Myriad Pro" w:hAnsi="Myriad Pro"/>
          <w:b w:val="0"/>
          <w:sz w:val="22"/>
          <w:szCs w:val="22"/>
        </w:rPr>
        <w:t xml:space="preserve"> cases moved at lower flow stages than fine sediment and can be observed to turn perpendicular to the flow and roll off the measurement platform.</w:t>
      </w:r>
      <w:r w:rsidR="00B877A8">
        <w:rPr>
          <w:rFonts w:ascii="Myriad Pro" w:hAnsi="Myriad Pro"/>
          <w:sz w:val="22"/>
          <w:szCs w:val="22"/>
        </w:rPr>
        <w:t xml:space="preserve"> </w:t>
      </w:r>
    </w:p>
    <w:p w14:paraId="3E47C1C9" w14:textId="77777777" w:rsidR="00D8159F" w:rsidRPr="005314B5" w:rsidRDefault="00D8159F" w:rsidP="00B9440A">
      <w:pPr>
        <w:pStyle w:val="SMcaption"/>
        <w:rPr>
          <w:rFonts w:ascii="Myriad Pro" w:hAnsi="Myriad Pro"/>
          <w:sz w:val="22"/>
          <w:szCs w:val="22"/>
        </w:rPr>
      </w:pPr>
    </w:p>
    <w:p w14:paraId="39C68696" w14:textId="77777777" w:rsidR="00B968D7" w:rsidRDefault="00B968D7" w:rsidP="005314B5">
      <w:pPr>
        <w:pStyle w:val="SMcaption"/>
        <w:rPr>
          <w:rFonts w:ascii="Myriad Pro" w:hAnsi="Myriad Pro"/>
          <w:b/>
          <w:i/>
          <w:sz w:val="22"/>
          <w:szCs w:val="22"/>
        </w:rPr>
      </w:pPr>
    </w:p>
    <w:p w14:paraId="1025F539" w14:textId="77777777" w:rsidR="005314B5" w:rsidRDefault="005314B5" w:rsidP="005314B5">
      <w:pPr>
        <w:pStyle w:val="SMcaption"/>
        <w:rPr>
          <w:rFonts w:ascii="Myriad Pro" w:hAnsi="Myriad Pro"/>
          <w:b/>
          <w:i/>
          <w:sz w:val="22"/>
          <w:szCs w:val="22"/>
        </w:rPr>
      </w:pPr>
    </w:p>
    <w:p w14:paraId="7F792F84" w14:textId="77777777" w:rsidR="00B9440A" w:rsidRPr="00015F74" w:rsidRDefault="00B9440A" w:rsidP="00B9440A">
      <w:pPr>
        <w:pStyle w:val="SMcaption"/>
      </w:pPr>
    </w:p>
    <w:sectPr w:rsidR="00B9440A" w:rsidRPr="00015F74" w:rsidSect="00F125EE">
      <w:headerReference w:type="default" r:id="rId13"/>
      <w:footerReference w:type="defaul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7F51" w14:textId="77777777" w:rsidR="00412637" w:rsidRDefault="00412637">
      <w:r>
        <w:separator/>
      </w:r>
    </w:p>
  </w:endnote>
  <w:endnote w:type="continuationSeparator" w:id="0">
    <w:p w14:paraId="4333C9B1" w14:textId="77777777" w:rsidR="00412637" w:rsidRDefault="0041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E7ED" w14:textId="622FCF86" w:rsidR="001D6E6F" w:rsidRDefault="001D6E6F">
    <w:pPr>
      <w:pStyle w:val="Footer"/>
      <w:jc w:val="right"/>
    </w:pPr>
    <w:r>
      <w:fldChar w:fldCharType="begin"/>
    </w:r>
    <w:r>
      <w:instrText xml:space="preserve"> PAGE   \* MERGEFORMAT </w:instrText>
    </w:r>
    <w:r>
      <w:fldChar w:fldCharType="separate"/>
    </w:r>
    <w:r w:rsidR="003A6035">
      <w:rPr>
        <w:noProof/>
      </w:rPr>
      <w:t>5</w:t>
    </w:r>
    <w:r>
      <w:fldChar w:fldCharType="end"/>
    </w:r>
  </w:p>
  <w:p w14:paraId="486656F3" w14:textId="77777777" w:rsidR="001D6E6F" w:rsidRDefault="001D6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06DF" w14:textId="77777777" w:rsidR="00412637" w:rsidRDefault="00412637">
      <w:r>
        <w:separator/>
      </w:r>
    </w:p>
  </w:footnote>
  <w:footnote w:type="continuationSeparator" w:id="0">
    <w:p w14:paraId="172C6D98" w14:textId="77777777" w:rsidR="00412637" w:rsidRDefault="00412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3C1C" w14:textId="77777777" w:rsidR="001D6E6F" w:rsidRPr="005001AC" w:rsidRDefault="001D6E6F" w:rsidP="005001AC">
    <w:pPr>
      <w:jc w:val="right"/>
      <w:rPr>
        <w:sz w:val="20"/>
      </w:rPr>
    </w:pPr>
  </w:p>
  <w:p w14:paraId="18F8F636" w14:textId="77777777" w:rsidR="001D6E6F" w:rsidRDefault="001D6E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DF28E7"/>
    <w:multiLevelType w:val="hybridMultilevel"/>
    <w:tmpl w:val="86BC7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753083">
    <w:abstractNumId w:val="9"/>
  </w:num>
  <w:num w:numId="2" w16cid:durableId="731348184">
    <w:abstractNumId w:val="7"/>
  </w:num>
  <w:num w:numId="3" w16cid:durableId="1362436562">
    <w:abstractNumId w:val="6"/>
  </w:num>
  <w:num w:numId="4" w16cid:durableId="340937624">
    <w:abstractNumId w:val="5"/>
  </w:num>
  <w:num w:numId="5" w16cid:durableId="812404489">
    <w:abstractNumId w:val="4"/>
  </w:num>
  <w:num w:numId="6" w16cid:durableId="159739909">
    <w:abstractNumId w:val="8"/>
  </w:num>
  <w:num w:numId="7" w16cid:durableId="1034307402">
    <w:abstractNumId w:val="3"/>
  </w:num>
  <w:num w:numId="8" w16cid:durableId="2057656087">
    <w:abstractNumId w:val="2"/>
  </w:num>
  <w:num w:numId="9" w16cid:durableId="295725186">
    <w:abstractNumId w:val="1"/>
  </w:num>
  <w:num w:numId="10" w16cid:durableId="839585406">
    <w:abstractNumId w:val="0"/>
  </w:num>
  <w:num w:numId="11" w16cid:durableId="15159095">
    <w:abstractNumId w:val="12"/>
  </w:num>
  <w:num w:numId="12" w16cid:durableId="2033844478">
    <w:abstractNumId w:val="13"/>
  </w:num>
  <w:num w:numId="13" w16cid:durableId="700283744">
    <w:abstractNumId w:val="11"/>
  </w:num>
  <w:num w:numId="14" w16cid:durableId="12390508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15F74"/>
    <w:rsid w:val="0004047C"/>
    <w:rsid w:val="00043571"/>
    <w:rsid w:val="00065EBD"/>
    <w:rsid w:val="00083B44"/>
    <w:rsid w:val="000850DC"/>
    <w:rsid w:val="00094365"/>
    <w:rsid w:val="000B2E64"/>
    <w:rsid w:val="000C2771"/>
    <w:rsid w:val="000D68BD"/>
    <w:rsid w:val="000F0DCE"/>
    <w:rsid w:val="00111843"/>
    <w:rsid w:val="00112C5B"/>
    <w:rsid w:val="00113908"/>
    <w:rsid w:val="00114193"/>
    <w:rsid w:val="001154E6"/>
    <w:rsid w:val="00115A38"/>
    <w:rsid w:val="0011687B"/>
    <w:rsid w:val="00124F82"/>
    <w:rsid w:val="001278E3"/>
    <w:rsid w:val="00130743"/>
    <w:rsid w:val="00130B50"/>
    <w:rsid w:val="0016337A"/>
    <w:rsid w:val="00164269"/>
    <w:rsid w:val="001966FD"/>
    <w:rsid w:val="00197826"/>
    <w:rsid w:val="001A1BDE"/>
    <w:rsid w:val="001B44D2"/>
    <w:rsid w:val="001C7B4E"/>
    <w:rsid w:val="001D6E6F"/>
    <w:rsid w:val="001F0876"/>
    <w:rsid w:val="001F167C"/>
    <w:rsid w:val="001F5E91"/>
    <w:rsid w:val="0020183F"/>
    <w:rsid w:val="002077B9"/>
    <w:rsid w:val="00221C70"/>
    <w:rsid w:val="002251AF"/>
    <w:rsid w:val="00227D86"/>
    <w:rsid w:val="00243B68"/>
    <w:rsid w:val="00262D72"/>
    <w:rsid w:val="002800B6"/>
    <w:rsid w:val="002B35D4"/>
    <w:rsid w:val="002C030F"/>
    <w:rsid w:val="002D1E3E"/>
    <w:rsid w:val="002F3966"/>
    <w:rsid w:val="00320E2C"/>
    <w:rsid w:val="00331D75"/>
    <w:rsid w:val="00355362"/>
    <w:rsid w:val="00363E44"/>
    <w:rsid w:val="00385A41"/>
    <w:rsid w:val="00395E86"/>
    <w:rsid w:val="003A2FD8"/>
    <w:rsid w:val="003A6035"/>
    <w:rsid w:val="003B40E6"/>
    <w:rsid w:val="003C007A"/>
    <w:rsid w:val="003E1980"/>
    <w:rsid w:val="003F6E14"/>
    <w:rsid w:val="00405336"/>
    <w:rsid w:val="00412637"/>
    <w:rsid w:val="004568BC"/>
    <w:rsid w:val="004571D5"/>
    <w:rsid w:val="00462F1B"/>
    <w:rsid w:val="0046356B"/>
    <w:rsid w:val="00477182"/>
    <w:rsid w:val="004779CB"/>
    <w:rsid w:val="00481118"/>
    <w:rsid w:val="004B2481"/>
    <w:rsid w:val="004D2A8C"/>
    <w:rsid w:val="004E42D8"/>
    <w:rsid w:val="004E7BA2"/>
    <w:rsid w:val="004F7EDF"/>
    <w:rsid w:val="005001AC"/>
    <w:rsid w:val="00517016"/>
    <w:rsid w:val="00527D71"/>
    <w:rsid w:val="00527D84"/>
    <w:rsid w:val="005314B5"/>
    <w:rsid w:val="0054432F"/>
    <w:rsid w:val="00552C23"/>
    <w:rsid w:val="005607DD"/>
    <w:rsid w:val="00571FAD"/>
    <w:rsid w:val="00572DFF"/>
    <w:rsid w:val="00581896"/>
    <w:rsid w:val="005A558C"/>
    <w:rsid w:val="005B186E"/>
    <w:rsid w:val="005C6651"/>
    <w:rsid w:val="005D6D71"/>
    <w:rsid w:val="005E28F8"/>
    <w:rsid w:val="005E6513"/>
    <w:rsid w:val="00611F9E"/>
    <w:rsid w:val="006237D4"/>
    <w:rsid w:val="00651114"/>
    <w:rsid w:val="006622CF"/>
    <w:rsid w:val="00664A12"/>
    <w:rsid w:val="0066722B"/>
    <w:rsid w:val="00670299"/>
    <w:rsid w:val="0068469F"/>
    <w:rsid w:val="00691985"/>
    <w:rsid w:val="006962C1"/>
    <w:rsid w:val="006A1B64"/>
    <w:rsid w:val="006B03AD"/>
    <w:rsid w:val="006C7A44"/>
    <w:rsid w:val="006F602A"/>
    <w:rsid w:val="007108F5"/>
    <w:rsid w:val="00713AF2"/>
    <w:rsid w:val="00713E5B"/>
    <w:rsid w:val="007207BB"/>
    <w:rsid w:val="007402FC"/>
    <w:rsid w:val="007411A1"/>
    <w:rsid w:val="007563F2"/>
    <w:rsid w:val="00764008"/>
    <w:rsid w:val="00807D35"/>
    <w:rsid w:val="00810049"/>
    <w:rsid w:val="008115D9"/>
    <w:rsid w:val="00825950"/>
    <w:rsid w:val="00861DEF"/>
    <w:rsid w:val="00875719"/>
    <w:rsid w:val="00885C9B"/>
    <w:rsid w:val="008927D0"/>
    <w:rsid w:val="008D5D2A"/>
    <w:rsid w:val="008E2CF1"/>
    <w:rsid w:val="008F08DC"/>
    <w:rsid w:val="008F5A8A"/>
    <w:rsid w:val="009055D1"/>
    <w:rsid w:val="00914B63"/>
    <w:rsid w:val="00922705"/>
    <w:rsid w:val="00924546"/>
    <w:rsid w:val="00932FE5"/>
    <w:rsid w:val="009354F3"/>
    <w:rsid w:val="009447DC"/>
    <w:rsid w:val="00961BA5"/>
    <w:rsid w:val="009743A9"/>
    <w:rsid w:val="00975720"/>
    <w:rsid w:val="009859A7"/>
    <w:rsid w:val="009A5287"/>
    <w:rsid w:val="009B2AC5"/>
    <w:rsid w:val="009B7984"/>
    <w:rsid w:val="009C5E79"/>
    <w:rsid w:val="009F4BED"/>
    <w:rsid w:val="009F7D93"/>
    <w:rsid w:val="00A276DF"/>
    <w:rsid w:val="00A3084A"/>
    <w:rsid w:val="00A33C53"/>
    <w:rsid w:val="00A3403B"/>
    <w:rsid w:val="00A50033"/>
    <w:rsid w:val="00A51A12"/>
    <w:rsid w:val="00A627D4"/>
    <w:rsid w:val="00A74DA2"/>
    <w:rsid w:val="00A92733"/>
    <w:rsid w:val="00A9734D"/>
    <w:rsid w:val="00AA76F3"/>
    <w:rsid w:val="00AA77CD"/>
    <w:rsid w:val="00AC7DA6"/>
    <w:rsid w:val="00AD499C"/>
    <w:rsid w:val="00B30334"/>
    <w:rsid w:val="00B3147F"/>
    <w:rsid w:val="00B36869"/>
    <w:rsid w:val="00B43B31"/>
    <w:rsid w:val="00B47CFA"/>
    <w:rsid w:val="00B55B30"/>
    <w:rsid w:val="00B57F00"/>
    <w:rsid w:val="00B626CB"/>
    <w:rsid w:val="00B7560C"/>
    <w:rsid w:val="00B77E40"/>
    <w:rsid w:val="00B82C22"/>
    <w:rsid w:val="00B877A8"/>
    <w:rsid w:val="00B93DBA"/>
    <w:rsid w:val="00B9440A"/>
    <w:rsid w:val="00B952C1"/>
    <w:rsid w:val="00B968D7"/>
    <w:rsid w:val="00BA3953"/>
    <w:rsid w:val="00BB0624"/>
    <w:rsid w:val="00BB2D2A"/>
    <w:rsid w:val="00BD58CF"/>
    <w:rsid w:val="00BF1BEB"/>
    <w:rsid w:val="00BF1BF9"/>
    <w:rsid w:val="00C04CC1"/>
    <w:rsid w:val="00C071FC"/>
    <w:rsid w:val="00C22C02"/>
    <w:rsid w:val="00C24FF9"/>
    <w:rsid w:val="00C27F6F"/>
    <w:rsid w:val="00C30E83"/>
    <w:rsid w:val="00C50C6D"/>
    <w:rsid w:val="00C600D9"/>
    <w:rsid w:val="00C634D7"/>
    <w:rsid w:val="00C73E09"/>
    <w:rsid w:val="00CC1384"/>
    <w:rsid w:val="00CD3720"/>
    <w:rsid w:val="00CD571B"/>
    <w:rsid w:val="00CE6EAA"/>
    <w:rsid w:val="00CF1848"/>
    <w:rsid w:val="00CF5C2F"/>
    <w:rsid w:val="00D04BCF"/>
    <w:rsid w:val="00D10134"/>
    <w:rsid w:val="00D143D9"/>
    <w:rsid w:val="00D4372A"/>
    <w:rsid w:val="00D60BB0"/>
    <w:rsid w:val="00D65708"/>
    <w:rsid w:val="00D8159F"/>
    <w:rsid w:val="00DD1D04"/>
    <w:rsid w:val="00DD79D7"/>
    <w:rsid w:val="00E20431"/>
    <w:rsid w:val="00E257C8"/>
    <w:rsid w:val="00E40896"/>
    <w:rsid w:val="00E43D2D"/>
    <w:rsid w:val="00E449CB"/>
    <w:rsid w:val="00E63760"/>
    <w:rsid w:val="00E64049"/>
    <w:rsid w:val="00E9773B"/>
    <w:rsid w:val="00EC13A3"/>
    <w:rsid w:val="00EC7C85"/>
    <w:rsid w:val="00ED69CA"/>
    <w:rsid w:val="00EE35AB"/>
    <w:rsid w:val="00EF25A3"/>
    <w:rsid w:val="00F125EE"/>
    <w:rsid w:val="00F12E98"/>
    <w:rsid w:val="00F22029"/>
    <w:rsid w:val="00F23E46"/>
    <w:rsid w:val="00F3515C"/>
    <w:rsid w:val="00F47BA3"/>
    <w:rsid w:val="00F56E67"/>
    <w:rsid w:val="00F630EA"/>
    <w:rsid w:val="00F6474F"/>
    <w:rsid w:val="00F7007E"/>
    <w:rsid w:val="00F73193"/>
    <w:rsid w:val="00F74F95"/>
    <w:rsid w:val="00F80705"/>
    <w:rsid w:val="00FA1481"/>
    <w:rsid w:val="00FB1C42"/>
    <w:rsid w:val="00FB32EC"/>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9FF7"/>
  <w15:chartTrackingRefBased/>
  <w15:docId w15:val="{70801E18-7CCF-4C88-A79C-4DFA6FF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lsdException w:name="annotation reference" w:semiHidden="1" w:uiPriority="99"/>
    <w:lsdException w:name="line number" w:semiHidden="1"/>
    <w:lsdException w:name="endnote reference" w:semiHidden="1"/>
    <w:lsdException w:name="Title" w:qFormat="1"/>
    <w:lsdException w:name="Subtitle" w:qFormat="1"/>
    <w:lsdException w:name="FollowedHyperlink" w:semiHidden="1"/>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unhideWhenUsed="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049"/>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uiPriority w:val="99"/>
    <w:semiHidden/>
    <w:rsid w:val="002800B6"/>
    <w:rPr>
      <w:sz w:val="16"/>
      <w:szCs w:val="16"/>
    </w:rPr>
  </w:style>
  <w:style w:type="table" w:styleId="TableGrid">
    <w:name w:val="Table Grid"/>
    <w:basedOn w:val="TableNormal"/>
    <w:rsid w:val="00720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3D88B7C3387C4583D7D168B4EE779E" ma:contentTypeVersion="14" ma:contentTypeDescription="Create a new document." ma:contentTypeScope="" ma:versionID="112ea708f1aa845372edf5302ee8d9e5">
  <xsd:schema xmlns:xsd="http://www.w3.org/2001/XMLSchema" xmlns:xs="http://www.w3.org/2001/XMLSchema" xmlns:p="http://schemas.microsoft.com/office/2006/metadata/properties" xmlns:ns3="0b1329a9-6d5e-4a0a-a16a-a0e3c9e6180a" xmlns:ns4="3dce73ed-71bc-42ee-95b2-7bee3186c6f4" targetNamespace="http://schemas.microsoft.com/office/2006/metadata/properties" ma:root="true" ma:fieldsID="41b7d38070ce43d8018c48634489e69c" ns3:_="" ns4:_="">
    <xsd:import namespace="0b1329a9-6d5e-4a0a-a16a-a0e3c9e6180a"/>
    <xsd:import namespace="3dce73ed-71bc-42ee-95b2-7bee3186c6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329a9-6d5e-4a0a-a16a-a0e3c9e61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ce73ed-71bc-42ee-95b2-7bee3186c6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0C6AF-68C1-4532-A61C-09DC07ECD4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A50BBF-B946-4C06-9BD8-EE476EF66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329a9-6d5e-4a0a-a16a-a0e3c9e6180a"/>
    <ds:schemaRef ds:uri="3dce73ed-71bc-42ee-95b2-7bee3186c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DF4DB-2592-415E-AAA0-3B34AAF62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3954</Words>
  <Characters>22541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David Campling</cp:lastModifiedBy>
  <cp:revision>2</cp:revision>
  <cp:lastPrinted>2014-09-30T16:49:00Z</cp:lastPrinted>
  <dcterms:created xsi:type="dcterms:W3CDTF">2022-05-24T14:01:00Z</dcterms:created>
  <dcterms:modified xsi:type="dcterms:W3CDTF">2022-05-24T14:01:00Z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0x010100D53D88B7C3387C4583D7D168B4EE779E</vt:lpwstr>
  </property>
</Properties>
</file>