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6FC99" w14:textId="77777777" w:rsidR="00441720" w:rsidRPr="002C224F" w:rsidRDefault="00441720" w:rsidP="00F151BC">
      <w:pPr>
        <w:pStyle w:val="Authors"/>
        <w:spacing w:before="0" w:after="0" w:line="360" w:lineRule="auto"/>
        <w:rPr>
          <w:b/>
          <w:bCs/>
        </w:rPr>
      </w:pPr>
      <w:r w:rsidRPr="002C224F">
        <w:rPr>
          <w:b/>
          <w:bCs/>
        </w:rPr>
        <w:t>Studies on Anode Mass Composition and Cathode Flow Field Design for Small-Scale to Large-Scale Direct Methanol Fuel Cell Stack Systems</w:t>
      </w:r>
    </w:p>
    <w:p w14:paraId="13B540FE" w14:textId="77777777" w:rsidR="00441720" w:rsidRPr="002C224F" w:rsidRDefault="00441720" w:rsidP="00F151BC">
      <w:pPr>
        <w:pStyle w:val="Authors"/>
        <w:spacing w:before="0" w:after="0" w:line="360" w:lineRule="auto"/>
        <w:rPr>
          <w:b/>
        </w:rPr>
      </w:pPr>
      <w:r w:rsidRPr="002C224F">
        <w:t>Thanarajan Kumaresan,</w:t>
      </w:r>
      <w:r w:rsidRPr="002C224F">
        <w:rPr>
          <w:vertAlign w:val="superscript"/>
        </w:rPr>
        <w:t>1</w:t>
      </w:r>
      <w:r w:rsidRPr="002C224F">
        <w:t xml:space="preserve"> Karthikeyan Palaniswamy,</w:t>
      </w:r>
      <w:proofErr w:type="gramStart"/>
      <w:r w:rsidRPr="002C224F">
        <w:rPr>
          <w:vertAlign w:val="superscript"/>
        </w:rPr>
        <w:t>1,a</w:t>
      </w:r>
      <w:proofErr w:type="gramEnd"/>
      <w:r w:rsidRPr="002C224F">
        <w:rPr>
          <w:vertAlign w:val="superscript"/>
        </w:rPr>
        <w:t>)</w:t>
      </w:r>
      <w:r w:rsidRPr="002C224F">
        <w:t xml:space="preserve"> Ashley Fly,</w:t>
      </w:r>
      <w:r w:rsidRPr="002C224F">
        <w:rPr>
          <w:vertAlign w:val="superscript"/>
        </w:rPr>
        <w:t>2</w:t>
      </w:r>
      <w:r w:rsidRPr="002C224F">
        <w:t xml:space="preserve"> and Senthilarasu Sundaram</w:t>
      </w:r>
      <w:r w:rsidRPr="002C224F">
        <w:rPr>
          <w:vertAlign w:val="superscript"/>
        </w:rPr>
        <w:t>3,</w:t>
      </w:r>
    </w:p>
    <w:p w14:paraId="2B8B07B9" w14:textId="77777777" w:rsidR="00441720" w:rsidRPr="002C224F" w:rsidRDefault="00441720" w:rsidP="00F151BC">
      <w:pPr>
        <w:spacing w:line="360" w:lineRule="auto"/>
        <w:rPr>
          <w:rFonts w:ascii="Times New Roman" w:hAnsi="Times New Roman" w:cs="Times New Roman"/>
          <w:bCs/>
          <w:sz w:val="24"/>
          <w:szCs w:val="24"/>
        </w:rPr>
      </w:pPr>
      <w:r w:rsidRPr="002C224F">
        <w:rPr>
          <w:rFonts w:ascii="Times New Roman" w:hAnsi="Times New Roman" w:cs="Times New Roman"/>
          <w:bCs/>
          <w:sz w:val="24"/>
          <w:szCs w:val="24"/>
          <w:vertAlign w:val="superscript"/>
        </w:rPr>
        <w:t>1</w:t>
      </w:r>
      <w:r w:rsidRPr="002C224F">
        <w:rPr>
          <w:rFonts w:ascii="Times New Roman" w:hAnsi="Times New Roman" w:cs="Times New Roman"/>
          <w:bCs/>
          <w:sz w:val="24"/>
          <w:szCs w:val="24"/>
        </w:rPr>
        <w:t>Fuel Cells and Energy Systems Laboratory, Department of Automobile Engineering, PSG College of Technology, Coimbatore-641004, India</w:t>
      </w:r>
    </w:p>
    <w:p w14:paraId="0FB40792" w14:textId="77777777" w:rsidR="00441720" w:rsidRPr="002C224F" w:rsidRDefault="00441720" w:rsidP="00F151BC">
      <w:pPr>
        <w:spacing w:line="360" w:lineRule="auto"/>
        <w:rPr>
          <w:rFonts w:ascii="Times New Roman" w:hAnsi="Times New Roman" w:cs="Times New Roman"/>
          <w:bCs/>
          <w:sz w:val="24"/>
          <w:szCs w:val="24"/>
        </w:rPr>
      </w:pPr>
      <w:r w:rsidRPr="002C224F">
        <w:rPr>
          <w:rFonts w:ascii="Times New Roman" w:hAnsi="Times New Roman" w:cs="Times New Roman"/>
          <w:bCs/>
          <w:sz w:val="24"/>
          <w:szCs w:val="24"/>
          <w:vertAlign w:val="superscript"/>
        </w:rPr>
        <w:t>2</w:t>
      </w:r>
      <w:r w:rsidRPr="002C224F">
        <w:rPr>
          <w:rFonts w:ascii="Times New Roman" w:hAnsi="Times New Roman" w:cs="Times New Roman"/>
          <w:bCs/>
          <w:sz w:val="24"/>
          <w:szCs w:val="24"/>
        </w:rPr>
        <w:t>Department of Aeronautical and Automotive Engineering, Loughborough University, Loughborough-LE11 3TT, United Kingdom</w:t>
      </w:r>
    </w:p>
    <w:p w14:paraId="08932AD5" w14:textId="77777777" w:rsidR="00441720" w:rsidRPr="002C224F" w:rsidRDefault="00441720" w:rsidP="00F151BC">
      <w:pPr>
        <w:spacing w:line="360" w:lineRule="auto"/>
        <w:rPr>
          <w:rFonts w:ascii="Times New Roman" w:hAnsi="Times New Roman" w:cs="Times New Roman"/>
          <w:bCs/>
          <w:sz w:val="24"/>
          <w:szCs w:val="24"/>
        </w:rPr>
      </w:pPr>
      <w:r w:rsidRPr="002C224F">
        <w:rPr>
          <w:rFonts w:ascii="Times New Roman" w:hAnsi="Times New Roman" w:cs="Times New Roman"/>
          <w:bCs/>
          <w:sz w:val="24"/>
          <w:szCs w:val="24"/>
          <w:vertAlign w:val="superscript"/>
        </w:rPr>
        <w:t>3</w:t>
      </w:r>
      <w:r w:rsidRPr="002C224F">
        <w:rPr>
          <w:rFonts w:ascii="Times New Roman" w:hAnsi="Times New Roman" w:cs="Times New Roman"/>
          <w:bCs/>
          <w:sz w:val="24"/>
          <w:szCs w:val="24"/>
        </w:rPr>
        <w:t xml:space="preserve">Department of Electrical and Electronics Engineering, School of Engineering and the Built Environment, Edinburgh Napier University, </w:t>
      </w:r>
      <w:proofErr w:type="spellStart"/>
      <w:r w:rsidRPr="002C224F">
        <w:rPr>
          <w:rFonts w:ascii="Times New Roman" w:hAnsi="Times New Roman" w:cs="Times New Roman"/>
          <w:bCs/>
          <w:sz w:val="24"/>
          <w:szCs w:val="24"/>
        </w:rPr>
        <w:t>Merchiston</w:t>
      </w:r>
      <w:proofErr w:type="spellEnd"/>
      <w:r w:rsidRPr="002C224F">
        <w:rPr>
          <w:rFonts w:ascii="Times New Roman" w:hAnsi="Times New Roman" w:cs="Times New Roman"/>
          <w:bCs/>
          <w:sz w:val="24"/>
          <w:szCs w:val="24"/>
        </w:rPr>
        <w:t xml:space="preserve"> Campus, Edinburgh EH10 5DT UK</w:t>
      </w:r>
    </w:p>
    <w:p w14:paraId="10DEE91A" w14:textId="77777777" w:rsidR="00441720" w:rsidRPr="002C224F" w:rsidRDefault="00441720" w:rsidP="00F151BC">
      <w:pPr>
        <w:pStyle w:val="Authors"/>
        <w:spacing w:before="0" w:after="0" w:line="360" w:lineRule="auto"/>
        <w:jc w:val="left"/>
        <w:rPr>
          <w:b/>
          <w:iCs/>
        </w:rPr>
      </w:pPr>
      <w:proofErr w:type="gramStart"/>
      <w:r w:rsidRPr="002C224F">
        <w:rPr>
          <w:iCs/>
          <w:vertAlign w:val="superscript"/>
        </w:rPr>
        <w:t>a)</w:t>
      </w:r>
      <w:r w:rsidRPr="002C224F">
        <w:rPr>
          <w:iCs/>
        </w:rPr>
        <w:t>Corresponding</w:t>
      </w:r>
      <w:proofErr w:type="gramEnd"/>
      <w:r w:rsidRPr="002C224F">
        <w:rPr>
          <w:iCs/>
        </w:rPr>
        <w:t xml:space="preserve"> Author E-mail address: </w:t>
      </w:r>
      <w:hyperlink r:id="rId7" w:history="1">
        <w:r w:rsidRPr="002C224F">
          <w:rPr>
            <w:rStyle w:val="Hyperlink"/>
            <w:iCs/>
            <w:color w:val="auto"/>
          </w:rPr>
          <w:t>apk.auto@psgtech.ac.in</w:t>
        </w:r>
      </w:hyperlink>
    </w:p>
    <w:p w14:paraId="28C6194E" w14:textId="26DEABD3" w:rsidR="00C356B8" w:rsidRPr="002C224F" w:rsidRDefault="009A254A" w:rsidP="00F151BC">
      <w:pPr>
        <w:spacing w:before="240" w:line="360" w:lineRule="auto"/>
        <w:jc w:val="both"/>
        <w:rPr>
          <w:rFonts w:ascii="Times New Roman" w:hAnsi="Times New Roman" w:cs="Times New Roman"/>
          <w:b/>
          <w:bCs/>
          <w:sz w:val="24"/>
          <w:szCs w:val="24"/>
        </w:rPr>
      </w:pPr>
      <w:r w:rsidRPr="002C224F">
        <w:rPr>
          <w:rFonts w:ascii="Times New Roman" w:hAnsi="Times New Roman" w:cs="Times New Roman"/>
          <w:b/>
          <w:bCs/>
          <w:sz w:val="24"/>
          <w:szCs w:val="24"/>
        </w:rPr>
        <w:t>Material Synthesis Procedure:</w:t>
      </w:r>
    </w:p>
    <w:p w14:paraId="28C6194F" w14:textId="77777777" w:rsidR="00C356B8" w:rsidRPr="002C224F" w:rsidRDefault="009A254A" w:rsidP="00F151BC">
      <w:pPr>
        <w:spacing w:before="240" w:line="360" w:lineRule="auto"/>
        <w:rPr>
          <w:rFonts w:ascii="Times New Roman" w:hAnsi="Times New Roman" w:cs="Times New Roman"/>
          <w:sz w:val="24"/>
          <w:szCs w:val="24"/>
        </w:rPr>
      </w:pPr>
      <w:r w:rsidRPr="002C224F">
        <w:rPr>
          <w:rFonts w:ascii="Times New Roman" w:hAnsi="Times New Roman" w:cs="Times New Roman"/>
          <w:noProof/>
          <w:sz w:val="24"/>
          <w:szCs w:val="24"/>
          <w:lang w:val="en-IN" w:eastAsia="en-IN"/>
        </w:rPr>
        <w:drawing>
          <wp:inline distT="0" distB="0" distL="0" distR="0" wp14:anchorId="28C6198B" wp14:editId="28C6198C">
            <wp:extent cx="5641340" cy="2139315"/>
            <wp:effectExtent l="0" t="0" r="12700" b="9525"/>
            <wp:docPr id="3" name="Picture 3" descr="E:\PHD. works 13.5.20\Thana\Thana paper\Syn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PHD. works 13.5.20\Thana\Thana paper\Synthes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641340" cy="2139315"/>
                    </a:xfrm>
                    <a:prstGeom prst="rect">
                      <a:avLst/>
                    </a:prstGeom>
                    <a:noFill/>
                    <a:ln>
                      <a:noFill/>
                    </a:ln>
                  </pic:spPr>
                </pic:pic>
              </a:graphicData>
            </a:graphic>
          </wp:inline>
        </w:drawing>
      </w:r>
    </w:p>
    <w:p w14:paraId="28C61950" w14:textId="5C11DE82" w:rsidR="00C356B8" w:rsidRPr="002C224F" w:rsidRDefault="007124E0" w:rsidP="00F151BC">
      <w:pPr>
        <w:spacing w:before="240" w:line="360" w:lineRule="auto"/>
        <w:ind w:firstLine="720"/>
        <w:jc w:val="center"/>
        <w:rPr>
          <w:rFonts w:ascii="Times New Roman" w:hAnsi="Times New Roman" w:cs="Times New Roman"/>
          <w:b/>
          <w:bCs/>
          <w:sz w:val="24"/>
          <w:szCs w:val="24"/>
        </w:rPr>
      </w:pPr>
      <w:r w:rsidRPr="002C224F">
        <w:rPr>
          <w:rFonts w:ascii="Times New Roman" w:hAnsi="Times New Roman" w:cs="Times New Roman"/>
          <w:b/>
          <w:bCs/>
          <w:sz w:val="24"/>
          <w:szCs w:val="24"/>
        </w:rPr>
        <w:t>FIG</w:t>
      </w:r>
      <w:r>
        <w:rPr>
          <w:rFonts w:ascii="Times New Roman" w:hAnsi="Times New Roman" w:cs="Times New Roman"/>
          <w:b/>
          <w:bCs/>
          <w:sz w:val="24"/>
          <w:szCs w:val="24"/>
        </w:rPr>
        <w:t>.</w:t>
      </w:r>
      <w:r w:rsidRPr="002C224F">
        <w:rPr>
          <w:rFonts w:ascii="Times New Roman" w:hAnsi="Times New Roman" w:cs="Times New Roman"/>
          <w:b/>
          <w:bCs/>
          <w:sz w:val="24"/>
          <w:szCs w:val="24"/>
        </w:rPr>
        <w:t xml:space="preserve"> </w:t>
      </w:r>
      <w:r w:rsidR="009A254A" w:rsidRPr="002C224F">
        <w:rPr>
          <w:rFonts w:ascii="Times New Roman" w:hAnsi="Times New Roman" w:cs="Times New Roman"/>
          <w:b/>
          <w:bCs/>
          <w:sz w:val="24"/>
          <w:szCs w:val="24"/>
        </w:rPr>
        <w:t>S1</w:t>
      </w:r>
      <w:r>
        <w:rPr>
          <w:rFonts w:ascii="Times New Roman" w:hAnsi="Times New Roman" w:cs="Times New Roman"/>
          <w:b/>
          <w:bCs/>
          <w:sz w:val="24"/>
          <w:szCs w:val="24"/>
        </w:rPr>
        <w:t>.</w:t>
      </w:r>
      <w:r w:rsidR="009A254A" w:rsidRPr="002C224F">
        <w:rPr>
          <w:rFonts w:ascii="Times New Roman" w:hAnsi="Times New Roman" w:cs="Times New Roman"/>
          <w:b/>
          <w:bCs/>
          <w:sz w:val="24"/>
          <w:szCs w:val="24"/>
        </w:rPr>
        <w:t xml:space="preserve"> </w:t>
      </w:r>
      <w:r w:rsidR="009A254A" w:rsidRPr="00EA7D3A">
        <w:rPr>
          <w:rFonts w:ascii="Times New Roman" w:hAnsi="Times New Roman" w:cs="Times New Roman"/>
          <w:sz w:val="24"/>
          <w:szCs w:val="24"/>
        </w:rPr>
        <w:t>Schematic depiction for the preparation of Pt-NiTiO</w:t>
      </w:r>
      <w:r w:rsidR="009A254A" w:rsidRPr="00EA7D3A">
        <w:rPr>
          <w:rFonts w:ascii="Times New Roman" w:hAnsi="Times New Roman" w:cs="Times New Roman"/>
          <w:sz w:val="24"/>
          <w:szCs w:val="24"/>
          <w:vertAlign w:val="subscript"/>
        </w:rPr>
        <w:t>3</w:t>
      </w:r>
      <w:r w:rsidR="009A254A" w:rsidRPr="00EA7D3A">
        <w:rPr>
          <w:rFonts w:ascii="Times New Roman" w:hAnsi="Times New Roman" w:cs="Times New Roman"/>
          <w:sz w:val="24"/>
          <w:szCs w:val="24"/>
        </w:rPr>
        <w:t>/C</w:t>
      </w:r>
      <w:r w:rsidR="009A254A" w:rsidRPr="002C224F">
        <w:rPr>
          <w:rFonts w:ascii="Times New Roman" w:hAnsi="Times New Roman" w:cs="Times New Roman"/>
          <w:b/>
          <w:bCs/>
          <w:sz w:val="24"/>
          <w:szCs w:val="24"/>
        </w:rPr>
        <w:t xml:space="preserve"> </w:t>
      </w:r>
    </w:p>
    <w:p w14:paraId="417DD6A7" w14:textId="77777777" w:rsidR="005959F5" w:rsidRPr="002C224F" w:rsidRDefault="005959F5" w:rsidP="00F151BC">
      <w:pPr>
        <w:spacing w:line="360" w:lineRule="auto"/>
        <w:rPr>
          <w:rFonts w:ascii="Times New Roman" w:hAnsi="Times New Roman" w:cs="Times New Roman"/>
          <w:b/>
          <w:bCs/>
          <w:sz w:val="24"/>
          <w:szCs w:val="24"/>
        </w:rPr>
      </w:pPr>
      <w:r w:rsidRPr="002C224F">
        <w:rPr>
          <w:rFonts w:ascii="Times New Roman" w:hAnsi="Times New Roman" w:cs="Times New Roman"/>
          <w:b/>
          <w:bCs/>
          <w:sz w:val="24"/>
          <w:szCs w:val="24"/>
        </w:rPr>
        <w:br w:type="page"/>
      </w:r>
    </w:p>
    <w:p w14:paraId="28C61958" w14:textId="3EAF93C1" w:rsidR="00C356B8" w:rsidRPr="002C224F" w:rsidRDefault="009A254A" w:rsidP="00F151BC">
      <w:pPr>
        <w:spacing w:before="240" w:line="360" w:lineRule="auto"/>
        <w:jc w:val="both"/>
        <w:rPr>
          <w:rFonts w:ascii="Times New Roman" w:hAnsi="Times New Roman" w:cs="Times New Roman"/>
          <w:b/>
          <w:bCs/>
          <w:sz w:val="24"/>
          <w:szCs w:val="24"/>
        </w:rPr>
      </w:pPr>
      <w:r w:rsidRPr="002C224F">
        <w:rPr>
          <w:rFonts w:ascii="Times New Roman" w:hAnsi="Times New Roman" w:cs="Times New Roman"/>
          <w:b/>
          <w:bCs/>
          <w:sz w:val="24"/>
          <w:szCs w:val="24"/>
        </w:rPr>
        <w:lastRenderedPageBreak/>
        <w:t xml:space="preserve">E-Dax </w:t>
      </w:r>
      <w:r w:rsidR="00EA7D3A" w:rsidRPr="002C224F">
        <w:rPr>
          <w:rFonts w:ascii="Times New Roman" w:hAnsi="Times New Roman" w:cs="Times New Roman"/>
          <w:b/>
          <w:bCs/>
          <w:sz w:val="24"/>
          <w:szCs w:val="24"/>
        </w:rPr>
        <w:t xml:space="preserve">Pattern </w:t>
      </w:r>
      <w:r w:rsidRPr="002C224F">
        <w:rPr>
          <w:rFonts w:ascii="Times New Roman" w:hAnsi="Times New Roman" w:cs="Times New Roman"/>
          <w:b/>
          <w:bCs/>
          <w:sz w:val="24"/>
          <w:szCs w:val="24"/>
        </w:rPr>
        <w:t xml:space="preserve">for </w:t>
      </w:r>
      <w:r w:rsidR="00EA7D3A" w:rsidRPr="002C224F">
        <w:rPr>
          <w:rFonts w:ascii="Times New Roman" w:hAnsi="Times New Roman" w:cs="Times New Roman"/>
          <w:b/>
          <w:bCs/>
          <w:sz w:val="24"/>
          <w:szCs w:val="24"/>
        </w:rPr>
        <w:t>Mass Composition</w:t>
      </w:r>
    </w:p>
    <w:p w14:paraId="28C61959" w14:textId="77777777" w:rsidR="00C356B8" w:rsidRPr="002C224F" w:rsidRDefault="009A254A" w:rsidP="00F151BC">
      <w:pPr>
        <w:spacing w:before="240" w:line="360" w:lineRule="auto"/>
        <w:jc w:val="both"/>
        <w:rPr>
          <w:rFonts w:ascii="Times New Roman" w:hAnsi="Times New Roman" w:cs="Times New Roman"/>
          <w:b/>
          <w:bCs/>
          <w:sz w:val="24"/>
          <w:szCs w:val="24"/>
        </w:rPr>
      </w:pPr>
      <w:r w:rsidRPr="002C224F">
        <w:rPr>
          <w:rFonts w:ascii="Times New Roman" w:hAnsi="Times New Roman" w:cs="Times New Roman"/>
          <w:b/>
          <w:bCs/>
          <w:noProof/>
          <w:sz w:val="24"/>
          <w:szCs w:val="24"/>
          <w:lang w:val="en-IN" w:eastAsia="en-IN"/>
        </w:rPr>
        <w:drawing>
          <wp:inline distT="0" distB="0" distL="0" distR="0" wp14:anchorId="28C6198D" wp14:editId="28C6198E">
            <wp:extent cx="5425440" cy="305244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29590" cy="3055304"/>
                    </a:xfrm>
                    <a:prstGeom prst="rect">
                      <a:avLst/>
                    </a:prstGeom>
                    <a:noFill/>
                    <a:ln>
                      <a:noFill/>
                    </a:ln>
                  </pic:spPr>
                </pic:pic>
              </a:graphicData>
            </a:graphic>
          </wp:inline>
        </w:drawing>
      </w:r>
    </w:p>
    <w:p w14:paraId="28C6195A" w14:textId="79C62075" w:rsidR="00C356B8" w:rsidRPr="002C224F" w:rsidRDefault="00765BA2" w:rsidP="00F151BC">
      <w:pPr>
        <w:spacing w:before="240" w:line="360" w:lineRule="auto"/>
        <w:jc w:val="center"/>
        <w:rPr>
          <w:rFonts w:ascii="Times New Roman" w:hAnsi="Times New Roman" w:cs="Times New Roman"/>
          <w:b/>
          <w:sz w:val="24"/>
          <w:szCs w:val="24"/>
        </w:rPr>
      </w:pPr>
      <w:r w:rsidRPr="002C224F">
        <w:rPr>
          <w:rFonts w:ascii="Times New Roman" w:hAnsi="Times New Roman" w:cs="Times New Roman"/>
          <w:b/>
          <w:sz w:val="24"/>
          <w:szCs w:val="24"/>
        </w:rPr>
        <w:t>FIG</w:t>
      </w:r>
      <w:r w:rsidR="002C224F">
        <w:rPr>
          <w:rFonts w:ascii="Times New Roman" w:hAnsi="Times New Roman" w:cs="Times New Roman"/>
          <w:b/>
          <w:sz w:val="24"/>
          <w:szCs w:val="24"/>
        </w:rPr>
        <w:t>.</w:t>
      </w:r>
      <w:r w:rsidR="009A254A" w:rsidRPr="002C224F">
        <w:rPr>
          <w:rFonts w:ascii="Times New Roman" w:hAnsi="Times New Roman" w:cs="Times New Roman"/>
          <w:b/>
          <w:sz w:val="24"/>
          <w:szCs w:val="24"/>
        </w:rPr>
        <w:t xml:space="preserve"> S2</w:t>
      </w:r>
      <w:r w:rsidR="002C224F">
        <w:rPr>
          <w:rFonts w:ascii="Times New Roman" w:hAnsi="Times New Roman" w:cs="Times New Roman"/>
          <w:b/>
          <w:sz w:val="24"/>
          <w:szCs w:val="24"/>
        </w:rPr>
        <w:t>.</w:t>
      </w:r>
      <w:r w:rsidR="009A254A" w:rsidRPr="002C224F">
        <w:rPr>
          <w:rFonts w:ascii="Times New Roman" w:hAnsi="Times New Roman" w:cs="Times New Roman"/>
          <w:b/>
          <w:sz w:val="24"/>
          <w:szCs w:val="24"/>
        </w:rPr>
        <w:t xml:space="preserve"> </w:t>
      </w:r>
      <w:r w:rsidR="009A254A" w:rsidRPr="00EA7D3A">
        <w:rPr>
          <w:rFonts w:ascii="Times New Roman" w:hAnsi="Times New Roman" w:cs="Times New Roman"/>
          <w:bCs/>
          <w:sz w:val="24"/>
          <w:szCs w:val="24"/>
        </w:rPr>
        <w:t>EDX analysis of PtNiTiO</w:t>
      </w:r>
      <w:r w:rsidR="009A254A" w:rsidRPr="00EA7D3A">
        <w:rPr>
          <w:rFonts w:ascii="Times New Roman" w:hAnsi="Times New Roman" w:cs="Times New Roman"/>
          <w:bCs/>
          <w:sz w:val="24"/>
          <w:szCs w:val="24"/>
          <w:vertAlign w:val="subscript"/>
        </w:rPr>
        <w:t>3</w:t>
      </w:r>
      <w:r w:rsidR="009A254A" w:rsidRPr="00EA7D3A">
        <w:rPr>
          <w:rFonts w:ascii="Times New Roman" w:hAnsi="Times New Roman" w:cs="Times New Roman"/>
          <w:bCs/>
          <w:sz w:val="24"/>
          <w:szCs w:val="24"/>
        </w:rPr>
        <w:t>/C electrocatalyst</w:t>
      </w:r>
    </w:p>
    <w:p w14:paraId="5A799A86" w14:textId="58042C97" w:rsidR="00216F80" w:rsidRPr="00EA7D3A" w:rsidRDefault="00765BA2" w:rsidP="00F151BC">
      <w:pPr>
        <w:spacing w:before="240" w:line="360" w:lineRule="auto"/>
        <w:jc w:val="center"/>
        <w:rPr>
          <w:rFonts w:ascii="Times New Roman" w:hAnsi="Times New Roman" w:cs="Times New Roman"/>
          <w:sz w:val="24"/>
          <w:szCs w:val="24"/>
        </w:rPr>
      </w:pPr>
      <w:r w:rsidRPr="002C224F">
        <w:rPr>
          <w:rFonts w:ascii="Times New Roman" w:hAnsi="Times New Roman" w:cs="Times New Roman"/>
          <w:b/>
          <w:bCs/>
          <w:sz w:val="24"/>
          <w:szCs w:val="24"/>
        </w:rPr>
        <w:t xml:space="preserve">TABLE </w:t>
      </w:r>
      <w:r w:rsidR="00216F80" w:rsidRPr="002C224F">
        <w:rPr>
          <w:rFonts w:ascii="Times New Roman" w:hAnsi="Times New Roman" w:cs="Times New Roman"/>
          <w:b/>
          <w:bCs/>
          <w:sz w:val="24"/>
          <w:szCs w:val="24"/>
        </w:rPr>
        <w:t>S</w:t>
      </w:r>
      <w:r w:rsidR="006F10F7">
        <w:rPr>
          <w:rFonts w:ascii="Times New Roman" w:hAnsi="Times New Roman" w:cs="Times New Roman"/>
          <w:b/>
          <w:bCs/>
          <w:sz w:val="24"/>
          <w:szCs w:val="24"/>
        </w:rPr>
        <w:t>1</w:t>
      </w:r>
      <w:r>
        <w:rPr>
          <w:rFonts w:ascii="Times New Roman" w:hAnsi="Times New Roman" w:cs="Times New Roman"/>
          <w:b/>
          <w:bCs/>
          <w:sz w:val="24"/>
          <w:szCs w:val="24"/>
        </w:rPr>
        <w:t>.</w:t>
      </w:r>
      <w:r w:rsidR="00216F80" w:rsidRPr="002C224F">
        <w:rPr>
          <w:rFonts w:ascii="Times New Roman" w:hAnsi="Times New Roman" w:cs="Times New Roman"/>
          <w:b/>
          <w:bCs/>
          <w:sz w:val="24"/>
          <w:szCs w:val="24"/>
        </w:rPr>
        <w:t xml:space="preserve"> </w:t>
      </w:r>
      <w:r w:rsidR="00216F80" w:rsidRPr="00EA7D3A">
        <w:rPr>
          <w:rFonts w:ascii="Times New Roman" w:hAnsi="Times New Roman" w:cs="Times New Roman"/>
          <w:sz w:val="24"/>
          <w:szCs w:val="24"/>
        </w:rPr>
        <w:t>Material composition of PtNiTiO</w:t>
      </w:r>
      <w:r w:rsidR="00216F80" w:rsidRPr="00EA7D3A">
        <w:rPr>
          <w:rFonts w:ascii="Times New Roman" w:hAnsi="Times New Roman" w:cs="Times New Roman"/>
          <w:sz w:val="24"/>
          <w:szCs w:val="24"/>
          <w:vertAlign w:val="subscript"/>
        </w:rPr>
        <w:t>3</w:t>
      </w:r>
      <w:r w:rsidR="00216F80" w:rsidRPr="00EA7D3A">
        <w:rPr>
          <w:rFonts w:ascii="Times New Roman" w:hAnsi="Times New Roman" w:cs="Times New Roman"/>
          <w:sz w:val="24"/>
          <w:szCs w:val="24"/>
        </w:rPr>
        <w:t>/C electrocatalyst from EDX analysis</w:t>
      </w:r>
    </w:p>
    <w:tbl>
      <w:tblPr>
        <w:tblW w:w="8694" w:type="dxa"/>
        <w:jc w:val="center"/>
        <w:tblCellMar>
          <w:left w:w="0" w:type="dxa"/>
          <w:right w:w="0" w:type="dxa"/>
        </w:tblCellMar>
        <w:tblLook w:val="04A0" w:firstRow="1" w:lastRow="0" w:firstColumn="1" w:lastColumn="0" w:noHBand="0" w:noVBand="1"/>
      </w:tblPr>
      <w:tblGrid>
        <w:gridCol w:w="2702"/>
        <w:gridCol w:w="1171"/>
        <w:gridCol w:w="1171"/>
        <w:gridCol w:w="1346"/>
        <w:gridCol w:w="1026"/>
        <w:gridCol w:w="1278"/>
      </w:tblGrid>
      <w:tr w:rsidR="00C356B8" w:rsidRPr="002C224F" w14:paraId="28C6195D" w14:textId="77777777" w:rsidTr="002C224F">
        <w:trPr>
          <w:trHeight w:val="382"/>
          <w:jc w:val="center"/>
        </w:trPr>
        <w:tc>
          <w:tcPr>
            <w:tcW w:w="27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5B"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b/>
                <w:bCs/>
                <w:sz w:val="24"/>
                <w:szCs w:val="24"/>
              </w:rPr>
              <w:t>Wt. % of Material Composition</w:t>
            </w:r>
          </w:p>
        </w:tc>
        <w:tc>
          <w:tcPr>
            <w:tcW w:w="5992"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5C" w14:textId="77777777" w:rsidR="00C356B8" w:rsidRPr="002C224F" w:rsidRDefault="009A254A" w:rsidP="00F151BC">
            <w:pPr>
              <w:spacing w:before="240" w:line="360" w:lineRule="auto"/>
              <w:jc w:val="center"/>
              <w:rPr>
                <w:rFonts w:ascii="Times New Roman" w:hAnsi="Times New Roman" w:cs="Times New Roman"/>
                <w:sz w:val="24"/>
                <w:szCs w:val="24"/>
              </w:rPr>
            </w:pPr>
            <w:r w:rsidRPr="002C224F">
              <w:rPr>
                <w:rFonts w:ascii="Times New Roman" w:hAnsi="Times New Roman" w:cs="Times New Roman"/>
                <w:b/>
                <w:bCs/>
                <w:sz w:val="24"/>
                <w:szCs w:val="24"/>
              </w:rPr>
              <w:t>Weight percentage of Elements</w:t>
            </w:r>
          </w:p>
        </w:tc>
      </w:tr>
      <w:tr w:rsidR="00C356B8" w:rsidRPr="002C224F" w14:paraId="28C61964" w14:textId="77777777" w:rsidTr="002C224F">
        <w:trPr>
          <w:trHeight w:val="382"/>
          <w:jc w:val="center"/>
        </w:trPr>
        <w:tc>
          <w:tcPr>
            <w:tcW w:w="2702" w:type="dxa"/>
            <w:vMerge/>
            <w:tcBorders>
              <w:top w:val="single" w:sz="8" w:space="0" w:color="000000"/>
              <w:left w:val="single" w:sz="8" w:space="0" w:color="000000"/>
              <w:bottom w:val="single" w:sz="8" w:space="0" w:color="000000"/>
              <w:right w:val="single" w:sz="8" w:space="0" w:color="000000"/>
            </w:tcBorders>
            <w:vAlign w:val="center"/>
          </w:tcPr>
          <w:p w14:paraId="28C6195E" w14:textId="77777777" w:rsidR="00C356B8" w:rsidRPr="002C224F" w:rsidRDefault="00C356B8" w:rsidP="00F151BC">
            <w:pPr>
              <w:spacing w:before="240" w:line="360" w:lineRule="auto"/>
              <w:jc w:val="both"/>
              <w:rPr>
                <w:rFonts w:ascii="Times New Roman" w:hAnsi="Times New Roman" w:cs="Times New Roman"/>
                <w:sz w:val="24"/>
                <w:szCs w:val="24"/>
              </w:rPr>
            </w:pP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5F"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b/>
                <w:bCs/>
                <w:sz w:val="24"/>
                <w:szCs w:val="24"/>
              </w:rPr>
              <w:t>Carbon</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0"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b/>
                <w:bCs/>
                <w:sz w:val="24"/>
                <w:szCs w:val="24"/>
              </w:rPr>
              <w:t>Oxygen</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1"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b/>
                <w:bCs/>
                <w:sz w:val="24"/>
                <w:szCs w:val="24"/>
              </w:rPr>
              <w:t>Platinum</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2"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b/>
                <w:bCs/>
                <w:sz w:val="24"/>
                <w:szCs w:val="24"/>
              </w:rPr>
              <w:t>Nickel</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3"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b/>
                <w:bCs/>
                <w:sz w:val="24"/>
                <w:szCs w:val="24"/>
              </w:rPr>
              <w:t>Titanate</w:t>
            </w:r>
          </w:p>
        </w:tc>
      </w:tr>
      <w:tr w:rsidR="00C356B8" w:rsidRPr="002C224F" w14:paraId="28C6196B" w14:textId="77777777" w:rsidTr="002C224F">
        <w:trPr>
          <w:trHeight w:val="382"/>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5"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20 % Pt on Pt-NiTiO</w:t>
            </w:r>
            <w:r w:rsidRPr="002C224F">
              <w:rPr>
                <w:rFonts w:ascii="Times New Roman" w:hAnsi="Times New Roman" w:cs="Times New Roman"/>
                <w:sz w:val="24"/>
                <w:szCs w:val="24"/>
                <w:vertAlign w:val="subscript"/>
              </w:rPr>
              <w:t>3</w:t>
            </w:r>
            <w:r w:rsidRPr="002C224F">
              <w:rPr>
                <w:rFonts w:ascii="Times New Roman" w:hAnsi="Times New Roman" w:cs="Times New Roman"/>
                <w:sz w:val="24"/>
                <w:szCs w:val="24"/>
              </w:rPr>
              <w:t>/C</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6"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64.08</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7"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11.09</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8"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16.5</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9"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3.11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A"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5.23</w:t>
            </w:r>
          </w:p>
        </w:tc>
      </w:tr>
      <w:tr w:rsidR="00C356B8" w:rsidRPr="002C224F" w14:paraId="28C61972" w14:textId="77777777" w:rsidTr="002C224F">
        <w:trPr>
          <w:trHeight w:val="382"/>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C"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40 % Pt on Pt-NiTiO</w:t>
            </w:r>
            <w:r w:rsidRPr="002C224F">
              <w:rPr>
                <w:rFonts w:ascii="Times New Roman" w:hAnsi="Times New Roman" w:cs="Times New Roman"/>
                <w:sz w:val="24"/>
                <w:szCs w:val="24"/>
                <w:vertAlign w:val="subscript"/>
              </w:rPr>
              <w:t>3</w:t>
            </w:r>
            <w:r w:rsidRPr="002C224F">
              <w:rPr>
                <w:rFonts w:ascii="Times New Roman" w:hAnsi="Times New Roman" w:cs="Times New Roman"/>
                <w:sz w:val="24"/>
                <w:szCs w:val="24"/>
              </w:rPr>
              <w:t>/C</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D"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42.56</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E"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12.5</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6F"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36.89</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70"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2.89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71"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5.17</w:t>
            </w:r>
          </w:p>
        </w:tc>
      </w:tr>
      <w:tr w:rsidR="00C356B8" w:rsidRPr="002C224F" w14:paraId="28C61979" w14:textId="77777777" w:rsidTr="002C224F">
        <w:trPr>
          <w:trHeight w:val="382"/>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73"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60 % Pt on Pt-NiTiO</w:t>
            </w:r>
            <w:r w:rsidRPr="002C224F">
              <w:rPr>
                <w:rFonts w:ascii="Times New Roman" w:hAnsi="Times New Roman" w:cs="Times New Roman"/>
                <w:sz w:val="24"/>
                <w:szCs w:val="24"/>
                <w:vertAlign w:val="subscript"/>
              </w:rPr>
              <w:t>3</w:t>
            </w:r>
            <w:r w:rsidRPr="002C224F">
              <w:rPr>
                <w:rFonts w:ascii="Times New Roman" w:hAnsi="Times New Roman" w:cs="Times New Roman"/>
                <w:sz w:val="24"/>
                <w:szCs w:val="24"/>
              </w:rPr>
              <w:t>/C</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74"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27.3</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75"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11.93</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76"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52.4</w:t>
            </w:r>
          </w:p>
        </w:tc>
        <w:tc>
          <w:tcPr>
            <w:tcW w:w="10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77"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3.33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8C61978" w14:textId="77777777"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5.05</w:t>
            </w:r>
          </w:p>
        </w:tc>
      </w:tr>
    </w:tbl>
    <w:p w14:paraId="28C6197C" w14:textId="5B8D50CE" w:rsidR="00C356B8" w:rsidRDefault="009A254A" w:rsidP="00F151BC">
      <w:pPr>
        <w:spacing w:before="240" w:after="240" w:line="360" w:lineRule="auto"/>
        <w:ind w:firstLine="720"/>
        <w:jc w:val="both"/>
        <w:rPr>
          <w:rFonts w:ascii="Times New Roman" w:hAnsi="Times New Roman" w:cs="Times New Roman"/>
          <w:sz w:val="24"/>
          <w:szCs w:val="24"/>
        </w:rPr>
      </w:pPr>
      <w:r w:rsidRPr="002C224F">
        <w:rPr>
          <w:rFonts w:ascii="Times New Roman" w:hAnsi="Times New Roman" w:cs="Times New Roman"/>
          <w:sz w:val="24"/>
          <w:szCs w:val="24"/>
        </w:rPr>
        <w:t>The materials that are accessible for the catalyst powder are depicted in Fig</w:t>
      </w:r>
      <w:r w:rsidR="00DD2A9C">
        <w:rPr>
          <w:rFonts w:ascii="Times New Roman" w:hAnsi="Times New Roman" w:cs="Times New Roman"/>
          <w:sz w:val="24"/>
          <w:szCs w:val="24"/>
        </w:rPr>
        <w:t>.</w:t>
      </w:r>
      <w:r w:rsidRPr="002C224F">
        <w:rPr>
          <w:rFonts w:ascii="Times New Roman" w:hAnsi="Times New Roman" w:cs="Times New Roman"/>
          <w:sz w:val="24"/>
          <w:szCs w:val="24"/>
        </w:rPr>
        <w:t xml:space="preserve"> </w:t>
      </w:r>
      <w:r w:rsidR="00267892" w:rsidRPr="002C224F">
        <w:rPr>
          <w:rFonts w:ascii="Times New Roman" w:hAnsi="Times New Roman" w:cs="Times New Roman"/>
          <w:sz w:val="24"/>
          <w:szCs w:val="24"/>
        </w:rPr>
        <w:t>S</w:t>
      </w:r>
      <w:r w:rsidR="00DD2A9C">
        <w:rPr>
          <w:rFonts w:ascii="Times New Roman" w:hAnsi="Times New Roman" w:cs="Times New Roman"/>
          <w:sz w:val="24"/>
          <w:szCs w:val="24"/>
        </w:rPr>
        <w:t>2</w:t>
      </w:r>
      <w:r w:rsidRPr="002C224F">
        <w:rPr>
          <w:rFonts w:ascii="Times New Roman" w:hAnsi="Times New Roman" w:cs="Times New Roman"/>
          <w:sz w:val="24"/>
          <w:szCs w:val="24"/>
        </w:rPr>
        <w:t xml:space="preserve">. The availability of platinum, nickel, titanite, oxides, and carbon were clearly demonstrated by the peaks on the graph, which can be seen in the picture. According to Table </w:t>
      </w:r>
      <w:r w:rsidR="00494838">
        <w:rPr>
          <w:rFonts w:ascii="Times New Roman" w:hAnsi="Times New Roman" w:cs="Times New Roman"/>
          <w:sz w:val="24"/>
          <w:szCs w:val="24"/>
        </w:rPr>
        <w:t>S</w:t>
      </w:r>
      <w:r w:rsidRPr="002C224F">
        <w:rPr>
          <w:rFonts w:ascii="Times New Roman" w:hAnsi="Times New Roman" w:cs="Times New Roman"/>
          <w:sz w:val="24"/>
          <w:szCs w:val="24"/>
        </w:rPr>
        <w:t>1, the mass of each material present in the catalyst powder was calculated. The first composition contained 20 % platinum, 20 % NITiO</w:t>
      </w:r>
      <w:r w:rsidRPr="002C224F">
        <w:rPr>
          <w:rFonts w:ascii="Times New Roman" w:hAnsi="Times New Roman" w:cs="Times New Roman"/>
          <w:sz w:val="24"/>
          <w:szCs w:val="24"/>
          <w:vertAlign w:val="subscript"/>
        </w:rPr>
        <w:t>3</w:t>
      </w:r>
      <w:r w:rsidRPr="002C224F">
        <w:rPr>
          <w:rFonts w:ascii="Times New Roman" w:hAnsi="Times New Roman" w:cs="Times New Roman"/>
          <w:sz w:val="24"/>
          <w:szCs w:val="24"/>
        </w:rPr>
        <w:t>, and 60 % carbon. The second composition contained 40 % platinum, 20 % NITiO</w:t>
      </w:r>
      <w:r w:rsidRPr="002C224F">
        <w:rPr>
          <w:rFonts w:ascii="Times New Roman" w:hAnsi="Times New Roman" w:cs="Times New Roman"/>
          <w:sz w:val="24"/>
          <w:szCs w:val="24"/>
          <w:vertAlign w:val="subscript"/>
        </w:rPr>
        <w:t>3</w:t>
      </w:r>
      <w:r w:rsidRPr="002C224F">
        <w:rPr>
          <w:rFonts w:ascii="Times New Roman" w:hAnsi="Times New Roman" w:cs="Times New Roman"/>
          <w:sz w:val="24"/>
          <w:szCs w:val="24"/>
        </w:rPr>
        <w:t xml:space="preserve">, and 40 % carbon. In accordance with the proportion of available platinum mass </w:t>
      </w:r>
      <w:r w:rsidRPr="002C224F">
        <w:rPr>
          <w:rFonts w:ascii="Times New Roman" w:hAnsi="Times New Roman" w:cs="Times New Roman"/>
          <w:sz w:val="24"/>
          <w:szCs w:val="24"/>
        </w:rPr>
        <w:lastRenderedPageBreak/>
        <w:t>composition availability, this composition was calculated to contain 20 % platinum, while the other compositions were calculated to include 40 and 60 % platinum, respectively.</w:t>
      </w:r>
    </w:p>
    <w:p w14:paraId="12F34EA8" w14:textId="5DB56EC8" w:rsidR="00E05021" w:rsidRPr="00E05021" w:rsidRDefault="00E05021" w:rsidP="00F151BC">
      <w:pPr>
        <w:spacing w:before="240" w:after="240" w:line="360" w:lineRule="auto"/>
        <w:jc w:val="both"/>
        <w:rPr>
          <w:rFonts w:ascii="Times New Roman" w:hAnsi="Times New Roman" w:cs="Times New Roman"/>
          <w:b/>
          <w:bCs/>
          <w:sz w:val="24"/>
          <w:szCs w:val="24"/>
        </w:rPr>
      </w:pPr>
      <w:r w:rsidRPr="00E05021">
        <w:rPr>
          <w:rFonts w:ascii="Times New Roman" w:hAnsi="Times New Roman" w:cs="Times New Roman"/>
          <w:b/>
          <w:bCs/>
          <w:sz w:val="24"/>
          <w:szCs w:val="24"/>
        </w:rPr>
        <w:t>X-ray Diffraction Pattern</w:t>
      </w:r>
    </w:p>
    <w:p w14:paraId="4FBB3191" w14:textId="5B696CAE" w:rsidR="000D65FB" w:rsidRDefault="00E05021" w:rsidP="00F151BC">
      <w:pPr>
        <w:spacing w:before="240" w:line="360" w:lineRule="auto"/>
        <w:jc w:val="center"/>
      </w:pPr>
      <w:r>
        <w:rPr>
          <w:noProof/>
        </w:rPr>
        <w:drawing>
          <wp:inline distT="0" distB="0" distL="0" distR="0" wp14:anchorId="1DBA9ABE" wp14:editId="7476B4D8">
            <wp:extent cx="2971800" cy="229712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87114" cy="2308959"/>
                    </a:xfrm>
                    <a:prstGeom prst="rect">
                      <a:avLst/>
                    </a:prstGeom>
                    <a:noFill/>
                    <a:ln>
                      <a:noFill/>
                    </a:ln>
                  </pic:spPr>
                </pic:pic>
              </a:graphicData>
            </a:graphic>
          </wp:inline>
        </w:drawing>
      </w:r>
    </w:p>
    <w:p w14:paraId="792EB0CA" w14:textId="63CE7B4D" w:rsidR="00E05021" w:rsidRDefault="00E05021" w:rsidP="00F151BC">
      <w:pPr>
        <w:spacing w:after="240" w:line="360" w:lineRule="auto"/>
        <w:jc w:val="center"/>
      </w:pPr>
      <w:r w:rsidRPr="002C224F">
        <w:rPr>
          <w:rFonts w:ascii="Times New Roman" w:hAnsi="Times New Roman" w:cs="Times New Roman"/>
          <w:b/>
          <w:sz w:val="24"/>
          <w:szCs w:val="24"/>
        </w:rPr>
        <w:t>FIG</w:t>
      </w:r>
      <w:r>
        <w:rPr>
          <w:rFonts w:ascii="Times New Roman" w:hAnsi="Times New Roman" w:cs="Times New Roman"/>
          <w:b/>
          <w:sz w:val="24"/>
          <w:szCs w:val="24"/>
        </w:rPr>
        <w:t>.</w:t>
      </w:r>
      <w:r w:rsidRPr="002C224F">
        <w:rPr>
          <w:rFonts w:ascii="Times New Roman" w:hAnsi="Times New Roman" w:cs="Times New Roman"/>
          <w:b/>
          <w:sz w:val="24"/>
          <w:szCs w:val="24"/>
        </w:rPr>
        <w:t xml:space="preserve"> S</w:t>
      </w:r>
      <w:r>
        <w:rPr>
          <w:rFonts w:ascii="Times New Roman" w:hAnsi="Times New Roman" w:cs="Times New Roman"/>
          <w:b/>
          <w:sz w:val="24"/>
          <w:szCs w:val="24"/>
        </w:rPr>
        <w:t>3.</w:t>
      </w:r>
      <w:r w:rsidRPr="002C224F">
        <w:rPr>
          <w:rFonts w:ascii="Times New Roman" w:hAnsi="Times New Roman" w:cs="Times New Roman"/>
          <w:b/>
          <w:sz w:val="24"/>
          <w:szCs w:val="24"/>
        </w:rPr>
        <w:t xml:space="preserve"> </w:t>
      </w:r>
      <w:r w:rsidRPr="00BF1073">
        <w:rPr>
          <w:rFonts w:ascii="Times New Roman" w:hAnsi="Times New Roman"/>
          <w:sz w:val="24"/>
          <w:szCs w:val="24"/>
        </w:rPr>
        <w:t>XRD patterns of NiTiO</w:t>
      </w:r>
      <w:r w:rsidRPr="00BC564E">
        <w:rPr>
          <w:rFonts w:ascii="Times New Roman" w:hAnsi="Times New Roman"/>
          <w:sz w:val="24"/>
          <w:szCs w:val="24"/>
          <w:vertAlign w:val="subscript"/>
        </w:rPr>
        <w:t>3</w:t>
      </w:r>
    </w:p>
    <w:p w14:paraId="0E636720" w14:textId="4B22C75B" w:rsidR="00E05021" w:rsidRDefault="000D65FB" w:rsidP="00F151BC">
      <w:pPr>
        <w:spacing w:before="240" w:line="360" w:lineRule="auto"/>
        <w:jc w:val="center"/>
      </w:pPr>
      <w:r>
        <w:rPr>
          <w:noProof/>
        </w:rPr>
        <w:drawing>
          <wp:inline distT="0" distB="0" distL="0" distR="0" wp14:anchorId="1C9355D2" wp14:editId="7CE7EFE9">
            <wp:extent cx="2489200" cy="324200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8527"/>
                    <a:stretch/>
                  </pic:blipFill>
                  <pic:spPr bwMode="auto">
                    <a:xfrm>
                      <a:off x="0" y="0"/>
                      <a:ext cx="2497109" cy="3252305"/>
                    </a:xfrm>
                    <a:prstGeom prst="rect">
                      <a:avLst/>
                    </a:prstGeom>
                    <a:noFill/>
                    <a:ln>
                      <a:noFill/>
                    </a:ln>
                    <a:extLst>
                      <a:ext uri="{53640926-AAD7-44D8-BBD7-CCE9431645EC}">
                        <a14:shadowObscured xmlns:a14="http://schemas.microsoft.com/office/drawing/2010/main"/>
                      </a:ext>
                    </a:extLst>
                  </pic:spPr>
                </pic:pic>
              </a:graphicData>
            </a:graphic>
          </wp:inline>
        </w:drawing>
      </w:r>
    </w:p>
    <w:p w14:paraId="514C2F1E" w14:textId="767B235A" w:rsidR="000D65FB" w:rsidRDefault="000D65FB" w:rsidP="00F151BC">
      <w:pPr>
        <w:spacing w:line="360" w:lineRule="auto"/>
        <w:jc w:val="center"/>
      </w:pPr>
      <w:r w:rsidRPr="002C224F">
        <w:rPr>
          <w:rFonts w:ascii="Times New Roman" w:hAnsi="Times New Roman" w:cs="Times New Roman"/>
          <w:b/>
          <w:sz w:val="24"/>
          <w:szCs w:val="24"/>
        </w:rPr>
        <w:t>FIG</w:t>
      </w:r>
      <w:r>
        <w:rPr>
          <w:rFonts w:ascii="Times New Roman" w:hAnsi="Times New Roman" w:cs="Times New Roman"/>
          <w:b/>
          <w:sz w:val="24"/>
          <w:szCs w:val="24"/>
        </w:rPr>
        <w:t>.</w:t>
      </w:r>
      <w:r w:rsidRPr="002C224F">
        <w:rPr>
          <w:rFonts w:ascii="Times New Roman" w:hAnsi="Times New Roman" w:cs="Times New Roman"/>
          <w:b/>
          <w:sz w:val="24"/>
          <w:szCs w:val="24"/>
        </w:rPr>
        <w:t xml:space="preserve"> S</w:t>
      </w:r>
      <w:r>
        <w:rPr>
          <w:rFonts w:ascii="Times New Roman" w:hAnsi="Times New Roman" w:cs="Times New Roman"/>
          <w:b/>
          <w:sz w:val="24"/>
          <w:szCs w:val="24"/>
        </w:rPr>
        <w:t>4.</w:t>
      </w:r>
      <w:r w:rsidRPr="002C224F">
        <w:rPr>
          <w:rFonts w:ascii="Times New Roman" w:hAnsi="Times New Roman" w:cs="Times New Roman"/>
          <w:b/>
          <w:sz w:val="24"/>
          <w:szCs w:val="24"/>
        </w:rPr>
        <w:t xml:space="preserve"> </w:t>
      </w:r>
      <w:r w:rsidRPr="00BF1073">
        <w:rPr>
          <w:rFonts w:ascii="Times New Roman" w:hAnsi="Times New Roman"/>
          <w:sz w:val="24"/>
          <w:szCs w:val="24"/>
        </w:rPr>
        <w:t>XRD patterns of Pt/C and PtNiTiO</w:t>
      </w:r>
      <w:r w:rsidRPr="00BC564E">
        <w:rPr>
          <w:rFonts w:ascii="Times New Roman" w:hAnsi="Times New Roman"/>
          <w:sz w:val="24"/>
          <w:szCs w:val="24"/>
          <w:vertAlign w:val="subscript"/>
        </w:rPr>
        <w:t>3</w:t>
      </w:r>
      <w:r w:rsidRPr="00BF1073">
        <w:rPr>
          <w:rFonts w:ascii="Times New Roman" w:hAnsi="Times New Roman"/>
          <w:sz w:val="24"/>
          <w:szCs w:val="24"/>
        </w:rPr>
        <w:t xml:space="preserve">/C </w:t>
      </w:r>
      <w:r w:rsidRPr="00EA7D3A">
        <w:rPr>
          <w:rFonts w:ascii="Times New Roman" w:hAnsi="Times New Roman" w:cs="Times New Roman"/>
          <w:bCs/>
          <w:sz w:val="24"/>
          <w:szCs w:val="24"/>
        </w:rPr>
        <w:t>electrocatalyst</w:t>
      </w:r>
    </w:p>
    <w:p w14:paraId="0CDAB305" w14:textId="77777777" w:rsidR="00E05021" w:rsidRDefault="00E05021" w:rsidP="00F151BC">
      <w:pPr>
        <w:spacing w:line="360" w:lineRule="auto"/>
        <w:jc w:val="both"/>
        <w:rPr>
          <w:rFonts w:ascii="Times New Roman" w:hAnsi="Times New Roman" w:cs="Times New Roman"/>
          <w:sz w:val="24"/>
          <w:szCs w:val="24"/>
        </w:rPr>
      </w:pPr>
    </w:p>
    <w:p w14:paraId="5EB88788" w14:textId="73A0F79B" w:rsidR="002073AF" w:rsidRPr="00E05021" w:rsidRDefault="002073AF" w:rsidP="00F151BC">
      <w:pPr>
        <w:spacing w:line="360" w:lineRule="auto"/>
        <w:jc w:val="both"/>
        <w:rPr>
          <w:rFonts w:ascii="Times New Roman" w:hAnsi="Times New Roman" w:cs="Times New Roman"/>
          <w:sz w:val="24"/>
          <w:szCs w:val="24"/>
        </w:rPr>
      </w:pPr>
      <w:r w:rsidRPr="00E05021">
        <w:rPr>
          <w:rFonts w:ascii="Times New Roman" w:hAnsi="Times New Roman" w:cs="Times New Roman"/>
          <w:sz w:val="24"/>
          <w:szCs w:val="24"/>
        </w:rPr>
        <w:t>The peaks of the X-ray diffraction pattern reported in Fig.</w:t>
      </w:r>
      <w:r w:rsidR="000D65FB">
        <w:rPr>
          <w:rFonts w:ascii="Times New Roman" w:hAnsi="Times New Roman" w:cs="Times New Roman"/>
          <w:sz w:val="24"/>
          <w:szCs w:val="24"/>
        </w:rPr>
        <w:t xml:space="preserve"> S3.</w:t>
      </w:r>
      <w:r w:rsidRPr="00E05021">
        <w:rPr>
          <w:rFonts w:ascii="Times New Roman" w:hAnsi="Times New Roman" w:cs="Times New Roman"/>
          <w:sz w:val="24"/>
          <w:szCs w:val="24"/>
        </w:rPr>
        <w:t xml:space="preserve"> confirms the presence of the rhombohedral phase of NiTiO</w:t>
      </w:r>
      <w:r w:rsidRPr="000D65FB">
        <w:rPr>
          <w:rFonts w:ascii="Times New Roman" w:hAnsi="Times New Roman" w:cs="Times New Roman"/>
          <w:sz w:val="24"/>
          <w:szCs w:val="24"/>
          <w:vertAlign w:val="subscript"/>
        </w:rPr>
        <w:t>3</w:t>
      </w:r>
      <w:r w:rsidRPr="00E05021">
        <w:rPr>
          <w:rFonts w:ascii="Times New Roman" w:hAnsi="Times New Roman" w:cs="Times New Roman"/>
          <w:sz w:val="24"/>
          <w:szCs w:val="24"/>
        </w:rPr>
        <w:t xml:space="preserve">; these identified data points are consistent with the database (JCPDS ID 33-0960). </w:t>
      </w:r>
    </w:p>
    <w:p w14:paraId="36A1D1F8" w14:textId="791F50A1" w:rsidR="002073AF" w:rsidRPr="00E05021" w:rsidRDefault="002073AF" w:rsidP="00F151BC">
      <w:pPr>
        <w:spacing w:line="360" w:lineRule="auto"/>
        <w:jc w:val="both"/>
        <w:rPr>
          <w:rFonts w:ascii="Times New Roman" w:hAnsi="Times New Roman" w:cs="Times New Roman"/>
          <w:sz w:val="24"/>
          <w:szCs w:val="24"/>
        </w:rPr>
      </w:pPr>
      <w:r w:rsidRPr="00E05021">
        <w:rPr>
          <w:rFonts w:ascii="Times New Roman" w:hAnsi="Times New Roman" w:cs="Times New Roman"/>
          <w:sz w:val="24"/>
          <w:szCs w:val="24"/>
        </w:rPr>
        <w:lastRenderedPageBreak/>
        <w:t>Diffraction patterns of the Pt-NiTiO</w:t>
      </w:r>
      <w:r w:rsidRPr="000D65FB">
        <w:rPr>
          <w:rFonts w:ascii="Times New Roman" w:hAnsi="Times New Roman" w:cs="Times New Roman"/>
          <w:sz w:val="24"/>
          <w:szCs w:val="24"/>
          <w:vertAlign w:val="subscript"/>
        </w:rPr>
        <w:t>3</w:t>
      </w:r>
      <w:r w:rsidRPr="00E05021">
        <w:rPr>
          <w:rFonts w:ascii="Times New Roman" w:hAnsi="Times New Roman" w:cs="Times New Roman"/>
          <w:sz w:val="24"/>
          <w:szCs w:val="24"/>
        </w:rPr>
        <w:t>/C and the Pt/C catalysts as showcased in Fig.</w:t>
      </w:r>
      <w:r w:rsidR="000D65FB">
        <w:rPr>
          <w:rFonts w:ascii="Times New Roman" w:hAnsi="Times New Roman" w:cs="Times New Roman"/>
          <w:sz w:val="24"/>
          <w:szCs w:val="24"/>
        </w:rPr>
        <w:t xml:space="preserve"> S4.</w:t>
      </w:r>
      <w:r w:rsidRPr="00E05021">
        <w:rPr>
          <w:rFonts w:ascii="Times New Roman" w:hAnsi="Times New Roman" w:cs="Times New Roman"/>
          <w:sz w:val="24"/>
          <w:szCs w:val="24"/>
        </w:rPr>
        <w:t xml:space="preserve"> identifies broad peaks of carbon (002) at 2θ =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25</m:t>
            </m:r>
          </m:e>
          <m:sup>
            <m:r>
              <m:rPr>
                <m:sty m:val="p"/>
              </m:rPr>
              <w:rPr>
                <w:rFonts w:ascii="Cambria Math" w:hAnsi="Cambria Math" w:cs="Times New Roman"/>
                <w:sz w:val="24"/>
                <w:szCs w:val="24"/>
              </w:rPr>
              <m:t>0</m:t>
            </m:r>
          </m:sup>
        </m:sSup>
      </m:oMath>
      <w:r w:rsidRPr="00E05021">
        <w:rPr>
          <w:rFonts w:ascii="Times New Roman" w:hAnsi="Times New Roman" w:cs="Times New Roman"/>
          <w:sz w:val="24"/>
          <w:szCs w:val="24"/>
        </w:rPr>
        <w:t xml:space="preserve">; wide-span of these peaks indicates an increase of the crystal size of the prepared oxide when supported on the vulcan carbon. </w:t>
      </w:r>
      <w:r w:rsidR="000D65FB">
        <w:rPr>
          <w:rFonts w:ascii="Times New Roman" w:hAnsi="Times New Roman" w:cs="Times New Roman"/>
          <w:sz w:val="24"/>
          <w:szCs w:val="24"/>
        </w:rPr>
        <w:t xml:space="preserve">The </w:t>
      </w:r>
      <w:r w:rsidRPr="00E05021">
        <w:rPr>
          <w:rFonts w:ascii="Times New Roman" w:hAnsi="Times New Roman" w:cs="Times New Roman"/>
          <w:sz w:val="24"/>
          <w:szCs w:val="24"/>
        </w:rPr>
        <w:t xml:space="preserve">three diffraction peaks at about 2θ =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40</m:t>
            </m:r>
          </m:e>
          <m:sup>
            <m:r>
              <m:rPr>
                <m:sty m:val="p"/>
              </m:rPr>
              <w:rPr>
                <w:rFonts w:ascii="Cambria Math" w:hAnsi="Cambria Math" w:cs="Times New Roman"/>
                <w:sz w:val="24"/>
                <w:szCs w:val="24"/>
              </w:rPr>
              <m:t>0</m:t>
            </m:r>
          </m:sup>
        </m:sSup>
      </m:oMath>
      <w:r w:rsidRPr="00E05021">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46.5</m:t>
            </m:r>
          </m:e>
          <m:sup>
            <m:r>
              <m:rPr>
                <m:sty m:val="p"/>
              </m:rPr>
              <w:rPr>
                <w:rFonts w:ascii="Cambria Math" w:hAnsi="Cambria Math" w:cs="Times New Roman"/>
                <w:sz w:val="24"/>
                <w:szCs w:val="24"/>
              </w:rPr>
              <m:t>0</m:t>
            </m:r>
          </m:sup>
        </m:sSup>
      </m:oMath>
      <w:r w:rsidRPr="00E05021">
        <w:rPr>
          <w:rFonts w:ascii="Times New Roman" w:hAnsi="Times New Roman" w:cs="Times New Roman"/>
          <w:sz w:val="24"/>
          <w:szCs w:val="24"/>
        </w:rPr>
        <w:t xml:space="preserve"> and </w:t>
      </w:r>
      <m:oMath>
        <m:sSup>
          <m:sSupPr>
            <m:ctrlPr>
              <w:rPr>
                <w:rFonts w:ascii="Cambria Math" w:hAnsi="Cambria Math" w:cs="Times New Roman"/>
                <w:sz w:val="24"/>
                <w:szCs w:val="24"/>
              </w:rPr>
            </m:ctrlPr>
          </m:sSupPr>
          <m:e>
            <m:r>
              <m:rPr>
                <m:sty m:val="p"/>
              </m:rPr>
              <w:rPr>
                <w:rFonts w:ascii="Cambria Math" w:hAnsi="Cambria Math" w:cs="Times New Roman"/>
                <w:sz w:val="24"/>
                <w:szCs w:val="24"/>
              </w:rPr>
              <m:t>68.1</m:t>
            </m:r>
          </m:e>
          <m:sup>
            <m:r>
              <m:rPr>
                <m:sty m:val="p"/>
              </m:rPr>
              <w:rPr>
                <w:rFonts w:ascii="Cambria Math" w:hAnsi="Cambria Math" w:cs="Times New Roman"/>
                <w:sz w:val="24"/>
                <w:szCs w:val="24"/>
              </w:rPr>
              <m:t>0</m:t>
            </m:r>
          </m:sup>
        </m:sSup>
      </m:oMath>
      <w:r w:rsidRPr="00E05021">
        <w:rPr>
          <w:rFonts w:ascii="Times New Roman" w:hAnsi="Times New Roman" w:cs="Times New Roman"/>
          <w:sz w:val="24"/>
          <w:szCs w:val="24"/>
        </w:rPr>
        <w:t>, corresponds to the Pt crystal planes (111), (200), (220) and this is a characteristic of a Face Centred Cube (Pt) (JCPDS ID 04-802) which is conformed. This exhibition is an effect of reduction in the size of Pt to nano-ranges because of the existing NiTiO</w:t>
      </w:r>
      <w:r w:rsidRPr="00F151BC">
        <w:rPr>
          <w:rFonts w:ascii="Times New Roman" w:hAnsi="Times New Roman" w:cs="Times New Roman"/>
          <w:sz w:val="24"/>
          <w:szCs w:val="24"/>
          <w:vertAlign w:val="subscript"/>
        </w:rPr>
        <w:t>3</w:t>
      </w:r>
      <w:r w:rsidRPr="00E05021">
        <w:rPr>
          <w:rFonts w:ascii="Times New Roman" w:hAnsi="Times New Roman" w:cs="Times New Roman"/>
          <w:sz w:val="24"/>
          <w:szCs w:val="24"/>
        </w:rPr>
        <w:t>/</w:t>
      </w:r>
      <w:r w:rsidR="00F151BC">
        <w:rPr>
          <w:rFonts w:ascii="Times New Roman" w:hAnsi="Times New Roman" w:cs="Times New Roman"/>
          <w:sz w:val="24"/>
          <w:szCs w:val="24"/>
        </w:rPr>
        <w:t xml:space="preserve">C. </w:t>
      </w:r>
      <w:r w:rsidR="00F151BC" w:rsidRPr="00E05021">
        <w:rPr>
          <w:rFonts w:ascii="Times New Roman" w:hAnsi="Times New Roman" w:cs="Times New Roman"/>
          <w:sz w:val="24"/>
          <w:szCs w:val="24"/>
        </w:rPr>
        <w:t xml:space="preserve">The </w:t>
      </w:r>
      <w:r w:rsidRPr="00E05021">
        <w:rPr>
          <w:rFonts w:ascii="Times New Roman" w:hAnsi="Times New Roman" w:cs="Times New Roman"/>
          <w:sz w:val="24"/>
          <w:szCs w:val="24"/>
        </w:rPr>
        <w:t>size of these crystals calculated from the Debye-Scherrer formula, and it estimates an average size of 2.5 and 4.6 nm correspondingly for Pt/C and Pt/ NiTiO</w:t>
      </w:r>
      <w:r w:rsidRPr="00F151BC">
        <w:rPr>
          <w:rFonts w:ascii="Times New Roman" w:hAnsi="Times New Roman" w:cs="Times New Roman"/>
          <w:sz w:val="24"/>
          <w:szCs w:val="24"/>
          <w:vertAlign w:val="subscript"/>
        </w:rPr>
        <w:t>3</w:t>
      </w:r>
      <w:r w:rsidRPr="00E05021">
        <w:rPr>
          <w:rFonts w:ascii="Times New Roman" w:hAnsi="Times New Roman" w:cs="Times New Roman"/>
          <w:sz w:val="24"/>
          <w:szCs w:val="24"/>
        </w:rPr>
        <w:t>/C.</w:t>
      </w:r>
    </w:p>
    <w:p w14:paraId="7900E64A" w14:textId="53982991" w:rsidR="002073AF" w:rsidRDefault="00F151BC" w:rsidP="00F151BC">
      <w:pPr>
        <w:spacing w:line="360" w:lineRule="auto"/>
        <w:jc w:val="center"/>
        <w:rPr>
          <w:rFonts w:ascii="Times New Roman" w:hAnsi="Times New Roman" w:cs="Times New Roman"/>
          <w:sz w:val="24"/>
          <w:szCs w:val="24"/>
        </w:rPr>
      </w:pPr>
      <w:r w:rsidRPr="00F32A3F">
        <w:rPr>
          <w:noProof/>
        </w:rPr>
        <w:drawing>
          <wp:inline distT="0" distB="0" distL="0" distR="0" wp14:anchorId="4FF23A74" wp14:editId="37806464">
            <wp:extent cx="5731510" cy="3236268"/>
            <wp:effectExtent l="0" t="0" r="2540" b="2540"/>
            <wp:docPr id="9" name="Picture 9" descr="C:\Users\HP\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ictu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36268"/>
                    </a:xfrm>
                    <a:prstGeom prst="rect">
                      <a:avLst/>
                    </a:prstGeom>
                    <a:noFill/>
                    <a:ln>
                      <a:noFill/>
                    </a:ln>
                  </pic:spPr>
                </pic:pic>
              </a:graphicData>
            </a:graphic>
          </wp:inline>
        </w:drawing>
      </w:r>
    </w:p>
    <w:p w14:paraId="0F7F8655" w14:textId="173BCB80" w:rsidR="00F151BC" w:rsidRPr="00F151BC" w:rsidRDefault="00F151BC" w:rsidP="00F151BC">
      <w:pPr>
        <w:pStyle w:val="ExperimentalText"/>
        <w:spacing w:line="360" w:lineRule="auto"/>
        <w:jc w:val="center"/>
      </w:pPr>
      <w:r w:rsidRPr="00BB6501">
        <w:rPr>
          <w:b/>
          <w:lang w:val="en-IN"/>
        </w:rPr>
        <w:t>F</w:t>
      </w:r>
      <w:r>
        <w:rPr>
          <w:b/>
          <w:lang w:val="en-IN"/>
        </w:rPr>
        <w:t>IG. S5.</w:t>
      </w:r>
      <w:r w:rsidRPr="004E3357">
        <w:t xml:space="preserve"> </w:t>
      </w:r>
      <w:r w:rsidRPr="00A8379E">
        <w:t>Core XPS spectra of (a) Pt</w:t>
      </w:r>
      <w:r>
        <w:t xml:space="preserve"> </w:t>
      </w:r>
      <w:r w:rsidRPr="00A8379E">
        <w:t>4f (b) Ni</w:t>
      </w:r>
      <w:r>
        <w:t xml:space="preserve"> </w:t>
      </w:r>
      <w:r w:rsidRPr="00A8379E">
        <w:t xml:space="preserve">2p (c) </w:t>
      </w:r>
      <w:proofErr w:type="spellStart"/>
      <w:r w:rsidRPr="00A8379E">
        <w:t>Ti</w:t>
      </w:r>
      <w:proofErr w:type="spellEnd"/>
      <w:r>
        <w:t xml:space="preserve"> </w:t>
      </w:r>
      <w:r w:rsidRPr="00A8379E">
        <w:t>2p (d) O</w:t>
      </w:r>
      <w:r>
        <w:t xml:space="preserve"> </w:t>
      </w:r>
      <w:r w:rsidRPr="00A8379E">
        <w:t>1s (e) C</w:t>
      </w:r>
      <w:r>
        <w:t xml:space="preserve"> </w:t>
      </w:r>
      <w:r w:rsidRPr="00A8379E">
        <w:t>1s in Pt-NiTiO</w:t>
      </w:r>
      <w:r w:rsidRPr="00A8379E">
        <w:rPr>
          <w:vertAlign w:val="subscript"/>
        </w:rPr>
        <w:t>3</w:t>
      </w:r>
      <w:r w:rsidRPr="00A8379E">
        <w:t>/C</w:t>
      </w:r>
      <w:r>
        <w:t>.</w:t>
      </w:r>
    </w:p>
    <w:p w14:paraId="328FA4DD" w14:textId="52C4BA3D" w:rsidR="002073AF" w:rsidRPr="00E05021" w:rsidRDefault="002073AF" w:rsidP="00F151BC">
      <w:pPr>
        <w:spacing w:line="360" w:lineRule="auto"/>
        <w:jc w:val="both"/>
        <w:rPr>
          <w:rFonts w:ascii="Times New Roman" w:hAnsi="Times New Roman" w:cs="Times New Roman"/>
          <w:sz w:val="24"/>
          <w:szCs w:val="24"/>
        </w:rPr>
      </w:pPr>
      <w:r w:rsidRPr="00E05021">
        <w:rPr>
          <w:rFonts w:ascii="Times New Roman" w:hAnsi="Times New Roman" w:cs="Times New Roman"/>
          <w:sz w:val="24"/>
          <w:szCs w:val="24"/>
        </w:rPr>
        <w:t xml:space="preserve">X-ray photoelectron spectroscopy (XPS) analysis was undertaken to investigate the material composition in the catalyst surface, and derive conclusions about the potential </w:t>
      </w:r>
      <w:proofErr w:type="spellStart"/>
      <w:r w:rsidRPr="00E05021">
        <w:rPr>
          <w:rFonts w:ascii="Times New Roman" w:hAnsi="Times New Roman" w:cs="Times New Roman"/>
          <w:sz w:val="24"/>
          <w:szCs w:val="24"/>
        </w:rPr>
        <w:t>behaviour</w:t>
      </w:r>
      <w:proofErr w:type="spellEnd"/>
      <w:r w:rsidRPr="00E05021">
        <w:rPr>
          <w:rFonts w:ascii="Times New Roman" w:hAnsi="Times New Roman" w:cs="Times New Roman"/>
          <w:sz w:val="24"/>
          <w:szCs w:val="24"/>
        </w:rPr>
        <w:t xml:space="preserve"> of the cell. F</w:t>
      </w:r>
      <w:r w:rsidR="00F151BC">
        <w:rPr>
          <w:rFonts w:ascii="Times New Roman" w:hAnsi="Times New Roman" w:cs="Times New Roman"/>
          <w:sz w:val="24"/>
          <w:szCs w:val="24"/>
        </w:rPr>
        <w:t>IG</w:t>
      </w:r>
      <w:r w:rsidRPr="00E05021">
        <w:rPr>
          <w:rFonts w:ascii="Times New Roman" w:hAnsi="Times New Roman" w:cs="Times New Roman"/>
          <w:sz w:val="24"/>
          <w:szCs w:val="24"/>
        </w:rPr>
        <w:t>.</w:t>
      </w:r>
      <w:r w:rsidR="00F151BC">
        <w:rPr>
          <w:rFonts w:ascii="Times New Roman" w:hAnsi="Times New Roman" w:cs="Times New Roman"/>
          <w:sz w:val="24"/>
          <w:szCs w:val="24"/>
        </w:rPr>
        <w:t xml:space="preserve"> S5</w:t>
      </w:r>
      <w:r w:rsidRPr="00E05021">
        <w:rPr>
          <w:rFonts w:ascii="Times New Roman" w:hAnsi="Times New Roman" w:cs="Times New Roman"/>
          <w:sz w:val="24"/>
          <w:szCs w:val="24"/>
        </w:rPr>
        <w:t>.</w:t>
      </w:r>
      <w:r w:rsidR="005633BF">
        <w:rPr>
          <w:rFonts w:ascii="Times New Roman" w:hAnsi="Times New Roman" w:cs="Times New Roman"/>
          <w:sz w:val="24"/>
          <w:szCs w:val="24"/>
        </w:rPr>
        <w:t xml:space="preserve"> </w:t>
      </w:r>
      <w:r w:rsidRPr="00E05021">
        <w:rPr>
          <w:rFonts w:ascii="Times New Roman" w:hAnsi="Times New Roman" w:cs="Times New Roman"/>
          <w:sz w:val="24"/>
          <w:szCs w:val="24"/>
        </w:rPr>
        <w:t xml:space="preserve">[a-e] illustrates the core XP Spectra of the definite chemical elements (Pt, Ni, </w:t>
      </w:r>
      <w:proofErr w:type="spellStart"/>
      <w:r w:rsidRPr="00E05021">
        <w:rPr>
          <w:rFonts w:ascii="Times New Roman" w:hAnsi="Times New Roman" w:cs="Times New Roman"/>
          <w:sz w:val="24"/>
          <w:szCs w:val="24"/>
        </w:rPr>
        <w:t>Ti</w:t>
      </w:r>
      <w:proofErr w:type="spellEnd"/>
      <w:r w:rsidRPr="00E05021">
        <w:rPr>
          <w:rFonts w:ascii="Times New Roman" w:hAnsi="Times New Roman" w:cs="Times New Roman"/>
          <w:sz w:val="24"/>
          <w:szCs w:val="24"/>
        </w:rPr>
        <w:t>, O, C) in the catalyst - Pt-NiTiO</w:t>
      </w:r>
      <w:r w:rsidRPr="005633BF">
        <w:rPr>
          <w:rFonts w:ascii="Times New Roman" w:hAnsi="Times New Roman" w:cs="Times New Roman"/>
          <w:sz w:val="24"/>
          <w:szCs w:val="24"/>
          <w:vertAlign w:val="subscript"/>
        </w:rPr>
        <w:t>3</w:t>
      </w:r>
      <w:r w:rsidRPr="00E05021">
        <w:rPr>
          <w:rFonts w:ascii="Times New Roman" w:hAnsi="Times New Roman" w:cs="Times New Roman"/>
          <w:sz w:val="24"/>
          <w:szCs w:val="24"/>
        </w:rPr>
        <w:t xml:space="preserve">/C. </w:t>
      </w:r>
    </w:p>
    <w:p w14:paraId="64152B79" w14:textId="77777777" w:rsidR="002073AF" w:rsidRPr="00E05021" w:rsidRDefault="002073AF" w:rsidP="00F151BC">
      <w:pPr>
        <w:spacing w:line="360" w:lineRule="auto"/>
        <w:jc w:val="both"/>
        <w:rPr>
          <w:rFonts w:ascii="Times New Roman" w:hAnsi="Times New Roman" w:cs="Times New Roman"/>
          <w:sz w:val="24"/>
          <w:szCs w:val="24"/>
        </w:rPr>
      </w:pPr>
      <w:r w:rsidRPr="00E05021">
        <w:rPr>
          <w:rFonts w:ascii="Times New Roman" w:hAnsi="Times New Roman" w:cs="Times New Roman"/>
          <w:sz w:val="24"/>
          <w:szCs w:val="24"/>
        </w:rPr>
        <w:t>Following conclusions were made,</w:t>
      </w:r>
    </w:p>
    <w:p w14:paraId="5CE3698D" w14:textId="77777777" w:rsidR="002073AF" w:rsidRPr="00E05021" w:rsidRDefault="002073AF" w:rsidP="00F151BC">
      <w:pPr>
        <w:numPr>
          <w:ilvl w:val="0"/>
          <w:numId w:val="1"/>
        </w:numPr>
        <w:spacing w:line="360" w:lineRule="auto"/>
        <w:jc w:val="both"/>
        <w:rPr>
          <w:rFonts w:ascii="Times New Roman" w:hAnsi="Times New Roman" w:cs="Times New Roman"/>
          <w:sz w:val="24"/>
          <w:szCs w:val="24"/>
        </w:rPr>
      </w:pPr>
      <w:r w:rsidRPr="00E05021">
        <w:rPr>
          <w:rFonts w:ascii="Times New Roman" w:hAnsi="Times New Roman" w:cs="Times New Roman"/>
          <w:sz w:val="24"/>
          <w:szCs w:val="24"/>
        </w:rPr>
        <w:t xml:space="preserve">Pt (0) species is predominant along with oxides of Pt (composition) that are present in the surface. </w:t>
      </w:r>
    </w:p>
    <w:p w14:paraId="1B5529A8" w14:textId="77777777" w:rsidR="002073AF" w:rsidRPr="00E05021" w:rsidRDefault="002073AF" w:rsidP="00F151BC">
      <w:pPr>
        <w:numPr>
          <w:ilvl w:val="0"/>
          <w:numId w:val="1"/>
        </w:numPr>
        <w:spacing w:line="360" w:lineRule="auto"/>
        <w:jc w:val="both"/>
        <w:rPr>
          <w:rFonts w:ascii="Times New Roman" w:hAnsi="Times New Roman" w:cs="Times New Roman"/>
          <w:sz w:val="24"/>
          <w:szCs w:val="24"/>
        </w:rPr>
      </w:pPr>
      <w:r w:rsidRPr="00E05021">
        <w:rPr>
          <w:rFonts w:ascii="Times New Roman" w:hAnsi="Times New Roman" w:cs="Times New Roman"/>
          <w:sz w:val="24"/>
          <w:szCs w:val="24"/>
        </w:rPr>
        <w:t>NiTiO</w:t>
      </w:r>
      <w:r w:rsidRPr="005633BF">
        <w:rPr>
          <w:rFonts w:ascii="Times New Roman" w:hAnsi="Times New Roman" w:cs="Times New Roman"/>
          <w:sz w:val="24"/>
          <w:szCs w:val="24"/>
          <w:vertAlign w:val="subscript"/>
        </w:rPr>
        <w:t>3</w:t>
      </w:r>
      <w:r w:rsidRPr="00E05021">
        <w:rPr>
          <w:rFonts w:ascii="Times New Roman" w:hAnsi="Times New Roman" w:cs="Times New Roman"/>
          <w:sz w:val="24"/>
          <w:szCs w:val="24"/>
        </w:rPr>
        <w:t xml:space="preserve"> is formed as an ilmenite structure, as Ni and </w:t>
      </w:r>
      <w:proofErr w:type="spellStart"/>
      <w:r w:rsidRPr="00E05021">
        <w:rPr>
          <w:rFonts w:ascii="Times New Roman" w:hAnsi="Times New Roman" w:cs="Times New Roman"/>
          <w:sz w:val="24"/>
          <w:szCs w:val="24"/>
        </w:rPr>
        <w:t>Ti</w:t>
      </w:r>
      <w:proofErr w:type="spellEnd"/>
      <w:r w:rsidRPr="00E05021">
        <w:rPr>
          <w:rFonts w:ascii="Times New Roman" w:hAnsi="Times New Roman" w:cs="Times New Roman"/>
          <w:sz w:val="24"/>
          <w:szCs w:val="24"/>
        </w:rPr>
        <w:t xml:space="preserve"> are present in octahedral sites bonded to 6 oxygen atoms.</w:t>
      </w:r>
    </w:p>
    <w:p w14:paraId="2D2BC6EF" w14:textId="77777777" w:rsidR="002073AF" w:rsidRPr="00E05021" w:rsidRDefault="002073AF" w:rsidP="00F151BC">
      <w:pPr>
        <w:numPr>
          <w:ilvl w:val="0"/>
          <w:numId w:val="1"/>
        </w:numPr>
        <w:spacing w:line="360" w:lineRule="auto"/>
        <w:jc w:val="both"/>
        <w:rPr>
          <w:rFonts w:ascii="Times New Roman" w:hAnsi="Times New Roman" w:cs="Times New Roman"/>
          <w:sz w:val="24"/>
          <w:szCs w:val="24"/>
        </w:rPr>
      </w:pPr>
      <w:r w:rsidRPr="00E05021">
        <w:rPr>
          <w:rFonts w:ascii="Times New Roman" w:hAnsi="Times New Roman" w:cs="Times New Roman"/>
          <w:sz w:val="24"/>
          <w:szCs w:val="24"/>
        </w:rPr>
        <w:t>O</w:t>
      </w:r>
      <w:r w:rsidRPr="005633BF">
        <w:rPr>
          <w:rFonts w:ascii="Times New Roman" w:hAnsi="Times New Roman" w:cs="Times New Roman"/>
          <w:sz w:val="24"/>
          <w:szCs w:val="24"/>
          <w:vertAlign w:val="subscript"/>
        </w:rPr>
        <w:t>2</w:t>
      </w:r>
      <w:r w:rsidRPr="005633BF">
        <w:rPr>
          <w:rFonts w:ascii="Times New Roman" w:hAnsi="Times New Roman" w:cs="Times New Roman"/>
          <w:sz w:val="24"/>
          <w:szCs w:val="24"/>
          <w:vertAlign w:val="superscript"/>
        </w:rPr>
        <w:t>-</w:t>
      </w:r>
      <w:r w:rsidRPr="00E05021">
        <w:rPr>
          <w:rFonts w:ascii="Times New Roman" w:hAnsi="Times New Roman" w:cs="Times New Roman"/>
          <w:sz w:val="24"/>
          <w:szCs w:val="24"/>
        </w:rPr>
        <w:t xml:space="preserve"> and OH</w:t>
      </w:r>
      <w:r w:rsidRPr="005633BF">
        <w:rPr>
          <w:rFonts w:ascii="Times New Roman" w:hAnsi="Times New Roman" w:cs="Times New Roman"/>
          <w:sz w:val="24"/>
          <w:szCs w:val="24"/>
          <w:vertAlign w:val="superscript"/>
        </w:rPr>
        <w:t xml:space="preserve">- </w:t>
      </w:r>
      <w:r w:rsidRPr="00E05021">
        <w:rPr>
          <w:rFonts w:ascii="Times New Roman" w:hAnsi="Times New Roman" w:cs="Times New Roman"/>
          <w:sz w:val="24"/>
          <w:szCs w:val="24"/>
        </w:rPr>
        <w:t>species are present in the catalyst surface.</w:t>
      </w:r>
    </w:p>
    <w:p w14:paraId="037B7B72" w14:textId="77777777" w:rsidR="002073AF" w:rsidRPr="00E05021" w:rsidRDefault="002073AF" w:rsidP="00F151BC">
      <w:pPr>
        <w:numPr>
          <w:ilvl w:val="0"/>
          <w:numId w:val="1"/>
        </w:numPr>
        <w:spacing w:line="360" w:lineRule="auto"/>
        <w:jc w:val="both"/>
        <w:rPr>
          <w:rFonts w:ascii="Times New Roman" w:hAnsi="Times New Roman" w:cs="Times New Roman"/>
          <w:sz w:val="24"/>
          <w:szCs w:val="24"/>
        </w:rPr>
      </w:pPr>
      <w:r w:rsidRPr="00E05021">
        <w:rPr>
          <w:rFonts w:ascii="Times New Roman" w:hAnsi="Times New Roman" w:cs="Times New Roman"/>
          <w:sz w:val="24"/>
          <w:szCs w:val="24"/>
        </w:rPr>
        <w:lastRenderedPageBreak/>
        <w:t>C-C bonds are identified by the peak at 284.8 eV; two subsequent peaks can correspond to C-O and O-C=O, they are weak peaks because of the less bond strength in the latter.</w:t>
      </w:r>
    </w:p>
    <w:p w14:paraId="0B259AFF" w14:textId="77777777" w:rsidR="002073AF" w:rsidRPr="00E05021" w:rsidRDefault="002073AF" w:rsidP="00F151BC">
      <w:pPr>
        <w:spacing w:line="360" w:lineRule="auto"/>
        <w:jc w:val="both"/>
        <w:rPr>
          <w:rFonts w:ascii="Times New Roman" w:hAnsi="Times New Roman" w:cs="Times New Roman"/>
          <w:sz w:val="24"/>
          <w:szCs w:val="24"/>
        </w:rPr>
      </w:pPr>
      <w:r w:rsidRPr="00E05021">
        <w:rPr>
          <w:rFonts w:ascii="Times New Roman" w:hAnsi="Times New Roman" w:cs="Times New Roman"/>
          <w:sz w:val="24"/>
          <w:szCs w:val="24"/>
        </w:rPr>
        <w:t>This illustrates a possibility that NiTiO</w:t>
      </w:r>
      <w:r w:rsidRPr="005633BF">
        <w:rPr>
          <w:rFonts w:ascii="Times New Roman" w:hAnsi="Times New Roman" w:cs="Times New Roman"/>
          <w:sz w:val="24"/>
          <w:szCs w:val="24"/>
          <w:vertAlign w:val="subscript"/>
        </w:rPr>
        <w:t>3</w:t>
      </w:r>
      <w:r w:rsidRPr="00E05021">
        <w:rPr>
          <w:rFonts w:ascii="Times New Roman" w:hAnsi="Times New Roman" w:cs="Times New Roman"/>
          <w:sz w:val="24"/>
          <w:szCs w:val="24"/>
        </w:rPr>
        <w:t xml:space="preserve"> will supply a larger quantity of active oxygen atoms to the nearest Pt nano-particles and promote MOR activity by accelerating the electro-oxidation on the surface of Pt according to the bi-functional mechanism as described in equations (1) and (2).</w:t>
      </w:r>
    </w:p>
    <w:p w14:paraId="778E63D4" w14:textId="77777777" w:rsidR="005633BF" w:rsidRPr="008F70BB" w:rsidRDefault="005633BF" w:rsidP="005633BF">
      <w:pPr>
        <w:pStyle w:val="ExperimentalText"/>
        <w:spacing w:line="360" w:lineRule="auto"/>
        <w:ind w:firstLine="284"/>
        <w:jc w:val="both"/>
      </w:pPr>
      <w:r w:rsidRPr="008F70BB">
        <w:t>NiTiO</w:t>
      </w:r>
      <w:r w:rsidRPr="00784F3F">
        <w:rPr>
          <w:vertAlign w:val="subscript"/>
        </w:rPr>
        <w:t>3</w:t>
      </w:r>
      <w:r w:rsidRPr="008F70BB">
        <w:t xml:space="preserve"> + H</w:t>
      </w:r>
      <w:r w:rsidRPr="00784F3F">
        <w:rPr>
          <w:vertAlign w:val="subscript"/>
        </w:rPr>
        <w:t>2</w:t>
      </w:r>
      <w:r w:rsidRPr="008F70BB">
        <w:t>O → NiTiO</w:t>
      </w:r>
      <w:r w:rsidRPr="00784F3F">
        <w:rPr>
          <w:vertAlign w:val="subscript"/>
        </w:rPr>
        <w:t>3-x</w:t>
      </w:r>
      <w:r w:rsidRPr="008F70BB">
        <w:t xml:space="preserve"> (OH) + H</w:t>
      </w:r>
      <w:r w:rsidRPr="00784F3F">
        <w:rPr>
          <w:vertAlign w:val="superscript"/>
        </w:rPr>
        <w:t>+</w:t>
      </w:r>
      <w:r w:rsidRPr="008F70BB">
        <w:t xml:space="preserve"> + e</w:t>
      </w:r>
      <w:r w:rsidRPr="00784F3F">
        <w:rPr>
          <w:vertAlign w:val="superscript"/>
        </w:rPr>
        <w:t>-</w:t>
      </w:r>
      <w:r w:rsidRPr="0037149B">
        <w:tab/>
      </w:r>
      <w:r w:rsidRPr="0037149B">
        <w:tab/>
      </w:r>
      <w:r w:rsidRPr="0037149B">
        <w:tab/>
      </w:r>
      <w:r w:rsidRPr="008F70BB">
        <w:t>(1)</w:t>
      </w:r>
    </w:p>
    <w:p w14:paraId="2C98B015" w14:textId="293DD21E" w:rsidR="005633BF" w:rsidRPr="008F70BB" w:rsidRDefault="005633BF" w:rsidP="005633BF">
      <w:pPr>
        <w:pStyle w:val="ExperimentalText"/>
        <w:spacing w:line="360" w:lineRule="auto"/>
        <w:jc w:val="both"/>
      </w:pPr>
      <w:r w:rsidRPr="008F70BB">
        <w:t>Pt–CO</w:t>
      </w:r>
      <w:r w:rsidRPr="00784F3F">
        <w:rPr>
          <w:vertAlign w:val="subscript"/>
        </w:rPr>
        <w:t>ads</w:t>
      </w:r>
      <w:r w:rsidRPr="008F70BB">
        <w:t xml:space="preserve"> + NiTiO</w:t>
      </w:r>
      <w:r w:rsidRPr="00784F3F">
        <w:rPr>
          <w:vertAlign w:val="subscript"/>
        </w:rPr>
        <w:t>3-x</w:t>
      </w:r>
      <w:r w:rsidRPr="008F70BB">
        <w:t xml:space="preserve"> (OH) → Pt + NiTiO</w:t>
      </w:r>
      <w:r w:rsidRPr="00784F3F">
        <w:rPr>
          <w:vertAlign w:val="subscript"/>
        </w:rPr>
        <w:t>3-x</w:t>
      </w:r>
      <w:r w:rsidRPr="008F70BB">
        <w:t>+ CO</w:t>
      </w:r>
      <w:r w:rsidRPr="00784F3F">
        <w:rPr>
          <w:vertAlign w:val="subscript"/>
        </w:rPr>
        <w:t>2</w:t>
      </w:r>
      <w:r w:rsidRPr="008F70BB">
        <w:t xml:space="preserve"> + H</w:t>
      </w:r>
      <w:r w:rsidRPr="00784F3F">
        <w:rPr>
          <w:vertAlign w:val="superscript"/>
        </w:rPr>
        <w:t>+</w:t>
      </w:r>
      <w:r w:rsidRPr="008F70BB">
        <w:t xml:space="preserve"> + e</w:t>
      </w:r>
      <w:r w:rsidRPr="00784F3F">
        <w:rPr>
          <w:vertAlign w:val="superscript"/>
        </w:rPr>
        <w:t>-</w:t>
      </w:r>
      <w:r>
        <w:tab/>
      </w:r>
      <w:r>
        <w:tab/>
      </w:r>
      <w:r w:rsidRPr="008F70BB">
        <w:t>(2)</w:t>
      </w:r>
    </w:p>
    <w:p w14:paraId="28C61980" w14:textId="13A0AAE0" w:rsidR="00C356B8" w:rsidRPr="002C224F" w:rsidRDefault="009A254A" w:rsidP="00F151BC">
      <w:pPr>
        <w:spacing w:before="240" w:line="360" w:lineRule="auto"/>
        <w:rPr>
          <w:rFonts w:ascii="Times New Roman" w:hAnsi="Times New Roman" w:cs="Times New Roman"/>
          <w:b/>
          <w:bCs/>
          <w:sz w:val="24"/>
          <w:szCs w:val="24"/>
        </w:rPr>
      </w:pPr>
      <w:r w:rsidRPr="002C224F">
        <w:rPr>
          <w:rFonts w:ascii="Times New Roman" w:hAnsi="Times New Roman" w:cs="Times New Roman"/>
          <w:b/>
          <w:bCs/>
          <w:sz w:val="24"/>
          <w:szCs w:val="24"/>
        </w:rPr>
        <w:t>Flow Distribution Analysis of Three Stack</w:t>
      </w:r>
    </w:p>
    <w:p w14:paraId="28C61982" w14:textId="77777777" w:rsidR="00C356B8" w:rsidRPr="002C224F" w:rsidRDefault="009A254A" w:rsidP="00F151BC">
      <w:pPr>
        <w:spacing w:before="240" w:line="360" w:lineRule="auto"/>
        <w:jc w:val="center"/>
        <w:rPr>
          <w:rFonts w:ascii="Times New Roman" w:hAnsi="Times New Roman" w:cs="Times New Roman"/>
          <w:b/>
          <w:bCs/>
          <w:sz w:val="24"/>
          <w:szCs w:val="24"/>
        </w:rPr>
      </w:pPr>
      <w:r w:rsidRPr="002C224F">
        <w:rPr>
          <w:rFonts w:ascii="Times New Roman" w:hAnsi="Times New Roman" w:cs="Times New Roman"/>
          <w:noProof/>
          <w:sz w:val="24"/>
          <w:szCs w:val="24"/>
          <w:lang w:val="en-IN" w:eastAsia="en-IN"/>
        </w:rPr>
        <w:drawing>
          <wp:inline distT="0" distB="0" distL="0" distR="0" wp14:anchorId="28C6198F" wp14:editId="462D2ED5">
            <wp:extent cx="5013490" cy="214466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36654" cy="2154569"/>
                    </a:xfrm>
                    <a:prstGeom prst="rect">
                      <a:avLst/>
                    </a:prstGeom>
                    <a:noFill/>
                    <a:ln>
                      <a:noFill/>
                    </a:ln>
                  </pic:spPr>
                </pic:pic>
              </a:graphicData>
            </a:graphic>
          </wp:inline>
        </w:drawing>
      </w:r>
    </w:p>
    <w:p w14:paraId="28C61983" w14:textId="365966FF" w:rsidR="00C356B8" w:rsidRPr="002C224F" w:rsidRDefault="009A254A" w:rsidP="00F151BC">
      <w:pPr>
        <w:spacing w:line="360" w:lineRule="auto"/>
        <w:jc w:val="center"/>
        <w:rPr>
          <w:rFonts w:ascii="Times New Roman" w:hAnsi="Times New Roman" w:cs="Times New Roman"/>
          <w:bCs/>
          <w:sz w:val="24"/>
          <w:szCs w:val="24"/>
        </w:rPr>
      </w:pPr>
      <w:r w:rsidRPr="001135B5">
        <w:rPr>
          <w:rFonts w:ascii="Times New Roman" w:hAnsi="Times New Roman" w:cs="Times New Roman"/>
          <w:b/>
          <w:sz w:val="24"/>
          <w:szCs w:val="24"/>
        </w:rPr>
        <w:t>Fig</w:t>
      </w:r>
      <w:r w:rsidR="001135B5" w:rsidRPr="001135B5">
        <w:rPr>
          <w:rFonts w:ascii="Times New Roman" w:hAnsi="Times New Roman" w:cs="Times New Roman"/>
          <w:b/>
          <w:sz w:val="24"/>
          <w:szCs w:val="24"/>
        </w:rPr>
        <w:t>.</w:t>
      </w:r>
      <w:r w:rsidRPr="001135B5">
        <w:rPr>
          <w:rFonts w:ascii="Times New Roman" w:hAnsi="Times New Roman" w:cs="Times New Roman"/>
          <w:b/>
          <w:sz w:val="24"/>
          <w:szCs w:val="24"/>
        </w:rPr>
        <w:t xml:space="preserve"> S</w:t>
      </w:r>
      <w:r w:rsidR="005633BF">
        <w:rPr>
          <w:rFonts w:ascii="Times New Roman" w:hAnsi="Times New Roman" w:cs="Times New Roman"/>
          <w:b/>
          <w:sz w:val="24"/>
          <w:szCs w:val="24"/>
        </w:rPr>
        <w:t>6</w:t>
      </w:r>
      <w:r w:rsidR="001135B5" w:rsidRPr="001135B5">
        <w:rPr>
          <w:rFonts w:ascii="Times New Roman" w:hAnsi="Times New Roman" w:cs="Times New Roman"/>
          <w:b/>
          <w:sz w:val="24"/>
          <w:szCs w:val="24"/>
        </w:rPr>
        <w:t>.</w:t>
      </w:r>
      <w:r w:rsidRPr="002C224F">
        <w:rPr>
          <w:rFonts w:ascii="Times New Roman" w:hAnsi="Times New Roman" w:cs="Times New Roman"/>
          <w:bCs/>
          <w:sz w:val="24"/>
          <w:szCs w:val="24"/>
        </w:rPr>
        <w:t xml:space="preserve"> (a) Velocity plot (b) Pressure plot of three cell stack</w:t>
      </w:r>
    </w:p>
    <w:p w14:paraId="28C61984" w14:textId="589C13B4" w:rsidR="00C356B8" w:rsidRPr="002C224F" w:rsidRDefault="009A254A" w:rsidP="00F151BC">
      <w:pPr>
        <w:spacing w:before="240" w:line="360" w:lineRule="auto"/>
        <w:ind w:firstLine="720"/>
        <w:jc w:val="both"/>
        <w:rPr>
          <w:rFonts w:ascii="Times New Roman" w:hAnsi="Times New Roman" w:cs="Times New Roman"/>
          <w:sz w:val="24"/>
          <w:szCs w:val="24"/>
        </w:rPr>
      </w:pPr>
      <w:r w:rsidRPr="002C224F">
        <w:rPr>
          <w:rFonts w:ascii="Times New Roman" w:hAnsi="Times New Roman" w:cs="Times New Roman"/>
          <w:sz w:val="24"/>
          <w:szCs w:val="24"/>
        </w:rPr>
        <w:t>The velocity of cathode flow field was analyzed numerically on the three cells assembled in series and the results were shown in Fig</w:t>
      </w:r>
      <w:r w:rsidR="00DD2A9C">
        <w:rPr>
          <w:rFonts w:ascii="Times New Roman" w:hAnsi="Times New Roman" w:cs="Times New Roman"/>
          <w:sz w:val="24"/>
          <w:szCs w:val="24"/>
        </w:rPr>
        <w:t>.</w:t>
      </w:r>
      <w:r w:rsidRPr="002C224F">
        <w:rPr>
          <w:rFonts w:ascii="Times New Roman" w:hAnsi="Times New Roman" w:cs="Times New Roman"/>
          <w:sz w:val="24"/>
          <w:szCs w:val="24"/>
        </w:rPr>
        <w:t xml:space="preserve"> S</w:t>
      </w:r>
      <w:r w:rsidR="005633BF">
        <w:rPr>
          <w:rFonts w:ascii="Times New Roman" w:hAnsi="Times New Roman" w:cs="Times New Roman"/>
          <w:sz w:val="24"/>
          <w:szCs w:val="24"/>
        </w:rPr>
        <w:t>6</w:t>
      </w:r>
      <w:r w:rsidRPr="002C224F">
        <w:rPr>
          <w:rFonts w:ascii="Times New Roman" w:hAnsi="Times New Roman" w:cs="Times New Roman"/>
          <w:sz w:val="24"/>
          <w:szCs w:val="24"/>
        </w:rPr>
        <w:t xml:space="preserve"> (a). In this study the flow path was only considered for numerical analysis. From the results, it is confirmed that the velocity in each flow channel was evenly distributed. This minor difference in velocity will result in a pressure differential, allowing for improved inter-channel diffusion of the reactants. Bends in the flow channel will amplify this effect. In flow fields where the flow velocity is low, there is less degradation of the catalyst.</w:t>
      </w:r>
      <w:r w:rsidR="00D93043" w:rsidRPr="002C224F">
        <w:rPr>
          <w:rFonts w:ascii="Times New Roman" w:hAnsi="Times New Roman" w:cs="Times New Roman"/>
          <w:sz w:val="24"/>
          <w:szCs w:val="24"/>
        </w:rPr>
        <w:fldChar w:fldCharType="begin" w:fldLock="1"/>
      </w:r>
      <w:r w:rsidR="00D93043">
        <w:rPr>
          <w:rFonts w:ascii="Times New Roman" w:hAnsi="Times New Roman" w:cs="Times New Roman"/>
          <w:sz w:val="24"/>
          <w:szCs w:val="24"/>
        </w:rPr>
        <w:instrText>ADDIN CSL_CITATION {"citationItems":[{"id":"ITEM-1","itemData":{"DOI":"10.3390/en11082054","ISSN":"19961073","abstract":"One of the bottlenecks hindering the usage of polymer electrolyte membrane fuel cell technology in automotive applications is the highly load-sensitive degradation of the cell components. The cell failure cases reported in the literature show localized cell component degradation, mainly caused by flow-field dependent non-uniform distribution of reactants. The existing methodologies for diagnostics of localized cell failure are either invasive or require sophisticated and expensive apparatus. In this study, with the help of a multiscale simulation framework, a single polymer electrolyte membrane fuel cell (PEMFC) model is exposed to a standardized drive cycle provided by a system model of a fuel cell car. A 2D multiphysics model of the PEMFC is used to investigate catalyst degradation due to spatio-temporal variations in the fuel cell state variables under the highly transient load cycles. A three-step (extraction, oxidation, and dissolution) model of platinum loss in the cathode catalyst layer is used to investigate the cell performance degradation due to the consequent reduction in the electro-chemical active surface area (ECSA). By using a time-upscaling methodology, we present a comparative prediction of cell end-of-life (EOL) under different driving behavior of New European Driving Cycle (NEDC) and Worldwide Harmonized Light Vehicles Test Cycle (WLTC).","author":[{"dropping-particle":"","family":"Mayur","given":"Manik","non-dropping-particle":"","parse-names":false,"suffix":""},{"dropping-particle":"","family":"Gerard","given":"Mathias","non-dropping-particle":"","parse-names":false,"suffix":""},{"dropping-particle":"","family":"Schott","given":"Pascal","non-dropping-particle":"","parse-names":false,"suffix":""},{"dropping-particle":"","family":"Bessler","given":"Wolfgang G.","non-dropping-particle":"","parse-names":false,"suffix":""}],"container-title":"Energies","id":"ITEM-1","issue":"8","issued":{"date-parts":[["2018"]]},"title":"Lifetime prediction of a polymer electrolyte membrane fuel cell under automotive load cycling using a physically-based catalyst degradation model","type":"article-journal","volume":"11"},"uris":["http://www.mendeley.com/documents/?uuid=4c19b11f-c4c7-48ae-a11e-2dbcee3355b7"]}],"mendeley":{"formattedCitation":"&lt;sup&gt;1&lt;/sup&gt;","plainTextFormattedCitation":"1","previouslyFormattedCitation":"[1]"},"properties":{"noteIndex":0},"schema":"https://github.com/citation-style-language/schema/raw/master/csl-citation.json"}</w:instrText>
      </w:r>
      <w:r w:rsidR="00D93043" w:rsidRPr="002C224F">
        <w:rPr>
          <w:rFonts w:ascii="Times New Roman" w:hAnsi="Times New Roman" w:cs="Times New Roman"/>
          <w:sz w:val="24"/>
          <w:szCs w:val="24"/>
        </w:rPr>
        <w:fldChar w:fldCharType="separate"/>
      </w:r>
      <w:r w:rsidR="00D93043" w:rsidRPr="001135B5">
        <w:rPr>
          <w:rFonts w:ascii="Times New Roman" w:hAnsi="Times New Roman" w:cs="Times New Roman"/>
          <w:noProof/>
          <w:sz w:val="24"/>
          <w:szCs w:val="24"/>
          <w:vertAlign w:val="superscript"/>
        </w:rPr>
        <w:t>1</w:t>
      </w:r>
      <w:r w:rsidR="00D93043" w:rsidRPr="002C224F">
        <w:rPr>
          <w:rFonts w:ascii="Times New Roman" w:hAnsi="Times New Roman" w:cs="Times New Roman"/>
          <w:sz w:val="24"/>
          <w:szCs w:val="24"/>
        </w:rPr>
        <w:fldChar w:fldCharType="end"/>
      </w:r>
      <w:r w:rsidRPr="002C224F">
        <w:rPr>
          <w:rFonts w:ascii="Times New Roman" w:hAnsi="Times New Roman" w:cs="Times New Roman"/>
          <w:sz w:val="24"/>
          <w:szCs w:val="24"/>
        </w:rPr>
        <w:t xml:space="preserve"> The velocity profile was examined in order to comprehend the fluid's dynamics as a result of bends. In a sinuous flow field with two inlets/outlets of 100 cm</w:t>
      </w:r>
      <w:r w:rsidRPr="002C224F">
        <w:rPr>
          <w:rFonts w:ascii="Times New Roman" w:hAnsi="Times New Roman" w:cs="Times New Roman"/>
          <w:sz w:val="24"/>
          <w:szCs w:val="24"/>
          <w:vertAlign w:val="superscript"/>
        </w:rPr>
        <w:t>2</w:t>
      </w:r>
      <w:r w:rsidRPr="002C224F">
        <w:rPr>
          <w:rFonts w:ascii="Times New Roman" w:hAnsi="Times New Roman" w:cs="Times New Roman"/>
          <w:sz w:val="24"/>
          <w:szCs w:val="24"/>
        </w:rPr>
        <w:t xml:space="preserve"> active areas, the deviation in normalized velocity of each channel is comparable to that of a 25 cm</w:t>
      </w:r>
      <w:r w:rsidRPr="002C224F">
        <w:rPr>
          <w:rFonts w:ascii="Times New Roman" w:hAnsi="Times New Roman" w:cs="Times New Roman"/>
          <w:sz w:val="24"/>
          <w:szCs w:val="24"/>
          <w:vertAlign w:val="superscript"/>
        </w:rPr>
        <w:t>2</w:t>
      </w:r>
      <w:r w:rsidRPr="002C224F">
        <w:rPr>
          <w:rFonts w:ascii="Times New Roman" w:hAnsi="Times New Roman" w:cs="Times New Roman"/>
          <w:sz w:val="24"/>
          <w:szCs w:val="24"/>
        </w:rPr>
        <w:t xml:space="preserve"> active area.</w:t>
      </w:r>
      <w:r w:rsidR="00D93043" w:rsidRPr="002C224F">
        <w:rPr>
          <w:rFonts w:ascii="Times New Roman" w:hAnsi="Times New Roman" w:cs="Times New Roman"/>
          <w:sz w:val="24"/>
          <w:szCs w:val="24"/>
        </w:rPr>
        <w:fldChar w:fldCharType="begin" w:fldLock="1"/>
      </w:r>
      <w:r w:rsidR="00D93043">
        <w:rPr>
          <w:rFonts w:ascii="Times New Roman" w:hAnsi="Times New Roman" w:cs="Times New Roman"/>
          <w:sz w:val="24"/>
          <w:szCs w:val="24"/>
        </w:rPr>
        <w:instrText>ADDIN CSL_CITATION {"citationItems":[{"id":"ITEM-1","itemData":{"author":[{"dropping-particle":"","family":"V","given":"Magesh kannan","non-dropping-particle":"","parse-names":false,"suffix":""}],"id":"ITEM-1","issued":{"date-parts":[["2020"]]},"publisher":"Anna University","title":"Design and development of high performance scaled up pem fuel cell by flow channel modifications","type":"thesis"},"uris":["http://www.mendeley.com/documents/?uuid=49320d16-a64a-47bb-a841-31edd08faceb"]}],"mendeley":{"formattedCitation":"&lt;sup&gt;2&lt;/sup&gt;","plainTextFormattedCitation":"2","previouslyFormattedCitation":"[2]"},"properties":{"noteIndex":0},"schema":"https://github.com/citation-style-language/schema/raw/master/csl-citation.json"}</w:instrText>
      </w:r>
      <w:r w:rsidR="00D93043" w:rsidRPr="002C224F">
        <w:rPr>
          <w:rFonts w:ascii="Times New Roman" w:hAnsi="Times New Roman" w:cs="Times New Roman"/>
          <w:sz w:val="24"/>
          <w:szCs w:val="24"/>
        </w:rPr>
        <w:fldChar w:fldCharType="separate"/>
      </w:r>
      <w:r w:rsidR="00D93043" w:rsidRPr="001135B5">
        <w:rPr>
          <w:rFonts w:ascii="Times New Roman" w:hAnsi="Times New Roman" w:cs="Times New Roman"/>
          <w:noProof/>
          <w:sz w:val="24"/>
          <w:szCs w:val="24"/>
          <w:vertAlign w:val="superscript"/>
        </w:rPr>
        <w:t>2</w:t>
      </w:r>
      <w:r w:rsidR="00D93043" w:rsidRPr="002C224F">
        <w:rPr>
          <w:rFonts w:ascii="Times New Roman" w:hAnsi="Times New Roman" w:cs="Times New Roman"/>
          <w:sz w:val="24"/>
          <w:szCs w:val="24"/>
        </w:rPr>
        <w:fldChar w:fldCharType="end"/>
      </w:r>
      <w:r w:rsidRPr="002C224F">
        <w:rPr>
          <w:rFonts w:ascii="Times New Roman" w:hAnsi="Times New Roman" w:cs="Times New Roman"/>
          <w:sz w:val="24"/>
          <w:szCs w:val="24"/>
        </w:rPr>
        <w:t xml:space="preserve"> The inclination and velocity gradients enhance water transportation from the entrance to the exit, resulting in reduced water collection in the flow channels. The combined effects of gradient and syphoning reduce water lodging in channels and land area, respectively.</w:t>
      </w:r>
    </w:p>
    <w:p w14:paraId="28C61987" w14:textId="5FF1E73F" w:rsidR="00C356B8" w:rsidRPr="002C224F" w:rsidRDefault="009A254A" w:rsidP="00F151BC">
      <w:pPr>
        <w:spacing w:before="240" w:line="360" w:lineRule="auto"/>
        <w:ind w:firstLine="720"/>
        <w:jc w:val="both"/>
        <w:rPr>
          <w:rFonts w:ascii="Times New Roman" w:hAnsi="Times New Roman" w:cs="Times New Roman"/>
          <w:sz w:val="24"/>
          <w:szCs w:val="24"/>
        </w:rPr>
      </w:pPr>
      <w:r w:rsidRPr="002C224F">
        <w:rPr>
          <w:rFonts w:ascii="Times New Roman" w:hAnsi="Times New Roman" w:cs="Times New Roman"/>
          <w:bCs/>
          <w:sz w:val="24"/>
          <w:szCs w:val="24"/>
        </w:rPr>
        <w:lastRenderedPageBreak/>
        <w:t>The pressure at the cathode flow channels was shown in Fig</w:t>
      </w:r>
      <w:r w:rsidR="00390186">
        <w:rPr>
          <w:rFonts w:ascii="Times New Roman" w:hAnsi="Times New Roman" w:cs="Times New Roman"/>
          <w:bCs/>
          <w:sz w:val="24"/>
          <w:szCs w:val="24"/>
        </w:rPr>
        <w:t>.</w:t>
      </w:r>
      <w:r w:rsidRPr="002C224F">
        <w:rPr>
          <w:rFonts w:ascii="Times New Roman" w:hAnsi="Times New Roman" w:cs="Times New Roman"/>
          <w:bCs/>
          <w:sz w:val="24"/>
          <w:szCs w:val="24"/>
        </w:rPr>
        <w:t xml:space="preserve"> S</w:t>
      </w:r>
      <w:r w:rsidR="005633BF">
        <w:rPr>
          <w:rFonts w:ascii="Times New Roman" w:hAnsi="Times New Roman" w:cs="Times New Roman"/>
          <w:bCs/>
          <w:sz w:val="24"/>
          <w:szCs w:val="24"/>
        </w:rPr>
        <w:t>6</w:t>
      </w:r>
      <w:r w:rsidRPr="002C224F">
        <w:rPr>
          <w:rFonts w:ascii="Times New Roman" w:hAnsi="Times New Roman" w:cs="Times New Roman"/>
          <w:bCs/>
          <w:sz w:val="24"/>
          <w:szCs w:val="24"/>
        </w:rPr>
        <w:t xml:space="preserve"> (b). </w:t>
      </w:r>
      <w:r w:rsidRPr="002C224F">
        <w:rPr>
          <w:rFonts w:ascii="Times New Roman" w:hAnsi="Times New Roman" w:cs="Times New Roman"/>
          <w:sz w:val="24"/>
          <w:szCs w:val="24"/>
        </w:rPr>
        <w:t xml:space="preserve">Due to the shorter distance between inlet and outlet, the pressure loss in the sinuous flow field is typically low when compared with the serpentine flow field. This shows that the flow is more consistent, resulting in even distribution over the GDL and also which helps to increase the reactant consumption. From our previous studies, more than four bends were not taken into account in this study since they would result reduction in pressure. </w:t>
      </w:r>
    </w:p>
    <w:p w14:paraId="28C61988" w14:textId="2783E8BC" w:rsidR="00C356B8" w:rsidRPr="002C224F" w:rsidRDefault="009A254A" w:rsidP="00F151BC">
      <w:pPr>
        <w:spacing w:before="240" w:line="360" w:lineRule="auto"/>
        <w:jc w:val="both"/>
        <w:rPr>
          <w:rFonts w:ascii="Times New Roman" w:hAnsi="Times New Roman" w:cs="Times New Roman"/>
          <w:sz w:val="24"/>
          <w:szCs w:val="24"/>
        </w:rPr>
      </w:pPr>
      <w:r w:rsidRPr="002C224F">
        <w:rPr>
          <w:rFonts w:ascii="Times New Roman" w:hAnsi="Times New Roman" w:cs="Times New Roman"/>
          <w:sz w:val="24"/>
          <w:szCs w:val="24"/>
        </w:rPr>
        <w:t xml:space="preserve">Hence the nominal velocity drop with respect to the pressure drop was found in cathode flow channels for three cells. From this study, it is proved that the flow channels with two inlets and outlets was good for cathode in </w:t>
      </w:r>
      <w:r w:rsidR="001135B5">
        <w:rPr>
          <w:rFonts w:ascii="Times New Roman" w:hAnsi="Times New Roman" w:cs="Times New Roman"/>
          <w:sz w:val="24"/>
          <w:szCs w:val="24"/>
        </w:rPr>
        <w:t>3-</w:t>
      </w:r>
      <w:r w:rsidRPr="002C224F">
        <w:rPr>
          <w:rFonts w:ascii="Times New Roman" w:hAnsi="Times New Roman" w:cs="Times New Roman"/>
          <w:sz w:val="24"/>
          <w:szCs w:val="24"/>
        </w:rPr>
        <w:t>cell stack.</w:t>
      </w:r>
    </w:p>
    <w:p w14:paraId="28C6198A" w14:textId="7A5FC0D1" w:rsidR="00C356B8" w:rsidRPr="002C224F" w:rsidRDefault="009A254A" w:rsidP="00F151BC">
      <w:pPr>
        <w:spacing w:before="240" w:line="360" w:lineRule="auto"/>
        <w:jc w:val="both"/>
        <w:rPr>
          <w:rFonts w:ascii="Times New Roman" w:hAnsi="Times New Roman" w:cs="Times New Roman"/>
          <w:b/>
          <w:bCs/>
          <w:sz w:val="24"/>
          <w:szCs w:val="24"/>
        </w:rPr>
      </w:pPr>
      <w:r w:rsidRPr="002C224F">
        <w:rPr>
          <w:rFonts w:ascii="Times New Roman" w:hAnsi="Times New Roman" w:cs="Times New Roman"/>
          <w:b/>
          <w:bCs/>
          <w:sz w:val="24"/>
          <w:szCs w:val="24"/>
        </w:rPr>
        <w:t>References</w:t>
      </w:r>
    </w:p>
    <w:p w14:paraId="46182EA0" w14:textId="143AC686" w:rsidR="001135B5" w:rsidRPr="001135B5" w:rsidRDefault="00150B08" w:rsidP="00F151BC">
      <w:pPr>
        <w:widowControl w:val="0"/>
        <w:autoSpaceDE w:val="0"/>
        <w:autoSpaceDN w:val="0"/>
        <w:adjustRightInd w:val="0"/>
        <w:spacing w:before="240" w:line="360" w:lineRule="auto"/>
        <w:rPr>
          <w:rFonts w:ascii="Times New Roman" w:hAnsi="Times New Roman" w:cs="Times New Roman"/>
          <w:noProof/>
          <w:sz w:val="24"/>
          <w:szCs w:val="24"/>
        </w:rPr>
      </w:pPr>
      <w:r w:rsidRPr="002C224F">
        <w:rPr>
          <w:rFonts w:ascii="Times New Roman" w:hAnsi="Times New Roman" w:cs="Times New Roman"/>
          <w:sz w:val="24"/>
          <w:szCs w:val="24"/>
        </w:rPr>
        <w:fldChar w:fldCharType="begin" w:fldLock="1"/>
      </w:r>
      <w:r w:rsidRPr="002C224F">
        <w:rPr>
          <w:rFonts w:ascii="Times New Roman" w:hAnsi="Times New Roman" w:cs="Times New Roman"/>
          <w:sz w:val="24"/>
          <w:szCs w:val="24"/>
        </w:rPr>
        <w:instrText xml:space="preserve">ADDIN Mendeley Bibliography CSL_BIBLIOGRAPHY </w:instrText>
      </w:r>
      <w:r w:rsidRPr="002C224F">
        <w:rPr>
          <w:rFonts w:ascii="Times New Roman" w:hAnsi="Times New Roman" w:cs="Times New Roman"/>
          <w:sz w:val="24"/>
          <w:szCs w:val="24"/>
        </w:rPr>
        <w:fldChar w:fldCharType="separate"/>
      </w:r>
      <w:r w:rsidR="001135B5" w:rsidRPr="001135B5">
        <w:rPr>
          <w:rFonts w:ascii="Times New Roman" w:hAnsi="Times New Roman" w:cs="Times New Roman"/>
          <w:noProof/>
          <w:sz w:val="24"/>
          <w:szCs w:val="24"/>
          <w:vertAlign w:val="superscript"/>
        </w:rPr>
        <w:t>1</w:t>
      </w:r>
      <w:r w:rsidR="001135B5" w:rsidRPr="001135B5">
        <w:rPr>
          <w:rFonts w:ascii="Times New Roman" w:hAnsi="Times New Roman" w:cs="Times New Roman"/>
          <w:noProof/>
          <w:sz w:val="24"/>
          <w:szCs w:val="24"/>
        </w:rPr>
        <w:t xml:space="preserve"> M. Mayur, M. Gerard, P. Schott, and W.G. Bessler, Energies </w:t>
      </w:r>
      <w:r w:rsidR="001135B5" w:rsidRPr="001135B5">
        <w:rPr>
          <w:rFonts w:ascii="Times New Roman" w:hAnsi="Times New Roman" w:cs="Times New Roman"/>
          <w:b/>
          <w:bCs/>
          <w:noProof/>
          <w:sz w:val="24"/>
          <w:szCs w:val="24"/>
        </w:rPr>
        <w:t>11</w:t>
      </w:r>
      <w:r w:rsidR="001135B5" w:rsidRPr="001135B5">
        <w:rPr>
          <w:rFonts w:ascii="Times New Roman" w:hAnsi="Times New Roman" w:cs="Times New Roman"/>
          <w:noProof/>
          <w:sz w:val="24"/>
          <w:szCs w:val="24"/>
        </w:rPr>
        <w:t>, (2018).</w:t>
      </w:r>
    </w:p>
    <w:p w14:paraId="28C19880" w14:textId="77777777" w:rsidR="001135B5" w:rsidRPr="001135B5" w:rsidRDefault="001135B5" w:rsidP="00F151BC">
      <w:pPr>
        <w:widowControl w:val="0"/>
        <w:autoSpaceDE w:val="0"/>
        <w:autoSpaceDN w:val="0"/>
        <w:adjustRightInd w:val="0"/>
        <w:spacing w:before="240" w:line="360" w:lineRule="auto"/>
        <w:rPr>
          <w:rFonts w:ascii="Times New Roman" w:hAnsi="Times New Roman" w:cs="Times New Roman"/>
          <w:noProof/>
          <w:sz w:val="24"/>
        </w:rPr>
      </w:pPr>
      <w:r w:rsidRPr="001135B5">
        <w:rPr>
          <w:rFonts w:ascii="Times New Roman" w:hAnsi="Times New Roman" w:cs="Times New Roman"/>
          <w:noProof/>
          <w:sz w:val="24"/>
          <w:szCs w:val="24"/>
          <w:vertAlign w:val="superscript"/>
        </w:rPr>
        <w:t>2</w:t>
      </w:r>
      <w:r w:rsidRPr="001135B5">
        <w:rPr>
          <w:rFonts w:ascii="Times New Roman" w:hAnsi="Times New Roman" w:cs="Times New Roman"/>
          <w:noProof/>
          <w:sz w:val="24"/>
          <w:szCs w:val="24"/>
        </w:rPr>
        <w:t xml:space="preserve"> M. kannan V, Design and Development of High Performance Scaled up Pem Fuel Cell by Flow Channel Modifications, Anna University, 2020.</w:t>
      </w:r>
    </w:p>
    <w:p w14:paraId="4674FE46" w14:textId="0C4A7999" w:rsidR="00150B08" w:rsidRPr="002C224F" w:rsidRDefault="00150B08" w:rsidP="00F151BC">
      <w:pPr>
        <w:widowControl w:val="0"/>
        <w:autoSpaceDE w:val="0"/>
        <w:autoSpaceDN w:val="0"/>
        <w:adjustRightInd w:val="0"/>
        <w:spacing w:before="240" w:line="360" w:lineRule="auto"/>
        <w:ind w:left="640" w:hanging="640"/>
        <w:jc w:val="both"/>
        <w:rPr>
          <w:rFonts w:ascii="Times New Roman" w:hAnsi="Times New Roman" w:cs="Times New Roman"/>
          <w:sz w:val="24"/>
          <w:szCs w:val="24"/>
        </w:rPr>
      </w:pPr>
      <w:r w:rsidRPr="002C224F">
        <w:rPr>
          <w:rFonts w:ascii="Times New Roman" w:hAnsi="Times New Roman" w:cs="Times New Roman"/>
          <w:sz w:val="24"/>
          <w:szCs w:val="24"/>
        </w:rPr>
        <w:fldChar w:fldCharType="end"/>
      </w:r>
    </w:p>
    <w:sectPr w:rsidR="00150B08" w:rsidRPr="002C22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81C0C"/>
    <w:multiLevelType w:val="multilevel"/>
    <w:tmpl w:val="42DAF8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57118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913"/>
    <w:rsid w:val="000D65FB"/>
    <w:rsid w:val="001042A3"/>
    <w:rsid w:val="001135B5"/>
    <w:rsid w:val="00150B08"/>
    <w:rsid w:val="002073AF"/>
    <w:rsid w:val="00216F80"/>
    <w:rsid w:val="00267892"/>
    <w:rsid w:val="00295C8D"/>
    <w:rsid w:val="002B5F12"/>
    <w:rsid w:val="002C224F"/>
    <w:rsid w:val="002D2D5D"/>
    <w:rsid w:val="00312554"/>
    <w:rsid w:val="00313B48"/>
    <w:rsid w:val="00317CD3"/>
    <w:rsid w:val="00322E4A"/>
    <w:rsid w:val="003324CF"/>
    <w:rsid w:val="00390186"/>
    <w:rsid w:val="003A53A7"/>
    <w:rsid w:val="004278C1"/>
    <w:rsid w:val="00441720"/>
    <w:rsid w:val="00494838"/>
    <w:rsid w:val="005057D3"/>
    <w:rsid w:val="005633BF"/>
    <w:rsid w:val="005959F5"/>
    <w:rsid w:val="00664913"/>
    <w:rsid w:val="006A65D7"/>
    <w:rsid w:val="006F10F7"/>
    <w:rsid w:val="007124E0"/>
    <w:rsid w:val="00765BA2"/>
    <w:rsid w:val="00896D4F"/>
    <w:rsid w:val="0093646B"/>
    <w:rsid w:val="009A254A"/>
    <w:rsid w:val="00A105BD"/>
    <w:rsid w:val="00A23E10"/>
    <w:rsid w:val="00A542EB"/>
    <w:rsid w:val="00A635A3"/>
    <w:rsid w:val="00AF185B"/>
    <w:rsid w:val="00B96BC0"/>
    <w:rsid w:val="00BA43B3"/>
    <w:rsid w:val="00BA4963"/>
    <w:rsid w:val="00BF2F21"/>
    <w:rsid w:val="00C356B8"/>
    <w:rsid w:val="00C4103D"/>
    <w:rsid w:val="00D30037"/>
    <w:rsid w:val="00D31496"/>
    <w:rsid w:val="00D93043"/>
    <w:rsid w:val="00DD2A9C"/>
    <w:rsid w:val="00E05021"/>
    <w:rsid w:val="00E81CF0"/>
    <w:rsid w:val="00EA7D3A"/>
    <w:rsid w:val="00ED2876"/>
    <w:rsid w:val="00F151BC"/>
    <w:rsid w:val="00F545C6"/>
    <w:rsid w:val="00FA6FB5"/>
    <w:rsid w:val="00FE3AE1"/>
    <w:rsid w:val="0AAD28D6"/>
    <w:rsid w:val="385042A5"/>
    <w:rsid w:val="3E4273DE"/>
    <w:rsid w:val="63364EC3"/>
    <w:rsid w:val="726355C1"/>
    <w:rsid w:val="7A0A0FDB"/>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61947"/>
  <w15:docId w15:val="{4DC5EC22-8AF8-4FC9-B6B6-3CC13998B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style>
  <w:style w:type="character" w:styleId="Hyperlink">
    <w:name w:val="Hyperlink"/>
    <w:basedOn w:val="DefaultParagraphFont"/>
    <w:uiPriority w:val="99"/>
    <w:unhideWhenUsed/>
    <w:qFormat/>
    <w:rPr>
      <w:color w:val="0563C1" w:themeColor="hyperlink"/>
      <w:u w:val="single"/>
    </w:rPr>
  </w:style>
  <w:style w:type="character" w:customStyle="1" w:styleId="CommentTextChar">
    <w:name w:val="Comment Text Char"/>
    <w:basedOn w:val="DefaultParagraphFont"/>
    <w:link w:val="CommentText"/>
    <w:rPr>
      <w:rFonts w:eastAsiaTheme="minorEastAsia"/>
      <w:sz w:val="20"/>
      <w:szCs w:val="20"/>
      <w:lang w:val="en-US" w:eastAsia="zh-CN"/>
    </w:rPr>
  </w:style>
  <w:style w:type="character" w:customStyle="1" w:styleId="BalloonTextChar">
    <w:name w:val="Balloon Text Char"/>
    <w:basedOn w:val="DefaultParagraphFont"/>
    <w:link w:val="BalloonText"/>
    <w:uiPriority w:val="99"/>
    <w:semiHidden/>
    <w:rPr>
      <w:rFonts w:ascii="Segoe UI" w:eastAsiaTheme="minorEastAsia" w:hAnsi="Segoe UI" w:cs="Segoe UI"/>
      <w:sz w:val="18"/>
      <w:szCs w:val="18"/>
      <w:lang w:val="en-US" w:eastAsia="zh-CN"/>
    </w:rPr>
  </w:style>
  <w:style w:type="paragraph" w:customStyle="1" w:styleId="Authors">
    <w:name w:val="Authors"/>
    <w:basedOn w:val="Normal"/>
    <w:rsid w:val="002D2D5D"/>
    <w:pPr>
      <w:spacing w:before="120" w:after="360"/>
      <w:jc w:val="center"/>
    </w:pPr>
    <w:rPr>
      <w:rFonts w:ascii="Times New Roman" w:eastAsia="Times New Roman" w:hAnsi="Times New Roman" w:cs="Times New Roman"/>
      <w:sz w:val="24"/>
      <w:szCs w:val="24"/>
      <w:lang w:eastAsia="en-US"/>
    </w:rPr>
  </w:style>
  <w:style w:type="paragraph" w:customStyle="1" w:styleId="ExperimentalText">
    <w:name w:val="Experimental Text"/>
    <w:basedOn w:val="Normal"/>
    <w:link w:val="ExperimentalTextChar"/>
    <w:rsid w:val="00F151BC"/>
    <w:pPr>
      <w:spacing w:line="480" w:lineRule="auto"/>
    </w:pPr>
    <w:rPr>
      <w:rFonts w:ascii="Times New Roman" w:eastAsia="MS Mincho" w:hAnsi="Times New Roman" w:cs="Times New Roman"/>
      <w:sz w:val="24"/>
      <w:szCs w:val="24"/>
      <w:lang w:eastAsia="ja-JP"/>
    </w:rPr>
  </w:style>
  <w:style w:type="character" w:customStyle="1" w:styleId="ExperimentalTextChar">
    <w:name w:val="Experimental Text Char"/>
    <w:link w:val="ExperimentalText"/>
    <w:rsid w:val="00F151BC"/>
    <w:rPr>
      <w:rFonts w:ascii="Times New Roman" w:eastAsia="MS Mincho" w:hAnsi="Times New Roman" w:cs="Times New Roman"/>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3" Type="http://schemas.openxmlformats.org/officeDocument/2006/relationships/numbering" Target="numbering.xml"/><Relationship Id="rId7" Type="http://schemas.openxmlformats.org/officeDocument/2006/relationships/hyperlink" Target="mailto:apk.auto@psgtech.ac.in"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D94007-847D-4133-B7C2-E87BA34F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1493</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thunder rajan</dc:creator>
  <cp:lastModifiedBy>David Campling</cp:lastModifiedBy>
  <cp:revision>2</cp:revision>
  <dcterms:created xsi:type="dcterms:W3CDTF">2023-01-26T15:19:00Z</dcterms:created>
  <dcterms:modified xsi:type="dcterms:W3CDTF">2023-01-26T15:19:00Z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76900771B1C2408ABE904FBD9AC431C4</vt:lpwstr>
  </property>
  <property fmtid="{D5CDD505-2E9C-101B-9397-08002B2CF9AE}" pid="4" name="Mendeley Recent Style Id 0_1">
    <vt:lpwstr>http://www.zotero.org/styles/aip-advances</vt:lpwstr>
  </property>
  <property fmtid="{D5CDD505-2E9C-101B-9397-08002B2CF9AE}" pid="5" name="Mendeley Recent Style Name 0_1">
    <vt:lpwstr>AIP Advances</vt:lpwstr>
  </property>
  <property fmtid="{D5CDD505-2E9C-101B-9397-08002B2CF9AE}" pid="6" name="Mendeley Recent Style Id 1_1">
    <vt:lpwstr>http://www.zotero.org/styles/apl-materials</vt:lpwstr>
  </property>
  <property fmtid="{D5CDD505-2E9C-101B-9397-08002B2CF9AE}" pid="7" name="Mendeley Recent Style Name 1_1">
    <vt:lpwstr>APL Materials</vt:lpwstr>
  </property>
  <property fmtid="{D5CDD505-2E9C-101B-9397-08002B2CF9AE}" pid="8" name="Mendeley Recent Style Id 2_1">
    <vt:lpwstr>http://www.zotero.org/styles/cambridge-archaeological-journal</vt:lpwstr>
  </property>
  <property fmtid="{D5CDD505-2E9C-101B-9397-08002B2CF9AE}" pid="9" name="Mendeley Recent Style Name 2_1">
    <vt:lpwstr>Cambridge Archaeological Journal</vt:lpwstr>
  </property>
  <property fmtid="{D5CDD505-2E9C-101B-9397-08002B2CF9AE}" pid="10" name="Mendeley Recent Style Id 3_1">
    <vt:lpwstr>http://www.zotero.org/styles/cambridge-journal-of-education</vt:lpwstr>
  </property>
  <property fmtid="{D5CDD505-2E9C-101B-9397-08002B2CF9AE}" pid="11" name="Mendeley Recent Style Name 3_1">
    <vt:lpwstr>Cambridge Journal of Education</vt:lpwstr>
  </property>
  <property fmtid="{D5CDD505-2E9C-101B-9397-08002B2CF9AE}" pid="12" name="Mendeley Recent Style Id 4_1">
    <vt:lpwstr>http://www.zotero.org/styles/cambridge-university-press-numeric</vt:lpwstr>
  </property>
  <property fmtid="{D5CDD505-2E9C-101B-9397-08002B2CF9AE}" pid="13" name="Mendeley Recent Style Name 4_1">
    <vt:lpwstr>Cambridge University Press (numeric)</vt:lpwstr>
  </property>
  <property fmtid="{D5CDD505-2E9C-101B-9397-08002B2CF9AE}" pid="14" name="Mendeley Recent Style Id 5_1">
    <vt:lpwstr>http://www.zotero.org/styles/international-journal-of-hydrogen-energy</vt:lpwstr>
  </property>
  <property fmtid="{D5CDD505-2E9C-101B-9397-08002B2CF9AE}" pid="15" name="Mendeley Recent Style Name 5_1">
    <vt:lpwstr>International Journal of Hydrogen Energy</vt:lpwstr>
  </property>
  <property fmtid="{D5CDD505-2E9C-101B-9397-08002B2CF9AE}" pid="16" name="Mendeley Recent Style Id 6_1">
    <vt:lpwstr>http://www.zotero.org/styles/journal-of-the-electrochemical-society</vt:lpwstr>
  </property>
  <property fmtid="{D5CDD505-2E9C-101B-9397-08002B2CF9AE}" pid="17" name="Mendeley Recent Style Name 6_1">
    <vt:lpwstr>Journal of The Electrochemical Society</vt:lpwstr>
  </property>
  <property fmtid="{D5CDD505-2E9C-101B-9397-08002B2CF9AE}" pid="18" name="Mendeley Recent Style Id 7_1">
    <vt:lpwstr>http://www.zotero.org/styles/materials-today-communications</vt:lpwstr>
  </property>
  <property fmtid="{D5CDD505-2E9C-101B-9397-08002B2CF9AE}" pid="19" name="Mendeley Recent Style Name 7_1">
    <vt:lpwstr>Materials Today Communications</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e15ae0f4-201f-3781-9f8c-a2ce7b498b0a</vt:lpwstr>
  </property>
  <property fmtid="{D5CDD505-2E9C-101B-9397-08002B2CF9AE}" pid="26" name="Mendeley Citation Style_1">
    <vt:lpwstr>http://www.zotero.org/styles/apl-materials</vt:lpwstr>
  </property>
</Properties>
</file>