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72F28" w14:textId="11D2B48F" w:rsidR="00973B1A" w:rsidRDefault="00973B1A" w:rsidP="00973B1A">
      <w:pPr>
        <w:pStyle w:val="Title"/>
      </w:pPr>
      <w:r>
        <w:t xml:space="preserve">Supplementary information </w:t>
      </w:r>
      <w:r w:rsidR="00483A9C">
        <w:t>on Heat Pump Performance Model</w:t>
      </w:r>
    </w:p>
    <w:p w14:paraId="5B658E91" w14:textId="2B338B25" w:rsidR="00483A9C" w:rsidRPr="00483A9C" w:rsidRDefault="00F04891" w:rsidP="00483A9C">
      <w:r>
        <w:t>This supplementary information describes in more detail the number of heat pumps used in the model, and the applicability of the model at low outdoor air temperature</w:t>
      </w:r>
      <w:r w:rsidR="00C00485">
        <w:t>s.</w:t>
      </w:r>
    </w:p>
    <w:p w14:paraId="69DD8778" w14:textId="254D1CD0" w:rsidR="00AF26C7" w:rsidRDefault="00D108C8" w:rsidP="00AF26C7">
      <w:pPr>
        <w:pStyle w:val="Heading1"/>
      </w:pPr>
      <w:r>
        <w:t>N</w:t>
      </w:r>
      <w:r w:rsidR="002A6364">
        <w:t xml:space="preserve">umber of heat pumps in </w:t>
      </w:r>
      <w:r w:rsidR="00FB6D51">
        <w:t>COP</w:t>
      </w:r>
      <w:r w:rsidR="002A6364">
        <w:t xml:space="preserve"> model</w:t>
      </w:r>
    </w:p>
    <w:p w14:paraId="7B55996C" w14:textId="2CE9A1F5" w:rsidR="002A6364" w:rsidRDefault="00142E6F" w:rsidP="002A6364">
      <w:r>
        <w:t>A criterion was applied of the minimum number of heat pumps present in the sample with valid data</w:t>
      </w:r>
      <w:r w:rsidR="007C31E9">
        <w:t xml:space="preserve"> on a given day, for data from that day to be included in the heat pump performance model.</w:t>
      </w:r>
      <w:r w:rsidR="002C04BF">
        <w:t xml:space="preserve"> Because the </w:t>
      </w:r>
      <w:r w:rsidR="007C548B">
        <w:t>number of heat pumps available was different for the different performance models, depending on which heat pump type and performance level was of interest, the criterion of the minimum allowable number of heat pumps was also varied.</w:t>
      </w:r>
      <w:r w:rsidR="008B7FC5">
        <w:t xml:space="preserve"> The criteria applied, and the actual number of heat pumps in the s</w:t>
      </w:r>
      <w:r w:rsidR="003F4D85">
        <w:t>ample are given for ASHP and GSHP models in Tables 1 and 2 respectively.</w:t>
      </w:r>
    </w:p>
    <w:p w14:paraId="13051BEA" w14:textId="3EE2D35C" w:rsidR="00711189" w:rsidRDefault="00711189" w:rsidP="00711189">
      <w:pPr>
        <w:pStyle w:val="Caption"/>
        <w:keepNext/>
      </w:pPr>
      <w:r>
        <w:t xml:space="preserve">Table </w:t>
      </w:r>
      <w:fldSimple w:instr=" SEQ Table \* ARABIC ">
        <w:r w:rsidR="00BA2879">
          <w:rPr>
            <w:noProof/>
          </w:rPr>
          <w:t>1</w:t>
        </w:r>
      </w:fldSimple>
      <w:r>
        <w:t>: Further detail on ASHP performance models</w:t>
      </w:r>
    </w:p>
    <w:tbl>
      <w:tblPr>
        <w:tblStyle w:val="TableGrid"/>
        <w:tblW w:w="9067" w:type="dxa"/>
        <w:tblLook w:val="04A0" w:firstRow="1" w:lastRow="0" w:firstColumn="1" w:lastColumn="0" w:noHBand="0" w:noVBand="1"/>
      </w:tblPr>
      <w:tblGrid>
        <w:gridCol w:w="3359"/>
        <w:gridCol w:w="1881"/>
        <w:gridCol w:w="1985"/>
        <w:gridCol w:w="1842"/>
      </w:tblGrid>
      <w:tr w:rsidR="0034132F" w:rsidRPr="00ED20D6" w14:paraId="51903424" w14:textId="77777777" w:rsidTr="00ED20D6">
        <w:trPr>
          <w:trHeight w:val="288"/>
        </w:trPr>
        <w:tc>
          <w:tcPr>
            <w:tcW w:w="3359" w:type="dxa"/>
            <w:noWrap/>
            <w:hideMark/>
          </w:tcPr>
          <w:p w14:paraId="1EFC8038" w14:textId="73D5135E" w:rsidR="0034132F" w:rsidRPr="00ED20D6" w:rsidRDefault="0034132F" w:rsidP="00ED20D6">
            <w:pPr>
              <w:rPr>
                <w:sz w:val="20"/>
                <w:szCs w:val="20"/>
              </w:rPr>
            </w:pPr>
          </w:p>
        </w:tc>
        <w:tc>
          <w:tcPr>
            <w:tcW w:w="1881" w:type="dxa"/>
            <w:noWrap/>
            <w:hideMark/>
          </w:tcPr>
          <w:p w14:paraId="57CF9E43" w14:textId="52D91BBE" w:rsidR="0034132F" w:rsidRPr="00ED20D6" w:rsidRDefault="00711189" w:rsidP="00ED20D6">
            <w:pPr>
              <w:rPr>
                <w:b/>
                <w:bCs/>
                <w:sz w:val="20"/>
                <w:szCs w:val="20"/>
              </w:rPr>
            </w:pPr>
            <w:r w:rsidRPr="00ED20D6">
              <w:rPr>
                <w:b/>
                <w:bCs/>
                <w:sz w:val="20"/>
                <w:szCs w:val="20"/>
              </w:rPr>
              <w:t>SPF</w:t>
            </w:r>
            <w:r w:rsidRPr="00ED20D6">
              <w:rPr>
                <w:b/>
                <w:bCs/>
                <w:sz w:val="20"/>
                <w:szCs w:val="20"/>
                <w:vertAlign w:val="subscript"/>
              </w:rPr>
              <w:t>H4</w:t>
            </w:r>
            <w:r w:rsidRPr="00ED20D6">
              <w:rPr>
                <w:b/>
                <w:bCs/>
                <w:sz w:val="20"/>
                <w:szCs w:val="20"/>
              </w:rPr>
              <w:t>&gt;1.5 (Current performance)</w:t>
            </w:r>
          </w:p>
        </w:tc>
        <w:tc>
          <w:tcPr>
            <w:tcW w:w="1985" w:type="dxa"/>
            <w:noWrap/>
            <w:hideMark/>
          </w:tcPr>
          <w:p w14:paraId="52F759D7" w14:textId="7B9AF0E5" w:rsidR="0034132F" w:rsidRPr="00ED20D6" w:rsidRDefault="00711189" w:rsidP="00ED20D6">
            <w:pPr>
              <w:rPr>
                <w:b/>
                <w:bCs/>
                <w:sz w:val="20"/>
                <w:szCs w:val="20"/>
              </w:rPr>
            </w:pPr>
            <w:r w:rsidRPr="00ED20D6">
              <w:rPr>
                <w:b/>
                <w:bCs/>
                <w:sz w:val="20"/>
                <w:szCs w:val="20"/>
              </w:rPr>
              <w:t>SPF</w:t>
            </w:r>
            <w:r w:rsidRPr="00ED20D6">
              <w:rPr>
                <w:b/>
                <w:bCs/>
                <w:sz w:val="20"/>
                <w:szCs w:val="20"/>
                <w:vertAlign w:val="subscript"/>
              </w:rPr>
              <w:t>H4</w:t>
            </w:r>
            <w:r w:rsidRPr="00ED20D6">
              <w:rPr>
                <w:b/>
                <w:bCs/>
                <w:sz w:val="20"/>
                <w:szCs w:val="20"/>
              </w:rPr>
              <w:t>&gt;2.5 (Good performance)</w:t>
            </w:r>
          </w:p>
        </w:tc>
        <w:tc>
          <w:tcPr>
            <w:tcW w:w="1842" w:type="dxa"/>
            <w:noWrap/>
            <w:hideMark/>
          </w:tcPr>
          <w:p w14:paraId="763E5D5A" w14:textId="7C3C8666" w:rsidR="0034132F" w:rsidRPr="00ED20D6" w:rsidRDefault="00711189" w:rsidP="00ED20D6">
            <w:pPr>
              <w:rPr>
                <w:b/>
                <w:bCs/>
                <w:sz w:val="20"/>
                <w:szCs w:val="20"/>
              </w:rPr>
            </w:pPr>
            <w:r w:rsidRPr="00ED20D6">
              <w:rPr>
                <w:b/>
                <w:bCs/>
                <w:sz w:val="20"/>
                <w:szCs w:val="20"/>
              </w:rPr>
              <w:t>SPF</w:t>
            </w:r>
            <w:r w:rsidRPr="00ED20D6">
              <w:rPr>
                <w:b/>
                <w:bCs/>
                <w:sz w:val="20"/>
                <w:szCs w:val="20"/>
                <w:vertAlign w:val="subscript"/>
              </w:rPr>
              <w:t>H4</w:t>
            </w:r>
            <w:r w:rsidRPr="00ED20D6">
              <w:rPr>
                <w:b/>
                <w:bCs/>
                <w:sz w:val="20"/>
                <w:szCs w:val="20"/>
              </w:rPr>
              <w:t>&gt;3 (Very good performance)</w:t>
            </w:r>
          </w:p>
        </w:tc>
      </w:tr>
      <w:tr w:rsidR="0034132F" w:rsidRPr="00ED20D6" w14:paraId="422E30B7" w14:textId="77777777" w:rsidTr="00ED20D6">
        <w:trPr>
          <w:trHeight w:val="288"/>
        </w:trPr>
        <w:tc>
          <w:tcPr>
            <w:tcW w:w="3359" w:type="dxa"/>
            <w:noWrap/>
            <w:hideMark/>
          </w:tcPr>
          <w:p w14:paraId="242D1907" w14:textId="20C1A65D" w:rsidR="0034132F" w:rsidRPr="00ED20D6" w:rsidRDefault="001D58BB" w:rsidP="00ED20D6">
            <w:pPr>
              <w:rPr>
                <w:sz w:val="20"/>
                <w:szCs w:val="20"/>
              </w:rPr>
            </w:pPr>
            <w:r>
              <w:rPr>
                <w:sz w:val="20"/>
                <w:szCs w:val="20"/>
              </w:rPr>
              <w:t xml:space="preserve">Gradient </w:t>
            </w:r>
            <w:r w:rsidR="0034132F" w:rsidRPr="00ED20D6">
              <w:rPr>
                <w:sz w:val="20"/>
                <w:szCs w:val="20"/>
              </w:rPr>
              <w:t>m</w:t>
            </w:r>
            <w:r w:rsidR="0034132F" w:rsidRPr="001D58BB">
              <w:rPr>
                <w:sz w:val="20"/>
                <w:szCs w:val="20"/>
                <w:vertAlign w:val="subscript"/>
              </w:rPr>
              <w:t>1</w:t>
            </w:r>
          </w:p>
        </w:tc>
        <w:tc>
          <w:tcPr>
            <w:tcW w:w="1881" w:type="dxa"/>
            <w:noWrap/>
            <w:hideMark/>
          </w:tcPr>
          <w:p w14:paraId="7125F41C" w14:textId="77777777" w:rsidR="0034132F" w:rsidRPr="00ED20D6" w:rsidRDefault="0034132F" w:rsidP="00ED20D6">
            <w:pPr>
              <w:rPr>
                <w:sz w:val="20"/>
                <w:szCs w:val="20"/>
              </w:rPr>
            </w:pPr>
            <w:r w:rsidRPr="00ED20D6">
              <w:rPr>
                <w:sz w:val="20"/>
                <w:szCs w:val="20"/>
              </w:rPr>
              <w:t>0.06</w:t>
            </w:r>
          </w:p>
        </w:tc>
        <w:tc>
          <w:tcPr>
            <w:tcW w:w="1985" w:type="dxa"/>
            <w:noWrap/>
            <w:hideMark/>
          </w:tcPr>
          <w:p w14:paraId="5812DCD1" w14:textId="77777777" w:rsidR="0034132F" w:rsidRPr="00ED20D6" w:rsidRDefault="0034132F" w:rsidP="00ED20D6">
            <w:pPr>
              <w:rPr>
                <w:sz w:val="20"/>
                <w:szCs w:val="20"/>
              </w:rPr>
            </w:pPr>
            <w:r w:rsidRPr="00ED20D6">
              <w:rPr>
                <w:sz w:val="20"/>
                <w:szCs w:val="20"/>
              </w:rPr>
              <w:t>0.07</w:t>
            </w:r>
          </w:p>
        </w:tc>
        <w:tc>
          <w:tcPr>
            <w:tcW w:w="1842" w:type="dxa"/>
            <w:noWrap/>
            <w:hideMark/>
          </w:tcPr>
          <w:p w14:paraId="66AE277F" w14:textId="77777777" w:rsidR="0034132F" w:rsidRPr="00ED20D6" w:rsidRDefault="0034132F" w:rsidP="00ED20D6">
            <w:pPr>
              <w:rPr>
                <w:sz w:val="20"/>
                <w:szCs w:val="20"/>
              </w:rPr>
            </w:pPr>
            <w:r w:rsidRPr="00ED20D6">
              <w:rPr>
                <w:sz w:val="20"/>
                <w:szCs w:val="20"/>
              </w:rPr>
              <w:t>0.08</w:t>
            </w:r>
          </w:p>
        </w:tc>
      </w:tr>
      <w:tr w:rsidR="0034132F" w:rsidRPr="00ED20D6" w14:paraId="27B4070A" w14:textId="77777777" w:rsidTr="00ED20D6">
        <w:trPr>
          <w:trHeight w:val="288"/>
        </w:trPr>
        <w:tc>
          <w:tcPr>
            <w:tcW w:w="3359" w:type="dxa"/>
            <w:noWrap/>
            <w:hideMark/>
          </w:tcPr>
          <w:p w14:paraId="010FC6CF" w14:textId="68D99CC9" w:rsidR="0034132F" w:rsidRPr="00ED20D6" w:rsidRDefault="001D58BB" w:rsidP="00ED20D6">
            <w:pPr>
              <w:rPr>
                <w:sz w:val="20"/>
                <w:szCs w:val="20"/>
              </w:rPr>
            </w:pPr>
            <w:r>
              <w:rPr>
                <w:sz w:val="20"/>
                <w:szCs w:val="20"/>
              </w:rPr>
              <w:t xml:space="preserve">Intercept </w:t>
            </w:r>
            <w:r w:rsidR="0034132F" w:rsidRPr="00ED20D6">
              <w:rPr>
                <w:sz w:val="20"/>
                <w:szCs w:val="20"/>
              </w:rPr>
              <w:t>c</w:t>
            </w:r>
            <w:r w:rsidR="0034132F" w:rsidRPr="001D58BB">
              <w:rPr>
                <w:sz w:val="20"/>
                <w:szCs w:val="20"/>
                <w:vertAlign w:val="subscript"/>
              </w:rPr>
              <w:t>1</w:t>
            </w:r>
          </w:p>
        </w:tc>
        <w:tc>
          <w:tcPr>
            <w:tcW w:w="1881" w:type="dxa"/>
            <w:noWrap/>
            <w:hideMark/>
          </w:tcPr>
          <w:p w14:paraId="554A9D02" w14:textId="77777777" w:rsidR="0034132F" w:rsidRPr="00ED20D6" w:rsidRDefault="0034132F" w:rsidP="00ED20D6">
            <w:pPr>
              <w:rPr>
                <w:sz w:val="20"/>
                <w:szCs w:val="20"/>
              </w:rPr>
            </w:pPr>
            <w:r w:rsidRPr="00ED20D6">
              <w:rPr>
                <w:sz w:val="20"/>
                <w:szCs w:val="20"/>
              </w:rPr>
              <w:t>2.07</w:t>
            </w:r>
          </w:p>
        </w:tc>
        <w:tc>
          <w:tcPr>
            <w:tcW w:w="1985" w:type="dxa"/>
            <w:noWrap/>
            <w:hideMark/>
          </w:tcPr>
          <w:p w14:paraId="2A763D35" w14:textId="77777777" w:rsidR="0034132F" w:rsidRPr="00ED20D6" w:rsidRDefault="0034132F" w:rsidP="00ED20D6">
            <w:pPr>
              <w:rPr>
                <w:sz w:val="20"/>
                <w:szCs w:val="20"/>
              </w:rPr>
            </w:pPr>
            <w:r w:rsidRPr="00ED20D6">
              <w:rPr>
                <w:sz w:val="20"/>
                <w:szCs w:val="20"/>
              </w:rPr>
              <w:t>2.46</w:t>
            </w:r>
          </w:p>
        </w:tc>
        <w:tc>
          <w:tcPr>
            <w:tcW w:w="1842" w:type="dxa"/>
            <w:noWrap/>
            <w:hideMark/>
          </w:tcPr>
          <w:p w14:paraId="1516D347" w14:textId="77777777" w:rsidR="0034132F" w:rsidRPr="00ED20D6" w:rsidRDefault="0034132F" w:rsidP="00ED20D6">
            <w:pPr>
              <w:rPr>
                <w:sz w:val="20"/>
                <w:szCs w:val="20"/>
              </w:rPr>
            </w:pPr>
            <w:r w:rsidRPr="00ED20D6">
              <w:rPr>
                <w:sz w:val="20"/>
                <w:szCs w:val="20"/>
              </w:rPr>
              <w:t>2.83</w:t>
            </w:r>
          </w:p>
        </w:tc>
      </w:tr>
      <w:tr w:rsidR="0034132F" w:rsidRPr="00ED20D6" w14:paraId="3C5B9AF0" w14:textId="77777777" w:rsidTr="00ED20D6">
        <w:trPr>
          <w:trHeight w:val="288"/>
        </w:trPr>
        <w:tc>
          <w:tcPr>
            <w:tcW w:w="3359" w:type="dxa"/>
            <w:noWrap/>
            <w:hideMark/>
          </w:tcPr>
          <w:p w14:paraId="407EBF9B" w14:textId="74345DFA" w:rsidR="0034132F" w:rsidRPr="00ED20D6" w:rsidRDefault="001D58BB" w:rsidP="00ED20D6">
            <w:pPr>
              <w:rPr>
                <w:sz w:val="20"/>
                <w:szCs w:val="20"/>
              </w:rPr>
            </w:pPr>
            <w:r>
              <w:rPr>
                <w:sz w:val="20"/>
                <w:szCs w:val="20"/>
              </w:rPr>
              <w:t xml:space="preserve">Gradient </w:t>
            </w:r>
            <w:r w:rsidR="0034132F" w:rsidRPr="00ED20D6">
              <w:rPr>
                <w:sz w:val="20"/>
                <w:szCs w:val="20"/>
              </w:rPr>
              <w:t>m</w:t>
            </w:r>
            <w:r w:rsidR="0034132F" w:rsidRPr="001D58BB">
              <w:rPr>
                <w:sz w:val="20"/>
                <w:szCs w:val="20"/>
                <w:vertAlign w:val="subscript"/>
              </w:rPr>
              <w:t>2</w:t>
            </w:r>
          </w:p>
        </w:tc>
        <w:tc>
          <w:tcPr>
            <w:tcW w:w="1881" w:type="dxa"/>
            <w:noWrap/>
            <w:hideMark/>
          </w:tcPr>
          <w:p w14:paraId="59898742" w14:textId="77777777" w:rsidR="0034132F" w:rsidRPr="00ED20D6" w:rsidRDefault="0034132F" w:rsidP="00ED20D6">
            <w:pPr>
              <w:rPr>
                <w:sz w:val="20"/>
                <w:szCs w:val="20"/>
              </w:rPr>
            </w:pPr>
            <w:r w:rsidRPr="00ED20D6">
              <w:rPr>
                <w:sz w:val="20"/>
                <w:szCs w:val="20"/>
              </w:rPr>
              <w:t>-0.09</w:t>
            </w:r>
          </w:p>
        </w:tc>
        <w:tc>
          <w:tcPr>
            <w:tcW w:w="1985" w:type="dxa"/>
            <w:noWrap/>
            <w:hideMark/>
          </w:tcPr>
          <w:p w14:paraId="0C16C2AD" w14:textId="77777777" w:rsidR="0034132F" w:rsidRPr="00ED20D6" w:rsidRDefault="0034132F" w:rsidP="00ED20D6">
            <w:pPr>
              <w:rPr>
                <w:sz w:val="20"/>
                <w:szCs w:val="20"/>
              </w:rPr>
            </w:pPr>
            <w:r w:rsidRPr="00ED20D6">
              <w:rPr>
                <w:sz w:val="20"/>
                <w:szCs w:val="20"/>
              </w:rPr>
              <w:t>-0.12</w:t>
            </w:r>
          </w:p>
        </w:tc>
        <w:tc>
          <w:tcPr>
            <w:tcW w:w="1842" w:type="dxa"/>
            <w:noWrap/>
            <w:hideMark/>
          </w:tcPr>
          <w:p w14:paraId="60371633" w14:textId="77777777" w:rsidR="0034132F" w:rsidRPr="00ED20D6" w:rsidRDefault="0034132F" w:rsidP="00ED20D6">
            <w:pPr>
              <w:rPr>
                <w:sz w:val="20"/>
                <w:szCs w:val="20"/>
              </w:rPr>
            </w:pPr>
            <w:r w:rsidRPr="00ED20D6">
              <w:rPr>
                <w:sz w:val="20"/>
                <w:szCs w:val="20"/>
              </w:rPr>
              <w:t>-0.15</w:t>
            </w:r>
          </w:p>
        </w:tc>
      </w:tr>
      <w:tr w:rsidR="0034132F" w:rsidRPr="00ED20D6" w14:paraId="3641C1DB" w14:textId="77777777" w:rsidTr="00ED20D6">
        <w:trPr>
          <w:trHeight w:val="288"/>
        </w:trPr>
        <w:tc>
          <w:tcPr>
            <w:tcW w:w="3359" w:type="dxa"/>
            <w:noWrap/>
            <w:hideMark/>
          </w:tcPr>
          <w:p w14:paraId="2153BF0F" w14:textId="6DAD3E44" w:rsidR="0034132F" w:rsidRPr="00ED20D6" w:rsidRDefault="001D58BB" w:rsidP="00ED20D6">
            <w:pPr>
              <w:rPr>
                <w:sz w:val="20"/>
                <w:szCs w:val="20"/>
              </w:rPr>
            </w:pPr>
            <w:r>
              <w:rPr>
                <w:sz w:val="20"/>
                <w:szCs w:val="20"/>
              </w:rPr>
              <w:t xml:space="preserve">Intercept </w:t>
            </w:r>
            <w:r w:rsidR="0034132F" w:rsidRPr="00ED20D6">
              <w:rPr>
                <w:sz w:val="20"/>
                <w:szCs w:val="20"/>
              </w:rPr>
              <w:t>c</w:t>
            </w:r>
            <w:r w:rsidR="0034132F" w:rsidRPr="001D58BB">
              <w:rPr>
                <w:sz w:val="20"/>
                <w:szCs w:val="20"/>
                <w:vertAlign w:val="subscript"/>
              </w:rPr>
              <w:t>2</w:t>
            </w:r>
          </w:p>
        </w:tc>
        <w:tc>
          <w:tcPr>
            <w:tcW w:w="1881" w:type="dxa"/>
            <w:noWrap/>
            <w:hideMark/>
          </w:tcPr>
          <w:p w14:paraId="24D55C12" w14:textId="77777777" w:rsidR="0034132F" w:rsidRPr="00ED20D6" w:rsidRDefault="0034132F" w:rsidP="00ED20D6">
            <w:pPr>
              <w:rPr>
                <w:sz w:val="20"/>
                <w:szCs w:val="20"/>
              </w:rPr>
            </w:pPr>
            <w:r w:rsidRPr="00ED20D6">
              <w:rPr>
                <w:sz w:val="20"/>
                <w:szCs w:val="20"/>
              </w:rPr>
              <w:t>3.29</w:t>
            </w:r>
          </w:p>
        </w:tc>
        <w:tc>
          <w:tcPr>
            <w:tcW w:w="1985" w:type="dxa"/>
            <w:noWrap/>
            <w:hideMark/>
          </w:tcPr>
          <w:p w14:paraId="2839EC2B" w14:textId="77777777" w:rsidR="0034132F" w:rsidRPr="00ED20D6" w:rsidRDefault="0034132F" w:rsidP="00ED20D6">
            <w:pPr>
              <w:rPr>
                <w:sz w:val="20"/>
                <w:szCs w:val="20"/>
              </w:rPr>
            </w:pPr>
            <w:r w:rsidRPr="00ED20D6">
              <w:rPr>
                <w:sz w:val="20"/>
                <w:szCs w:val="20"/>
              </w:rPr>
              <w:t>4.10</w:t>
            </w:r>
          </w:p>
        </w:tc>
        <w:tc>
          <w:tcPr>
            <w:tcW w:w="1842" w:type="dxa"/>
            <w:noWrap/>
            <w:hideMark/>
          </w:tcPr>
          <w:p w14:paraId="5125E7FD" w14:textId="77777777" w:rsidR="0034132F" w:rsidRPr="00ED20D6" w:rsidRDefault="0034132F" w:rsidP="00ED20D6">
            <w:pPr>
              <w:rPr>
                <w:sz w:val="20"/>
                <w:szCs w:val="20"/>
              </w:rPr>
            </w:pPr>
            <w:r w:rsidRPr="00ED20D6">
              <w:rPr>
                <w:sz w:val="20"/>
                <w:szCs w:val="20"/>
              </w:rPr>
              <w:t>4.97</w:t>
            </w:r>
          </w:p>
        </w:tc>
      </w:tr>
      <w:tr w:rsidR="0034132F" w:rsidRPr="00ED20D6" w14:paraId="78DC61E5" w14:textId="77777777" w:rsidTr="00ED20D6">
        <w:trPr>
          <w:trHeight w:val="288"/>
        </w:trPr>
        <w:tc>
          <w:tcPr>
            <w:tcW w:w="3359" w:type="dxa"/>
            <w:noWrap/>
            <w:hideMark/>
          </w:tcPr>
          <w:p w14:paraId="13B6CC72" w14:textId="77777777" w:rsidR="0034132F" w:rsidRPr="00ED20D6" w:rsidRDefault="0034132F" w:rsidP="00ED20D6">
            <w:pPr>
              <w:rPr>
                <w:sz w:val="20"/>
                <w:szCs w:val="20"/>
              </w:rPr>
            </w:pPr>
            <w:r w:rsidRPr="00ED20D6">
              <w:rPr>
                <w:sz w:val="20"/>
                <w:szCs w:val="20"/>
              </w:rPr>
              <w:t>r</w:t>
            </w:r>
            <w:r w:rsidRPr="00ED20D6">
              <w:rPr>
                <w:sz w:val="20"/>
                <w:szCs w:val="20"/>
                <w:vertAlign w:val="superscript"/>
              </w:rPr>
              <w:t>2</w:t>
            </w:r>
          </w:p>
        </w:tc>
        <w:tc>
          <w:tcPr>
            <w:tcW w:w="1881" w:type="dxa"/>
            <w:noWrap/>
            <w:hideMark/>
          </w:tcPr>
          <w:p w14:paraId="66CDFBBE" w14:textId="77777777" w:rsidR="0034132F" w:rsidRPr="00ED20D6" w:rsidRDefault="0034132F" w:rsidP="00ED20D6">
            <w:pPr>
              <w:rPr>
                <w:sz w:val="20"/>
                <w:szCs w:val="20"/>
              </w:rPr>
            </w:pPr>
            <w:r w:rsidRPr="00ED20D6">
              <w:rPr>
                <w:sz w:val="20"/>
                <w:szCs w:val="20"/>
              </w:rPr>
              <w:t>0.78</w:t>
            </w:r>
          </w:p>
        </w:tc>
        <w:tc>
          <w:tcPr>
            <w:tcW w:w="1985" w:type="dxa"/>
            <w:noWrap/>
            <w:hideMark/>
          </w:tcPr>
          <w:p w14:paraId="073F890F" w14:textId="77777777" w:rsidR="0034132F" w:rsidRPr="00ED20D6" w:rsidRDefault="0034132F" w:rsidP="00ED20D6">
            <w:pPr>
              <w:rPr>
                <w:sz w:val="20"/>
                <w:szCs w:val="20"/>
              </w:rPr>
            </w:pPr>
            <w:r w:rsidRPr="00ED20D6">
              <w:rPr>
                <w:sz w:val="20"/>
                <w:szCs w:val="20"/>
              </w:rPr>
              <w:t>0.74</w:t>
            </w:r>
          </w:p>
        </w:tc>
        <w:tc>
          <w:tcPr>
            <w:tcW w:w="1842" w:type="dxa"/>
            <w:noWrap/>
            <w:hideMark/>
          </w:tcPr>
          <w:p w14:paraId="2B79C08B" w14:textId="77777777" w:rsidR="0034132F" w:rsidRPr="00ED20D6" w:rsidRDefault="0034132F" w:rsidP="00ED20D6">
            <w:pPr>
              <w:rPr>
                <w:sz w:val="20"/>
                <w:szCs w:val="20"/>
              </w:rPr>
            </w:pPr>
            <w:r w:rsidRPr="00ED20D6">
              <w:rPr>
                <w:sz w:val="20"/>
                <w:szCs w:val="20"/>
              </w:rPr>
              <w:t>0.53</w:t>
            </w:r>
          </w:p>
        </w:tc>
      </w:tr>
      <w:tr w:rsidR="0034132F" w:rsidRPr="00ED20D6" w14:paraId="049F9FE6" w14:textId="77777777" w:rsidTr="00ED20D6">
        <w:trPr>
          <w:trHeight w:val="288"/>
        </w:trPr>
        <w:tc>
          <w:tcPr>
            <w:tcW w:w="3359" w:type="dxa"/>
            <w:noWrap/>
            <w:hideMark/>
          </w:tcPr>
          <w:p w14:paraId="39A48062" w14:textId="6A2DD4EF" w:rsidR="0034132F" w:rsidRPr="00ED20D6" w:rsidRDefault="002F07BA" w:rsidP="00ED20D6">
            <w:pPr>
              <w:rPr>
                <w:sz w:val="20"/>
                <w:szCs w:val="20"/>
              </w:rPr>
            </w:pPr>
            <w:proofErr w:type="gramStart"/>
            <w:r>
              <w:rPr>
                <w:sz w:val="20"/>
                <w:szCs w:val="20"/>
              </w:rPr>
              <w:t>B</w:t>
            </w:r>
            <w:r w:rsidR="0034132F" w:rsidRPr="00ED20D6">
              <w:rPr>
                <w:sz w:val="20"/>
                <w:szCs w:val="20"/>
              </w:rPr>
              <w:t>reak-</w:t>
            </w:r>
            <w:r>
              <w:rPr>
                <w:sz w:val="20"/>
                <w:szCs w:val="20"/>
              </w:rPr>
              <w:t>P</w:t>
            </w:r>
            <w:r w:rsidR="0034132F" w:rsidRPr="00ED20D6">
              <w:rPr>
                <w:sz w:val="20"/>
                <w:szCs w:val="20"/>
              </w:rPr>
              <w:t>oint</w:t>
            </w:r>
            <w:proofErr w:type="gramEnd"/>
            <w:r w:rsidR="0034132F" w:rsidRPr="00ED20D6">
              <w:rPr>
                <w:sz w:val="20"/>
                <w:szCs w:val="20"/>
              </w:rPr>
              <w:t xml:space="preserve"> (°C)</w:t>
            </w:r>
          </w:p>
        </w:tc>
        <w:tc>
          <w:tcPr>
            <w:tcW w:w="1881" w:type="dxa"/>
            <w:noWrap/>
            <w:hideMark/>
          </w:tcPr>
          <w:p w14:paraId="76DE028B" w14:textId="77777777" w:rsidR="0034132F" w:rsidRPr="00ED20D6" w:rsidRDefault="0034132F" w:rsidP="00ED20D6">
            <w:pPr>
              <w:rPr>
                <w:sz w:val="20"/>
                <w:szCs w:val="20"/>
              </w:rPr>
            </w:pPr>
            <w:r w:rsidRPr="00ED20D6">
              <w:rPr>
                <w:sz w:val="20"/>
                <w:szCs w:val="20"/>
              </w:rPr>
              <w:t>8.23</w:t>
            </w:r>
          </w:p>
        </w:tc>
        <w:tc>
          <w:tcPr>
            <w:tcW w:w="1985" w:type="dxa"/>
            <w:noWrap/>
            <w:hideMark/>
          </w:tcPr>
          <w:p w14:paraId="3E14919F" w14:textId="77777777" w:rsidR="0034132F" w:rsidRPr="00ED20D6" w:rsidRDefault="0034132F" w:rsidP="00ED20D6">
            <w:pPr>
              <w:rPr>
                <w:sz w:val="20"/>
                <w:szCs w:val="20"/>
              </w:rPr>
            </w:pPr>
            <w:r w:rsidRPr="00ED20D6">
              <w:rPr>
                <w:sz w:val="20"/>
                <w:szCs w:val="20"/>
              </w:rPr>
              <w:t>8.63</w:t>
            </w:r>
          </w:p>
        </w:tc>
        <w:tc>
          <w:tcPr>
            <w:tcW w:w="1842" w:type="dxa"/>
            <w:noWrap/>
            <w:hideMark/>
          </w:tcPr>
          <w:p w14:paraId="362355CE" w14:textId="77777777" w:rsidR="0034132F" w:rsidRPr="00ED20D6" w:rsidRDefault="0034132F" w:rsidP="00ED20D6">
            <w:pPr>
              <w:rPr>
                <w:sz w:val="20"/>
                <w:szCs w:val="20"/>
              </w:rPr>
            </w:pPr>
            <w:r w:rsidRPr="00ED20D6">
              <w:rPr>
                <w:sz w:val="20"/>
                <w:szCs w:val="20"/>
              </w:rPr>
              <w:t>9.47</w:t>
            </w:r>
          </w:p>
        </w:tc>
      </w:tr>
      <w:tr w:rsidR="00711189" w:rsidRPr="00ED20D6" w14:paraId="4C1381DD" w14:textId="77777777" w:rsidTr="00ED20D6">
        <w:trPr>
          <w:trHeight w:val="288"/>
        </w:trPr>
        <w:tc>
          <w:tcPr>
            <w:tcW w:w="3359" w:type="dxa"/>
            <w:noWrap/>
          </w:tcPr>
          <w:p w14:paraId="1D6305EC" w14:textId="49FC9356" w:rsidR="00711189" w:rsidRPr="00ED20D6" w:rsidRDefault="00711189" w:rsidP="00ED20D6">
            <w:pPr>
              <w:rPr>
                <w:sz w:val="20"/>
                <w:szCs w:val="20"/>
              </w:rPr>
            </w:pPr>
            <w:r w:rsidRPr="00ED20D6">
              <w:rPr>
                <w:sz w:val="20"/>
                <w:szCs w:val="20"/>
              </w:rPr>
              <w:t>Mean SPF</w:t>
            </w:r>
          </w:p>
        </w:tc>
        <w:tc>
          <w:tcPr>
            <w:tcW w:w="1881" w:type="dxa"/>
            <w:noWrap/>
          </w:tcPr>
          <w:p w14:paraId="7AE6E07C" w14:textId="6AE21B83" w:rsidR="00711189" w:rsidRPr="00ED20D6" w:rsidRDefault="00711189" w:rsidP="00ED20D6">
            <w:pPr>
              <w:rPr>
                <w:sz w:val="20"/>
                <w:szCs w:val="20"/>
              </w:rPr>
            </w:pPr>
            <w:r w:rsidRPr="00ED20D6">
              <w:rPr>
                <w:sz w:val="20"/>
                <w:szCs w:val="20"/>
              </w:rPr>
              <w:t>2.28</w:t>
            </w:r>
          </w:p>
        </w:tc>
        <w:tc>
          <w:tcPr>
            <w:tcW w:w="1985" w:type="dxa"/>
            <w:noWrap/>
          </w:tcPr>
          <w:p w14:paraId="063EE644" w14:textId="090F7BA0" w:rsidR="00711189" w:rsidRPr="00ED20D6" w:rsidRDefault="00711189" w:rsidP="00ED20D6">
            <w:pPr>
              <w:rPr>
                <w:sz w:val="20"/>
                <w:szCs w:val="20"/>
              </w:rPr>
            </w:pPr>
            <w:r w:rsidRPr="00ED20D6">
              <w:rPr>
                <w:sz w:val="20"/>
                <w:szCs w:val="20"/>
              </w:rPr>
              <w:t>2.77</w:t>
            </w:r>
          </w:p>
        </w:tc>
        <w:tc>
          <w:tcPr>
            <w:tcW w:w="1842" w:type="dxa"/>
            <w:noWrap/>
          </w:tcPr>
          <w:p w14:paraId="361483DD" w14:textId="395C11A6" w:rsidR="00711189" w:rsidRPr="00ED20D6" w:rsidRDefault="00711189" w:rsidP="00ED20D6">
            <w:pPr>
              <w:rPr>
                <w:sz w:val="20"/>
                <w:szCs w:val="20"/>
              </w:rPr>
            </w:pPr>
            <w:r w:rsidRPr="00ED20D6">
              <w:rPr>
                <w:sz w:val="20"/>
                <w:szCs w:val="20"/>
              </w:rPr>
              <w:t>3.28</w:t>
            </w:r>
          </w:p>
        </w:tc>
      </w:tr>
      <w:tr w:rsidR="009C020B" w:rsidRPr="00ED20D6" w14:paraId="59AB9EBE" w14:textId="77777777" w:rsidTr="00ED20D6">
        <w:trPr>
          <w:trHeight w:val="288"/>
        </w:trPr>
        <w:tc>
          <w:tcPr>
            <w:tcW w:w="3359" w:type="dxa"/>
            <w:noWrap/>
          </w:tcPr>
          <w:p w14:paraId="3462838D" w14:textId="5C382E83" w:rsidR="009C020B" w:rsidRPr="00ED20D6" w:rsidRDefault="009C020B" w:rsidP="00ED20D6">
            <w:pPr>
              <w:rPr>
                <w:sz w:val="20"/>
                <w:szCs w:val="20"/>
              </w:rPr>
            </w:pPr>
            <w:r w:rsidRPr="00ED20D6">
              <w:rPr>
                <w:sz w:val="20"/>
                <w:szCs w:val="20"/>
              </w:rPr>
              <w:t xml:space="preserve">Number of heat pumps </w:t>
            </w:r>
          </w:p>
        </w:tc>
        <w:tc>
          <w:tcPr>
            <w:tcW w:w="1881" w:type="dxa"/>
            <w:noWrap/>
          </w:tcPr>
          <w:p w14:paraId="425D77C3" w14:textId="5BF81C5D" w:rsidR="009C020B" w:rsidRPr="00ED20D6" w:rsidRDefault="00A71E77" w:rsidP="00ED20D6">
            <w:pPr>
              <w:rPr>
                <w:sz w:val="20"/>
                <w:szCs w:val="20"/>
              </w:rPr>
            </w:pPr>
            <w:r w:rsidRPr="00ED20D6">
              <w:rPr>
                <w:sz w:val="20"/>
                <w:szCs w:val="20"/>
              </w:rPr>
              <w:t>446</w:t>
            </w:r>
          </w:p>
        </w:tc>
        <w:tc>
          <w:tcPr>
            <w:tcW w:w="1985" w:type="dxa"/>
            <w:noWrap/>
          </w:tcPr>
          <w:p w14:paraId="16C84EE1" w14:textId="79D9BA27" w:rsidR="009C020B" w:rsidRPr="00ED20D6" w:rsidRDefault="00A71E77" w:rsidP="00ED20D6">
            <w:pPr>
              <w:rPr>
                <w:sz w:val="20"/>
                <w:szCs w:val="20"/>
              </w:rPr>
            </w:pPr>
            <w:r w:rsidRPr="00ED20D6">
              <w:rPr>
                <w:sz w:val="20"/>
                <w:szCs w:val="20"/>
              </w:rPr>
              <w:t>124 (28% of sample)</w:t>
            </w:r>
          </w:p>
        </w:tc>
        <w:tc>
          <w:tcPr>
            <w:tcW w:w="1842" w:type="dxa"/>
            <w:noWrap/>
          </w:tcPr>
          <w:p w14:paraId="1D86DBD1" w14:textId="438C448E" w:rsidR="009C020B" w:rsidRPr="00ED20D6" w:rsidRDefault="00A71E77" w:rsidP="00ED20D6">
            <w:pPr>
              <w:rPr>
                <w:sz w:val="20"/>
                <w:szCs w:val="20"/>
              </w:rPr>
            </w:pPr>
            <w:r w:rsidRPr="00ED20D6">
              <w:rPr>
                <w:sz w:val="20"/>
                <w:szCs w:val="20"/>
              </w:rPr>
              <w:t>21 (5% of sample)</w:t>
            </w:r>
          </w:p>
        </w:tc>
      </w:tr>
      <w:tr w:rsidR="0034132F" w:rsidRPr="00ED20D6" w14:paraId="33B5F78D" w14:textId="77777777" w:rsidTr="00ED20D6">
        <w:trPr>
          <w:trHeight w:val="288"/>
        </w:trPr>
        <w:tc>
          <w:tcPr>
            <w:tcW w:w="3359" w:type="dxa"/>
            <w:noWrap/>
            <w:hideMark/>
          </w:tcPr>
          <w:p w14:paraId="7AC5E8C8" w14:textId="77777777" w:rsidR="0034132F" w:rsidRPr="00ED20D6" w:rsidRDefault="0034132F" w:rsidP="00ED20D6">
            <w:pPr>
              <w:rPr>
                <w:sz w:val="20"/>
                <w:szCs w:val="20"/>
              </w:rPr>
            </w:pPr>
            <w:r w:rsidRPr="00ED20D6">
              <w:rPr>
                <w:sz w:val="20"/>
                <w:szCs w:val="20"/>
              </w:rPr>
              <w:t>Minimum allowable daily sample size</w:t>
            </w:r>
          </w:p>
        </w:tc>
        <w:tc>
          <w:tcPr>
            <w:tcW w:w="1881" w:type="dxa"/>
            <w:noWrap/>
            <w:hideMark/>
          </w:tcPr>
          <w:p w14:paraId="158043A2" w14:textId="77777777" w:rsidR="0034132F" w:rsidRPr="00ED20D6" w:rsidRDefault="0034132F" w:rsidP="00ED20D6">
            <w:pPr>
              <w:rPr>
                <w:sz w:val="20"/>
                <w:szCs w:val="20"/>
              </w:rPr>
            </w:pPr>
            <w:r w:rsidRPr="00ED20D6">
              <w:rPr>
                <w:sz w:val="20"/>
                <w:szCs w:val="20"/>
              </w:rPr>
              <w:t>40</w:t>
            </w:r>
          </w:p>
        </w:tc>
        <w:tc>
          <w:tcPr>
            <w:tcW w:w="1985" w:type="dxa"/>
            <w:noWrap/>
            <w:hideMark/>
          </w:tcPr>
          <w:p w14:paraId="74AF64CE" w14:textId="77777777" w:rsidR="0034132F" w:rsidRPr="00ED20D6" w:rsidRDefault="0034132F" w:rsidP="00ED20D6">
            <w:pPr>
              <w:rPr>
                <w:sz w:val="20"/>
                <w:szCs w:val="20"/>
              </w:rPr>
            </w:pPr>
            <w:r w:rsidRPr="00ED20D6">
              <w:rPr>
                <w:sz w:val="20"/>
                <w:szCs w:val="20"/>
              </w:rPr>
              <w:t>20</w:t>
            </w:r>
          </w:p>
        </w:tc>
        <w:tc>
          <w:tcPr>
            <w:tcW w:w="1842" w:type="dxa"/>
            <w:noWrap/>
            <w:hideMark/>
          </w:tcPr>
          <w:p w14:paraId="07BB3391" w14:textId="77777777" w:rsidR="0034132F" w:rsidRPr="00ED20D6" w:rsidRDefault="0034132F" w:rsidP="00ED20D6">
            <w:pPr>
              <w:rPr>
                <w:sz w:val="20"/>
                <w:szCs w:val="20"/>
              </w:rPr>
            </w:pPr>
            <w:r w:rsidRPr="00ED20D6">
              <w:rPr>
                <w:sz w:val="20"/>
                <w:szCs w:val="20"/>
              </w:rPr>
              <w:t>5</w:t>
            </w:r>
          </w:p>
        </w:tc>
      </w:tr>
      <w:tr w:rsidR="0034132F" w:rsidRPr="00ED20D6" w14:paraId="7122EB1D" w14:textId="77777777" w:rsidTr="00ED20D6">
        <w:trPr>
          <w:trHeight w:val="288"/>
        </w:trPr>
        <w:tc>
          <w:tcPr>
            <w:tcW w:w="3359" w:type="dxa"/>
            <w:noWrap/>
            <w:hideMark/>
          </w:tcPr>
          <w:p w14:paraId="66E6A6B3" w14:textId="41F9084A" w:rsidR="0034132F" w:rsidRPr="00ED20D6" w:rsidRDefault="00ED20D6" w:rsidP="00ED20D6">
            <w:pPr>
              <w:rPr>
                <w:sz w:val="20"/>
                <w:szCs w:val="20"/>
              </w:rPr>
            </w:pPr>
            <w:r w:rsidRPr="00ED20D6">
              <w:rPr>
                <w:sz w:val="20"/>
                <w:szCs w:val="20"/>
              </w:rPr>
              <w:t>A</w:t>
            </w:r>
            <w:r w:rsidR="0034132F" w:rsidRPr="00ED20D6">
              <w:rPr>
                <w:sz w:val="20"/>
                <w:szCs w:val="20"/>
              </w:rPr>
              <w:t>ctual minimum daily sample size</w:t>
            </w:r>
          </w:p>
        </w:tc>
        <w:tc>
          <w:tcPr>
            <w:tcW w:w="1881" w:type="dxa"/>
            <w:noWrap/>
            <w:hideMark/>
          </w:tcPr>
          <w:p w14:paraId="39960FFF" w14:textId="77777777" w:rsidR="0034132F" w:rsidRPr="00ED20D6" w:rsidRDefault="0034132F" w:rsidP="00ED20D6">
            <w:pPr>
              <w:rPr>
                <w:sz w:val="20"/>
                <w:szCs w:val="20"/>
              </w:rPr>
            </w:pPr>
            <w:r w:rsidRPr="00ED20D6">
              <w:rPr>
                <w:sz w:val="20"/>
                <w:szCs w:val="20"/>
              </w:rPr>
              <w:t>42</w:t>
            </w:r>
          </w:p>
        </w:tc>
        <w:tc>
          <w:tcPr>
            <w:tcW w:w="1985" w:type="dxa"/>
            <w:noWrap/>
            <w:hideMark/>
          </w:tcPr>
          <w:p w14:paraId="4CF083DA" w14:textId="77777777" w:rsidR="0034132F" w:rsidRPr="00ED20D6" w:rsidRDefault="0034132F" w:rsidP="00ED20D6">
            <w:pPr>
              <w:rPr>
                <w:sz w:val="20"/>
                <w:szCs w:val="20"/>
              </w:rPr>
            </w:pPr>
            <w:r w:rsidRPr="00ED20D6">
              <w:rPr>
                <w:sz w:val="20"/>
                <w:szCs w:val="20"/>
              </w:rPr>
              <w:t>21</w:t>
            </w:r>
          </w:p>
        </w:tc>
        <w:tc>
          <w:tcPr>
            <w:tcW w:w="1842" w:type="dxa"/>
            <w:noWrap/>
            <w:hideMark/>
          </w:tcPr>
          <w:p w14:paraId="41FF1059" w14:textId="77777777" w:rsidR="0034132F" w:rsidRPr="00ED20D6" w:rsidRDefault="0034132F" w:rsidP="00ED20D6">
            <w:pPr>
              <w:rPr>
                <w:sz w:val="20"/>
                <w:szCs w:val="20"/>
              </w:rPr>
            </w:pPr>
            <w:r w:rsidRPr="00ED20D6">
              <w:rPr>
                <w:sz w:val="20"/>
                <w:szCs w:val="20"/>
              </w:rPr>
              <w:t>6</w:t>
            </w:r>
          </w:p>
        </w:tc>
      </w:tr>
      <w:tr w:rsidR="0034132F" w:rsidRPr="00ED20D6" w14:paraId="6B4F6E3B" w14:textId="77777777" w:rsidTr="00ED20D6">
        <w:trPr>
          <w:trHeight w:val="288"/>
        </w:trPr>
        <w:tc>
          <w:tcPr>
            <w:tcW w:w="3359" w:type="dxa"/>
            <w:noWrap/>
            <w:hideMark/>
          </w:tcPr>
          <w:p w14:paraId="3C1A9875" w14:textId="77777777" w:rsidR="0034132F" w:rsidRPr="00ED20D6" w:rsidRDefault="0034132F" w:rsidP="00ED20D6">
            <w:pPr>
              <w:rPr>
                <w:sz w:val="20"/>
                <w:szCs w:val="20"/>
              </w:rPr>
            </w:pPr>
            <w:r w:rsidRPr="00ED20D6">
              <w:rPr>
                <w:sz w:val="20"/>
                <w:szCs w:val="20"/>
              </w:rPr>
              <w:t>Mean daily sample size</w:t>
            </w:r>
          </w:p>
        </w:tc>
        <w:tc>
          <w:tcPr>
            <w:tcW w:w="1881" w:type="dxa"/>
            <w:noWrap/>
            <w:hideMark/>
          </w:tcPr>
          <w:p w14:paraId="6357824A" w14:textId="63D7B12C" w:rsidR="0034132F" w:rsidRPr="00ED20D6" w:rsidRDefault="000A5DA3" w:rsidP="00ED20D6">
            <w:pPr>
              <w:rPr>
                <w:sz w:val="20"/>
                <w:szCs w:val="20"/>
              </w:rPr>
            </w:pPr>
            <w:r w:rsidRPr="00ED20D6">
              <w:rPr>
                <w:sz w:val="20"/>
                <w:szCs w:val="20"/>
              </w:rPr>
              <w:t>198</w:t>
            </w:r>
          </w:p>
        </w:tc>
        <w:tc>
          <w:tcPr>
            <w:tcW w:w="1985" w:type="dxa"/>
            <w:noWrap/>
            <w:hideMark/>
          </w:tcPr>
          <w:p w14:paraId="2F2E3D28" w14:textId="279DAD4C" w:rsidR="0034132F" w:rsidRPr="00ED20D6" w:rsidRDefault="00C667EE" w:rsidP="00ED20D6">
            <w:pPr>
              <w:rPr>
                <w:sz w:val="20"/>
                <w:szCs w:val="20"/>
              </w:rPr>
            </w:pPr>
            <w:r w:rsidRPr="00ED20D6">
              <w:rPr>
                <w:sz w:val="20"/>
                <w:szCs w:val="20"/>
              </w:rPr>
              <w:t>62</w:t>
            </w:r>
          </w:p>
        </w:tc>
        <w:tc>
          <w:tcPr>
            <w:tcW w:w="1842" w:type="dxa"/>
            <w:noWrap/>
            <w:hideMark/>
          </w:tcPr>
          <w:p w14:paraId="1BECED11" w14:textId="7D754D38" w:rsidR="0034132F" w:rsidRPr="00ED20D6" w:rsidRDefault="006B298F" w:rsidP="00ED20D6">
            <w:pPr>
              <w:rPr>
                <w:sz w:val="20"/>
                <w:szCs w:val="20"/>
              </w:rPr>
            </w:pPr>
            <w:r w:rsidRPr="00ED20D6">
              <w:rPr>
                <w:sz w:val="20"/>
                <w:szCs w:val="20"/>
              </w:rPr>
              <w:t>12</w:t>
            </w:r>
          </w:p>
        </w:tc>
      </w:tr>
    </w:tbl>
    <w:p w14:paraId="76EA62C9" w14:textId="18DCA119" w:rsidR="0000348D" w:rsidRDefault="0000348D" w:rsidP="002A6364"/>
    <w:p w14:paraId="572E375C" w14:textId="4BADADCD" w:rsidR="00547F93" w:rsidRDefault="00547F93" w:rsidP="00547F93">
      <w:pPr>
        <w:pStyle w:val="Caption"/>
        <w:keepNext/>
      </w:pPr>
      <w:r>
        <w:t xml:space="preserve">Table </w:t>
      </w:r>
      <w:fldSimple w:instr=" SEQ Table \* ARABIC ">
        <w:r w:rsidR="00BA2879">
          <w:rPr>
            <w:noProof/>
          </w:rPr>
          <w:t>2</w:t>
        </w:r>
      </w:fldSimple>
      <w:r>
        <w:t>: Further detail on GSHP performance models</w:t>
      </w:r>
    </w:p>
    <w:tbl>
      <w:tblPr>
        <w:tblStyle w:val="TableGrid"/>
        <w:tblW w:w="9067" w:type="dxa"/>
        <w:tblLook w:val="04A0" w:firstRow="1" w:lastRow="0" w:firstColumn="1" w:lastColumn="0" w:noHBand="0" w:noVBand="1"/>
      </w:tblPr>
      <w:tblGrid>
        <w:gridCol w:w="3397"/>
        <w:gridCol w:w="1843"/>
        <w:gridCol w:w="1843"/>
        <w:gridCol w:w="1984"/>
      </w:tblGrid>
      <w:tr w:rsidR="00BA2879" w:rsidRPr="00D04EA6" w14:paraId="0002AAE3" w14:textId="77777777" w:rsidTr="00FB6D51">
        <w:trPr>
          <w:trHeight w:val="288"/>
        </w:trPr>
        <w:tc>
          <w:tcPr>
            <w:tcW w:w="3397" w:type="dxa"/>
            <w:noWrap/>
            <w:hideMark/>
          </w:tcPr>
          <w:p w14:paraId="1591F1C1" w14:textId="77777777" w:rsidR="00BA2879" w:rsidRPr="002F07BA" w:rsidRDefault="00BA2879" w:rsidP="007C548B">
            <w:pPr>
              <w:rPr>
                <w:sz w:val="20"/>
                <w:szCs w:val="20"/>
              </w:rPr>
            </w:pPr>
          </w:p>
        </w:tc>
        <w:tc>
          <w:tcPr>
            <w:tcW w:w="1843" w:type="dxa"/>
            <w:noWrap/>
            <w:hideMark/>
          </w:tcPr>
          <w:p w14:paraId="1AF43595" w14:textId="31C83397" w:rsidR="00BA2879" w:rsidRPr="002F07BA" w:rsidRDefault="00BA2879" w:rsidP="007C548B">
            <w:pPr>
              <w:rPr>
                <w:sz w:val="20"/>
                <w:szCs w:val="20"/>
              </w:rPr>
            </w:pPr>
            <w:r w:rsidRPr="002F07BA">
              <w:rPr>
                <w:b/>
                <w:bCs/>
                <w:sz w:val="20"/>
                <w:szCs w:val="20"/>
              </w:rPr>
              <w:t>SPF</w:t>
            </w:r>
            <w:r w:rsidRPr="002F07BA">
              <w:rPr>
                <w:b/>
                <w:bCs/>
                <w:sz w:val="20"/>
                <w:szCs w:val="20"/>
                <w:vertAlign w:val="subscript"/>
              </w:rPr>
              <w:t>H4</w:t>
            </w:r>
            <w:r w:rsidRPr="002F07BA">
              <w:rPr>
                <w:b/>
                <w:bCs/>
                <w:sz w:val="20"/>
                <w:szCs w:val="20"/>
              </w:rPr>
              <w:t>&gt;1.5 (Current performance)</w:t>
            </w:r>
          </w:p>
        </w:tc>
        <w:tc>
          <w:tcPr>
            <w:tcW w:w="1843" w:type="dxa"/>
            <w:noWrap/>
            <w:hideMark/>
          </w:tcPr>
          <w:p w14:paraId="25B85F03" w14:textId="28A26202" w:rsidR="00BA2879" w:rsidRPr="002F07BA" w:rsidRDefault="00BA2879" w:rsidP="007C548B">
            <w:pPr>
              <w:rPr>
                <w:sz w:val="20"/>
                <w:szCs w:val="20"/>
              </w:rPr>
            </w:pPr>
            <w:r w:rsidRPr="002F07BA">
              <w:rPr>
                <w:b/>
                <w:bCs/>
                <w:sz w:val="20"/>
                <w:szCs w:val="20"/>
              </w:rPr>
              <w:t>SPF</w:t>
            </w:r>
            <w:r w:rsidRPr="002F07BA">
              <w:rPr>
                <w:b/>
                <w:bCs/>
                <w:sz w:val="20"/>
                <w:szCs w:val="20"/>
                <w:vertAlign w:val="subscript"/>
              </w:rPr>
              <w:t>H4</w:t>
            </w:r>
            <w:r w:rsidRPr="002F07BA">
              <w:rPr>
                <w:b/>
                <w:bCs/>
                <w:sz w:val="20"/>
                <w:szCs w:val="20"/>
              </w:rPr>
              <w:t>&gt;2.5 (Good performance)</w:t>
            </w:r>
          </w:p>
        </w:tc>
        <w:tc>
          <w:tcPr>
            <w:tcW w:w="1984" w:type="dxa"/>
            <w:noWrap/>
            <w:hideMark/>
          </w:tcPr>
          <w:p w14:paraId="2D21AD50" w14:textId="4544A773" w:rsidR="00BA2879" w:rsidRPr="002F07BA" w:rsidRDefault="00BA2879" w:rsidP="007C548B">
            <w:pPr>
              <w:rPr>
                <w:sz w:val="20"/>
                <w:szCs w:val="20"/>
              </w:rPr>
            </w:pPr>
            <w:r w:rsidRPr="002F07BA">
              <w:rPr>
                <w:b/>
                <w:bCs/>
                <w:sz w:val="20"/>
                <w:szCs w:val="20"/>
              </w:rPr>
              <w:t>SPF</w:t>
            </w:r>
            <w:r w:rsidRPr="002F07BA">
              <w:rPr>
                <w:b/>
                <w:bCs/>
                <w:sz w:val="20"/>
                <w:szCs w:val="20"/>
                <w:vertAlign w:val="subscript"/>
              </w:rPr>
              <w:t>H4</w:t>
            </w:r>
            <w:r w:rsidRPr="002F07BA">
              <w:rPr>
                <w:b/>
                <w:bCs/>
                <w:sz w:val="20"/>
                <w:szCs w:val="20"/>
              </w:rPr>
              <w:t>&gt;3 (Very good performance)</w:t>
            </w:r>
          </w:p>
        </w:tc>
      </w:tr>
      <w:tr w:rsidR="003829C8" w:rsidRPr="00D04EA6" w14:paraId="25875D4B" w14:textId="77777777" w:rsidTr="00FB6D51">
        <w:trPr>
          <w:trHeight w:val="288"/>
        </w:trPr>
        <w:tc>
          <w:tcPr>
            <w:tcW w:w="3397" w:type="dxa"/>
            <w:noWrap/>
            <w:hideMark/>
          </w:tcPr>
          <w:p w14:paraId="01626B42" w14:textId="64FFAC54" w:rsidR="003829C8" w:rsidRPr="002F07BA" w:rsidRDefault="003829C8" w:rsidP="003829C8">
            <w:pPr>
              <w:rPr>
                <w:sz w:val="20"/>
                <w:szCs w:val="20"/>
              </w:rPr>
            </w:pPr>
            <w:r>
              <w:rPr>
                <w:sz w:val="20"/>
                <w:szCs w:val="20"/>
              </w:rPr>
              <w:t xml:space="preserve">Gradient </w:t>
            </w:r>
            <w:r w:rsidRPr="00ED20D6">
              <w:rPr>
                <w:sz w:val="20"/>
                <w:szCs w:val="20"/>
              </w:rPr>
              <w:t>m</w:t>
            </w:r>
            <w:r w:rsidRPr="001D58BB">
              <w:rPr>
                <w:sz w:val="20"/>
                <w:szCs w:val="20"/>
                <w:vertAlign w:val="subscript"/>
              </w:rPr>
              <w:t>1</w:t>
            </w:r>
          </w:p>
        </w:tc>
        <w:tc>
          <w:tcPr>
            <w:tcW w:w="1843" w:type="dxa"/>
            <w:noWrap/>
            <w:hideMark/>
          </w:tcPr>
          <w:p w14:paraId="37B97D93" w14:textId="77777777" w:rsidR="003829C8" w:rsidRPr="002F07BA" w:rsidRDefault="003829C8" w:rsidP="003829C8">
            <w:pPr>
              <w:rPr>
                <w:sz w:val="20"/>
                <w:szCs w:val="20"/>
              </w:rPr>
            </w:pPr>
            <w:r w:rsidRPr="002F07BA">
              <w:rPr>
                <w:sz w:val="20"/>
                <w:szCs w:val="20"/>
              </w:rPr>
              <w:t>0.00</w:t>
            </w:r>
          </w:p>
        </w:tc>
        <w:tc>
          <w:tcPr>
            <w:tcW w:w="1843" w:type="dxa"/>
            <w:noWrap/>
            <w:hideMark/>
          </w:tcPr>
          <w:p w14:paraId="6213335C" w14:textId="77777777" w:rsidR="003829C8" w:rsidRPr="002F07BA" w:rsidRDefault="003829C8" w:rsidP="003829C8">
            <w:pPr>
              <w:rPr>
                <w:sz w:val="20"/>
                <w:szCs w:val="20"/>
              </w:rPr>
            </w:pPr>
            <w:r w:rsidRPr="002F07BA">
              <w:rPr>
                <w:sz w:val="20"/>
                <w:szCs w:val="20"/>
              </w:rPr>
              <w:t>0.00</w:t>
            </w:r>
          </w:p>
        </w:tc>
        <w:tc>
          <w:tcPr>
            <w:tcW w:w="1984" w:type="dxa"/>
            <w:noWrap/>
            <w:hideMark/>
          </w:tcPr>
          <w:p w14:paraId="15A63D38" w14:textId="77777777" w:rsidR="003829C8" w:rsidRPr="002F07BA" w:rsidRDefault="003829C8" w:rsidP="003829C8">
            <w:pPr>
              <w:rPr>
                <w:sz w:val="20"/>
                <w:szCs w:val="20"/>
              </w:rPr>
            </w:pPr>
            <w:r w:rsidRPr="002F07BA">
              <w:rPr>
                <w:sz w:val="20"/>
                <w:szCs w:val="20"/>
              </w:rPr>
              <w:t>0.00</w:t>
            </w:r>
          </w:p>
        </w:tc>
      </w:tr>
      <w:tr w:rsidR="003829C8" w:rsidRPr="00D04EA6" w14:paraId="47B47FDE" w14:textId="77777777" w:rsidTr="00FB6D51">
        <w:trPr>
          <w:trHeight w:val="288"/>
        </w:trPr>
        <w:tc>
          <w:tcPr>
            <w:tcW w:w="3397" w:type="dxa"/>
            <w:noWrap/>
            <w:hideMark/>
          </w:tcPr>
          <w:p w14:paraId="5512D8D1" w14:textId="2135BCBE" w:rsidR="003829C8" w:rsidRPr="002F07BA" w:rsidRDefault="003829C8" w:rsidP="003829C8">
            <w:pPr>
              <w:rPr>
                <w:sz w:val="20"/>
                <w:szCs w:val="20"/>
              </w:rPr>
            </w:pPr>
            <w:r>
              <w:rPr>
                <w:sz w:val="20"/>
                <w:szCs w:val="20"/>
              </w:rPr>
              <w:t xml:space="preserve">Intercept </w:t>
            </w:r>
            <w:r w:rsidRPr="00ED20D6">
              <w:rPr>
                <w:sz w:val="20"/>
                <w:szCs w:val="20"/>
              </w:rPr>
              <w:t>c</w:t>
            </w:r>
            <w:r w:rsidRPr="001D58BB">
              <w:rPr>
                <w:sz w:val="20"/>
                <w:szCs w:val="20"/>
                <w:vertAlign w:val="subscript"/>
              </w:rPr>
              <w:t>1</w:t>
            </w:r>
          </w:p>
        </w:tc>
        <w:tc>
          <w:tcPr>
            <w:tcW w:w="1843" w:type="dxa"/>
            <w:noWrap/>
            <w:hideMark/>
          </w:tcPr>
          <w:p w14:paraId="4F14AA35" w14:textId="77777777" w:rsidR="003829C8" w:rsidRPr="002F07BA" w:rsidRDefault="003829C8" w:rsidP="003829C8">
            <w:pPr>
              <w:rPr>
                <w:sz w:val="20"/>
                <w:szCs w:val="20"/>
              </w:rPr>
            </w:pPr>
            <w:r w:rsidRPr="002F07BA">
              <w:rPr>
                <w:sz w:val="20"/>
                <w:szCs w:val="20"/>
              </w:rPr>
              <w:t>2.50</w:t>
            </w:r>
          </w:p>
        </w:tc>
        <w:tc>
          <w:tcPr>
            <w:tcW w:w="1843" w:type="dxa"/>
            <w:noWrap/>
            <w:hideMark/>
          </w:tcPr>
          <w:p w14:paraId="66D29CC0" w14:textId="77777777" w:rsidR="003829C8" w:rsidRPr="002F07BA" w:rsidRDefault="003829C8" w:rsidP="003829C8">
            <w:pPr>
              <w:rPr>
                <w:sz w:val="20"/>
                <w:szCs w:val="20"/>
              </w:rPr>
            </w:pPr>
            <w:r w:rsidRPr="002F07BA">
              <w:rPr>
                <w:sz w:val="20"/>
                <w:szCs w:val="20"/>
              </w:rPr>
              <w:t>3.01</w:t>
            </w:r>
          </w:p>
        </w:tc>
        <w:tc>
          <w:tcPr>
            <w:tcW w:w="1984" w:type="dxa"/>
            <w:noWrap/>
            <w:hideMark/>
          </w:tcPr>
          <w:p w14:paraId="38D4685D" w14:textId="77777777" w:rsidR="003829C8" w:rsidRPr="002F07BA" w:rsidRDefault="003829C8" w:rsidP="003829C8">
            <w:pPr>
              <w:rPr>
                <w:sz w:val="20"/>
                <w:szCs w:val="20"/>
              </w:rPr>
            </w:pPr>
            <w:r w:rsidRPr="002F07BA">
              <w:rPr>
                <w:sz w:val="20"/>
                <w:szCs w:val="20"/>
              </w:rPr>
              <w:t>3.49</w:t>
            </w:r>
          </w:p>
        </w:tc>
      </w:tr>
      <w:tr w:rsidR="003829C8" w:rsidRPr="00D04EA6" w14:paraId="6E8C554D" w14:textId="77777777" w:rsidTr="00FB6D51">
        <w:trPr>
          <w:trHeight w:val="288"/>
        </w:trPr>
        <w:tc>
          <w:tcPr>
            <w:tcW w:w="3397" w:type="dxa"/>
            <w:noWrap/>
            <w:hideMark/>
          </w:tcPr>
          <w:p w14:paraId="729A3772" w14:textId="1D39E2E4" w:rsidR="003829C8" w:rsidRPr="002F07BA" w:rsidRDefault="003829C8" w:rsidP="003829C8">
            <w:pPr>
              <w:rPr>
                <w:sz w:val="20"/>
                <w:szCs w:val="20"/>
              </w:rPr>
            </w:pPr>
            <w:r>
              <w:rPr>
                <w:sz w:val="20"/>
                <w:szCs w:val="20"/>
              </w:rPr>
              <w:t xml:space="preserve">Gradient </w:t>
            </w:r>
            <w:r w:rsidRPr="00ED20D6">
              <w:rPr>
                <w:sz w:val="20"/>
                <w:szCs w:val="20"/>
              </w:rPr>
              <w:t>m</w:t>
            </w:r>
            <w:r w:rsidRPr="001D58BB">
              <w:rPr>
                <w:sz w:val="20"/>
                <w:szCs w:val="20"/>
                <w:vertAlign w:val="subscript"/>
              </w:rPr>
              <w:t>2</w:t>
            </w:r>
          </w:p>
        </w:tc>
        <w:tc>
          <w:tcPr>
            <w:tcW w:w="1843" w:type="dxa"/>
            <w:noWrap/>
            <w:hideMark/>
          </w:tcPr>
          <w:p w14:paraId="214DFB6A" w14:textId="77777777" w:rsidR="003829C8" w:rsidRPr="002F07BA" w:rsidRDefault="003829C8" w:rsidP="003829C8">
            <w:pPr>
              <w:rPr>
                <w:sz w:val="20"/>
                <w:szCs w:val="20"/>
              </w:rPr>
            </w:pPr>
            <w:r w:rsidRPr="002F07BA">
              <w:rPr>
                <w:sz w:val="20"/>
                <w:szCs w:val="20"/>
              </w:rPr>
              <w:t>-0.05</w:t>
            </w:r>
          </w:p>
        </w:tc>
        <w:tc>
          <w:tcPr>
            <w:tcW w:w="1843" w:type="dxa"/>
            <w:noWrap/>
            <w:hideMark/>
          </w:tcPr>
          <w:p w14:paraId="47B2D3AB" w14:textId="77777777" w:rsidR="003829C8" w:rsidRPr="002F07BA" w:rsidRDefault="003829C8" w:rsidP="003829C8">
            <w:pPr>
              <w:rPr>
                <w:sz w:val="20"/>
                <w:szCs w:val="20"/>
              </w:rPr>
            </w:pPr>
            <w:r w:rsidRPr="002F07BA">
              <w:rPr>
                <w:sz w:val="20"/>
                <w:szCs w:val="20"/>
              </w:rPr>
              <w:t>-0.06</w:t>
            </w:r>
          </w:p>
        </w:tc>
        <w:tc>
          <w:tcPr>
            <w:tcW w:w="1984" w:type="dxa"/>
            <w:noWrap/>
            <w:hideMark/>
          </w:tcPr>
          <w:p w14:paraId="326F2FDF" w14:textId="77777777" w:rsidR="003829C8" w:rsidRPr="002F07BA" w:rsidRDefault="003829C8" w:rsidP="003829C8">
            <w:pPr>
              <w:rPr>
                <w:sz w:val="20"/>
                <w:szCs w:val="20"/>
              </w:rPr>
            </w:pPr>
            <w:r w:rsidRPr="002F07BA">
              <w:rPr>
                <w:sz w:val="20"/>
                <w:szCs w:val="20"/>
              </w:rPr>
              <w:t>-0.09</w:t>
            </w:r>
          </w:p>
        </w:tc>
      </w:tr>
      <w:tr w:rsidR="003829C8" w:rsidRPr="00D04EA6" w14:paraId="38647F02" w14:textId="77777777" w:rsidTr="00FB6D51">
        <w:trPr>
          <w:trHeight w:val="288"/>
        </w:trPr>
        <w:tc>
          <w:tcPr>
            <w:tcW w:w="3397" w:type="dxa"/>
            <w:noWrap/>
            <w:hideMark/>
          </w:tcPr>
          <w:p w14:paraId="18B15C44" w14:textId="4092A9A4" w:rsidR="003829C8" w:rsidRPr="002F07BA" w:rsidRDefault="003829C8" w:rsidP="003829C8">
            <w:pPr>
              <w:rPr>
                <w:sz w:val="20"/>
                <w:szCs w:val="20"/>
              </w:rPr>
            </w:pPr>
            <w:r>
              <w:rPr>
                <w:sz w:val="20"/>
                <w:szCs w:val="20"/>
              </w:rPr>
              <w:t xml:space="preserve">Intercept </w:t>
            </w:r>
            <w:r w:rsidRPr="00ED20D6">
              <w:rPr>
                <w:sz w:val="20"/>
                <w:szCs w:val="20"/>
              </w:rPr>
              <w:t>c</w:t>
            </w:r>
            <w:r w:rsidRPr="001D58BB">
              <w:rPr>
                <w:sz w:val="20"/>
                <w:szCs w:val="20"/>
                <w:vertAlign w:val="subscript"/>
              </w:rPr>
              <w:t>2</w:t>
            </w:r>
          </w:p>
        </w:tc>
        <w:tc>
          <w:tcPr>
            <w:tcW w:w="1843" w:type="dxa"/>
            <w:noWrap/>
            <w:hideMark/>
          </w:tcPr>
          <w:p w14:paraId="672D68C1" w14:textId="77777777" w:rsidR="003829C8" w:rsidRPr="002F07BA" w:rsidRDefault="003829C8" w:rsidP="003829C8">
            <w:pPr>
              <w:rPr>
                <w:sz w:val="20"/>
                <w:szCs w:val="20"/>
              </w:rPr>
            </w:pPr>
            <w:r w:rsidRPr="002F07BA">
              <w:rPr>
                <w:sz w:val="20"/>
                <w:szCs w:val="20"/>
              </w:rPr>
              <w:t>2.77</w:t>
            </w:r>
          </w:p>
        </w:tc>
        <w:tc>
          <w:tcPr>
            <w:tcW w:w="1843" w:type="dxa"/>
            <w:noWrap/>
            <w:hideMark/>
          </w:tcPr>
          <w:p w14:paraId="54189BF7" w14:textId="77777777" w:rsidR="003829C8" w:rsidRPr="002F07BA" w:rsidRDefault="003829C8" w:rsidP="003829C8">
            <w:pPr>
              <w:rPr>
                <w:sz w:val="20"/>
                <w:szCs w:val="20"/>
              </w:rPr>
            </w:pPr>
            <w:r w:rsidRPr="002F07BA">
              <w:rPr>
                <w:sz w:val="20"/>
                <w:szCs w:val="20"/>
              </w:rPr>
              <w:t>3.32</w:t>
            </w:r>
          </w:p>
        </w:tc>
        <w:tc>
          <w:tcPr>
            <w:tcW w:w="1984" w:type="dxa"/>
            <w:noWrap/>
            <w:hideMark/>
          </w:tcPr>
          <w:p w14:paraId="4F242321" w14:textId="77777777" w:rsidR="003829C8" w:rsidRPr="002F07BA" w:rsidRDefault="003829C8" w:rsidP="003829C8">
            <w:pPr>
              <w:rPr>
                <w:sz w:val="20"/>
                <w:szCs w:val="20"/>
              </w:rPr>
            </w:pPr>
            <w:r w:rsidRPr="002F07BA">
              <w:rPr>
                <w:sz w:val="20"/>
                <w:szCs w:val="20"/>
              </w:rPr>
              <w:t>4.58</w:t>
            </w:r>
          </w:p>
        </w:tc>
      </w:tr>
      <w:tr w:rsidR="00D04EA6" w:rsidRPr="00D04EA6" w14:paraId="39A7E757" w14:textId="77777777" w:rsidTr="00FB6D51">
        <w:trPr>
          <w:trHeight w:val="288"/>
        </w:trPr>
        <w:tc>
          <w:tcPr>
            <w:tcW w:w="3397" w:type="dxa"/>
            <w:noWrap/>
            <w:hideMark/>
          </w:tcPr>
          <w:p w14:paraId="0269374A" w14:textId="77777777" w:rsidR="00D04EA6" w:rsidRPr="002F07BA" w:rsidRDefault="00D04EA6" w:rsidP="007C548B">
            <w:pPr>
              <w:rPr>
                <w:sz w:val="20"/>
                <w:szCs w:val="20"/>
              </w:rPr>
            </w:pPr>
            <w:r w:rsidRPr="002F07BA">
              <w:rPr>
                <w:sz w:val="20"/>
                <w:szCs w:val="20"/>
              </w:rPr>
              <w:t>r</w:t>
            </w:r>
            <w:r w:rsidRPr="002F07BA">
              <w:rPr>
                <w:sz w:val="20"/>
                <w:szCs w:val="20"/>
                <w:vertAlign w:val="superscript"/>
              </w:rPr>
              <w:t>2</w:t>
            </w:r>
          </w:p>
        </w:tc>
        <w:tc>
          <w:tcPr>
            <w:tcW w:w="1843" w:type="dxa"/>
            <w:noWrap/>
            <w:hideMark/>
          </w:tcPr>
          <w:p w14:paraId="197AB0E8" w14:textId="77777777" w:rsidR="00D04EA6" w:rsidRPr="002F07BA" w:rsidRDefault="00D04EA6" w:rsidP="007C548B">
            <w:pPr>
              <w:rPr>
                <w:sz w:val="20"/>
                <w:szCs w:val="20"/>
              </w:rPr>
            </w:pPr>
            <w:r w:rsidRPr="002F07BA">
              <w:rPr>
                <w:sz w:val="20"/>
                <w:szCs w:val="20"/>
              </w:rPr>
              <w:t>0.71</w:t>
            </w:r>
          </w:p>
        </w:tc>
        <w:tc>
          <w:tcPr>
            <w:tcW w:w="1843" w:type="dxa"/>
            <w:noWrap/>
            <w:hideMark/>
          </w:tcPr>
          <w:p w14:paraId="12E16F68" w14:textId="77777777" w:rsidR="00D04EA6" w:rsidRPr="002F07BA" w:rsidRDefault="00D04EA6" w:rsidP="007C548B">
            <w:pPr>
              <w:rPr>
                <w:sz w:val="20"/>
                <w:szCs w:val="20"/>
              </w:rPr>
            </w:pPr>
            <w:r w:rsidRPr="002F07BA">
              <w:rPr>
                <w:sz w:val="20"/>
                <w:szCs w:val="20"/>
              </w:rPr>
              <w:t>0.54</w:t>
            </w:r>
          </w:p>
        </w:tc>
        <w:tc>
          <w:tcPr>
            <w:tcW w:w="1984" w:type="dxa"/>
            <w:noWrap/>
            <w:hideMark/>
          </w:tcPr>
          <w:p w14:paraId="6D7B98F5" w14:textId="77777777" w:rsidR="00D04EA6" w:rsidRPr="002F07BA" w:rsidRDefault="00D04EA6" w:rsidP="007C548B">
            <w:pPr>
              <w:rPr>
                <w:sz w:val="20"/>
                <w:szCs w:val="20"/>
              </w:rPr>
            </w:pPr>
            <w:r w:rsidRPr="002F07BA">
              <w:rPr>
                <w:sz w:val="20"/>
                <w:szCs w:val="20"/>
              </w:rPr>
              <w:t>0.11</w:t>
            </w:r>
          </w:p>
        </w:tc>
      </w:tr>
      <w:tr w:rsidR="00D04EA6" w:rsidRPr="00D04EA6" w14:paraId="5462666A" w14:textId="77777777" w:rsidTr="00FB6D51">
        <w:trPr>
          <w:trHeight w:val="288"/>
        </w:trPr>
        <w:tc>
          <w:tcPr>
            <w:tcW w:w="3397" w:type="dxa"/>
            <w:noWrap/>
            <w:hideMark/>
          </w:tcPr>
          <w:p w14:paraId="7962C3A7" w14:textId="6327F833" w:rsidR="00D04EA6" w:rsidRPr="002F07BA" w:rsidRDefault="002F07BA" w:rsidP="007C548B">
            <w:pPr>
              <w:rPr>
                <w:sz w:val="20"/>
                <w:szCs w:val="20"/>
              </w:rPr>
            </w:pPr>
            <w:proofErr w:type="gramStart"/>
            <w:r>
              <w:rPr>
                <w:sz w:val="20"/>
                <w:szCs w:val="20"/>
              </w:rPr>
              <w:t>B</w:t>
            </w:r>
            <w:r w:rsidR="00D04EA6" w:rsidRPr="002F07BA">
              <w:rPr>
                <w:sz w:val="20"/>
                <w:szCs w:val="20"/>
              </w:rPr>
              <w:t>reak-</w:t>
            </w:r>
            <w:r>
              <w:rPr>
                <w:sz w:val="20"/>
                <w:szCs w:val="20"/>
              </w:rPr>
              <w:t>P</w:t>
            </w:r>
            <w:r w:rsidR="00D04EA6" w:rsidRPr="002F07BA">
              <w:rPr>
                <w:sz w:val="20"/>
                <w:szCs w:val="20"/>
              </w:rPr>
              <w:t>oint</w:t>
            </w:r>
            <w:proofErr w:type="gramEnd"/>
            <w:r w:rsidR="00D04EA6" w:rsidRPr="002F07BA">
              <w:rPr>
                <w:sz w:val="20"/>
                <w:szCs w:val="20"/>
              </w:rPr>
              <w:t xml:space="preserve"> (°C)</w:t>
            </w:r>
          </w:p>
        </w:tc>
        <w:tc>
          <w:tcPr>
            <w:tcW w:w="1843" w:type="dxa"/>
            <w:noWrap/>
            <w:hideMark/>
          </w:tcPr>
          <w:p w14:paraId="5CF8CFB5" w14:textId="77777777" w:rsidR="00D04EA6" w:rsidRPr="002F07BA" w:rsidRDefault="00D04EA6" w:rsidP="007C548B">
            <w:pPr>
              <w:rPr>
                <w:sz w:val="20"/>
                <w:szCs w:val="20"/>
              </w:rPr>
            </w:pPr>
            <w:r w:rsidRPr="002F07BA">
              <w:rPr>
                <w:sz w:val="20"/>
                <w:szCs w:val="20"/>
              </w:rPr>
              <w:t>5.00</w:t>
            </w:r>
          </w:p>
        </w:tc>
        <w:tc>
          <w:tcPr>
            <w:tcW w:w="1843" w:type="dxa"/>
            <w:noWrap/>
            <w:hideMark/>
          </w:tcPr>
          <w:p w14:paraId="50453E46" w14:textId="77777777" w:rsidR="00D04EA6" w:rsidRPr="002F07BA" w:rsidRDefault="00D04EA6" w:rsidP="007C548B">
            <w:pPr>
              <w:rPr>
                <w:sz w:val="20"/>
                <w:szCs w:val="20"/>
              </w:rPr>
            </w:pPr>
            <w:r w:rsidRPr="002F07BA">
              <w:rPr>
                <w:sz w:val="20"/>
                <w:szCs w:val="20"/>
              </w:rPr>
              <w:t>5.22</w:t>
            </w:r>
          </w:p>
        </w:tc>
        <w:tc>
          <w:tcPr>
            <w:tcW w:w="1984" w:type="dxa"/>
            <w:noWrap/>
            <w:hideMark/>
          </w:tcPr>
          <w:p w14:paraId="0B72F660" w14:textId="77777777" w:rsidR="00D04EA6" w:rsidRPr="002F07BA" w:rsidRDefault="00D04EA6" w:rsidP="007C548B">
            <w:pPr>
              <w:rPr>
                <w:sz w:val="20"/>
                <w:szCs w:val="20"/>
              </w:rPr>
            </w:pPr>
            <w:r w:rsidRPr="002F07BA">
              <w:rPr>
                <w:sz w:val="20"/>
                <w:szCs w:val="20"/>
              </w:rPr>
              <w:t>12.63</w:t>
            </w:r>
          </w:p>
        </w:tc>
      </w:tr>
      <w:tr w:rsidR="00FB6D51" w:rsidRPr="00D04EA6" w14:paraId="78829DDE" w14:textId="77777777" w:rsidTr="00FB6D51">
        <w:trPr>
          <w:trHeight w:val="288"/>
        </w:trPr>
        <w:tc>
          <w:tcPr>
            <w:tcW w:w="3397" w:type="dxa"/>
            <w:noWrap/>
          </w:tcPr>
          <w:p w14:paraId="34D57CE0" w14:textId="17DF055E" w:rsidR="00FB6D51" w:rsidRPr="002F07BA" w:rsidRDefault="00FB6D51" w:rsidP="007C548B">
            <w:pPr>
              <w:rPr>
                <w:sz w:val="20"/>
                <w:szCs w:val="20"/>
              </w:rPr>
            </w:pPr>
            <w:r w:rsidRPr="002F07BA">
              <w:rPr>
                <w:sz w:val="20"/>
                <w:szCs w:val="20"/>
              </w:rPr>
              <w:t>Mean SPF</w:t>
            </w:r>
          </w:p>
        </w:tc>
        <w:tc>
          <w:tcPr>
            <w:tcW w:w="1843" w:type="dxa"/>
            <w:noWrap/>
          </w:tcPr>
          <w:p w14:paraId="7D246DB2" w14:textId="18041E66" w:rsidR="00FB6D51" w:rsidRPr="002F07BA" w:rsidRDefault="00547F93" w:rsidP="007C548B">
            <w:pPr>
              <w:rPr>
                <w:sz w:val="20"/>
                <w:szCs w:val="20"/>
              </w:rPr>
            </w:pPr>
            <w:r w:rsidRPr="002F07BA">
              <w:rPr>
                <w:sz w:val="20"/>
                <w:szCs w:val="20"/>
              </w:rPr>
              <w:t>2.19</w:t>
            </w:r>
          </w:p>
        </w:tc>
        <w:tc>
          <w:tcPr>
            <w:tcW w:w="1843" w:type="dxa"/>
            <w:noWrap/>
          </w:tcPr>
          <w:p w14:paraId="79913B13" w14:textId="6FEDBA64" w:rsidR="00FB6D51" w:rsidRPr="002F07BA" w:rsidRDefault="00547F93" w:rsidP="007C548B">
            <w:pPr>
              <w:rPr>
                <w:sz w:val="20"/>
                <w:szCs w:val="20"/>
              </w:rPr>
            </w:pPr>
            <w:r w:rsidRPr="002F07BA">
              <w:rPr>
                <w:sz w:val="20"/>
                <w:szCs w:val="20"/>
              </w:rPr>
              <w:t>2.85</w:t>
            </w:r>
          </w:p>
        </w:tc>
        <w:tc>
          <w:tcPr>
            <w:tcW w:w="1984" w:type="dxa"/>
            <w:noWrap/>
          </w:tcPr>
          <w:p w14:paraId="53943A04" w14:textId="08168F5E" w:rsidR="00FB6D51" w:rsidRPr="002F07BA" w:rsidRDefault="00547F93" w:rsidP="007C548B">
            <w:pPr>
              <w:rPr>
                <w:sz w:val="20"/>
                <w:szCs w:val="20"/>
              </w:rPr>
            </w:pPr>
            <w:r w:rsidRPr="002F07BA">
              <w:rPr>
                <w:sz w:val="20"/>
                <w:szCs w:val="20"/>
              </w:rPr>
              <w:t>3.40</w:t>
            </w:r>
          </w:p>
        </w:tc>
      </w:tr>
      <w:tr w:rsidR="00FB6D51" w:rsidRPr="00D04EA6" w14:paraId="72344813" w14:textId="77777777" w:rsidTr="00FB6D51">
        <w:trPr>
          <w:trHeight w:val="288"/>
        </w:trPr>
        <w:tc>
          <w:tcPr>
            <w:tcW w:w="3397" w:type="dxa"/>
            <w:noWrap/>
          </w:tcPr>
          <w:p w14:paraId="35ACC928" w14:textId="61DD960D" w:rsidR="00FB6D51" w:rsidRPr="002F07BA" w:rsidRDefault="00FB6D51" w:rsidP="007C548B">
            <w:pPr>
              <w:rPr>
                <w:sz w:val="20"/>
                <w:szCs w:val="20"/>
              </w:rPr>
            </w:pPr>
            <w:r w:rsidRPr="002F07BA">
              <w:rPr>
                <w:sz w:val="20"/>
                <w:szCs w:val="20"/>
              </w:rPr>
              <w:t xml:space="preserve">Number of heat pumps </w:t>
            </w:r>
          </w:p>
        </w:tc>
        <w:tc>
          <w:tcPr>
            <w:tcW w:w="1843" w:type="dxa"/>
            <w:noWrap/>
          </w:tcPr>
          <w:p w14:paraId="40ADDDF8" w14:textId="658536EC" w:rsidR="00FB6D51" w:rsidRPr="002F07BA" w:rsidRDefault="00547F93" w:rsidP="007C548B">
            <w:pPr>
              <w:rPr>
                <w:sz w:val="20"/>
                <w:szCs w:val="20"/>
              </w:rPr>
            </w:pPr>
            <w:r w:rsidRPr="002F07BA">
              <w:rPr>
                <w:sz w:val="20"/>
                <w:szCs w:val="20"/>
              </w:rPr>
              <w:t>110</w:t>
            </w:r>
          </w:p>
        </w:tc>
        <w:tc>
          <w:tcPr>
            <w:tcW w:w="1843" w:type="dxa"/>
            <w:noWrap/>
          </w:tcPr>
          <w:p w14:paraId="69295626" w14:textId="00AFE741" w:rsidR="00FB6D51" w:rsidRPr="002F07BA" w:rsidRDefault="00547F93" w:rsidP="007C548B">
            <w:pPr>
              <w:rPr>
                <w:sz w:val="20"/>
                <w:szCs w:val="20"/>
              </w:rPr>
            </w:pPr>
            <w:r w:rsidRPr="002F07BA">
              <w:rPr>
                <w:sz w:val="20"/>
                <w:szCs w:val="20"/>
              </w:rPr>
              <w:t>30 (28% of sample)</w:t>
            </w:r>
          </w:p>
        </w:tc>
        <w:tc>
          <w:tcPr>
            <w:tcW w:w="1984" w:type="dxa"/>
            <w:noWrap/>
          </w:tcPr>
          <w:p w14:paraId="71DACE96" w14:textId="6DD37C56" w:rsidR="00FB6D51" w:rsidRPr="002F07BA" w:rsidRDefault="00547F93" w:rsidP="007C548B">
            <w:pPr>
              <w:rPr>
                <w:sz w:val="20"/>
                <w:szCs w:val="20"/>
              </w:rPr>
            </w:pPr>
            <w:r w:rsidRPr="002F07BA">
              <w:rPr>
                <w:sz w:val="20"/>
                <w:szCs w:val="20"/>
              </w:rPr>
              <w:t>6 (5% of sample)</w:t>
            </w:r>
          </w:p>
        </w:tc>
      </w:tr>
      <w:tr w:rsidR="00FB6D51" w:rsidRPr="00D04EA6" w14:paraId="1ED327BB" w14:textId="77777777" w:rsidTr="00FB6D51">
        <w:trPr>
          <w:trHeight w:val="288"/>
        </w:trPr>
        <w:tc>
          <w:tcPr>
            <w:tcW w:w="3397" w:type="dxa"/>
            <w:noWrap/>
            <w:hideMark/>
          </w:tcPr>
          <w:p w14:paraId="5DFFCA6C" w14:textId="09E2B7CC" w:rsidR="00FB6D51" w:rsidRPr="002F07BA" w:rsidRDefault="00FB6D51" w:rsidP="007C548B">
            <w:pPr>
              <w:rPr>
                <w:sz w:val="20"/>
                <w:szCs w:val="20"/>
              </w:rPr>
            </w:pPr>
            <w:r w:rsidRPr="002F07BA">
              <w:rPr>
                <w:sz w:val="20"/>
                <w:szCs w:val="20"/>
              </w:rPr>
              <w:t xml:space="preserve">Minimum allowable </w:t>
            </w:r>
            <w:r w:rsidR="007C548B" w:rsidRPr="002F07BA">
              <w:rPr>
                <w:sz w:val="20"/>
                <w:szCs w:val="20"/>
              </w:rPr>
              <w:t xml:space="preserve">daily </w:t>
            </w:r>
            <w:r w:rsidRPr="002F07BA">
              <w:rPr>
                <w:sz w:val="20"/>
                <w:szCs w:val="20"/>
              </w:rPr>
              <w:t>sample size</w:t>
            </w:r>
          </w:p>
        </w:tc>
        <w:tc>
          <w:tcPr>
            <w:tcW w:w="1843" w:type="dxa"/>
            <w:noWrap/>
            <w:hideMark/>
          </w:tcPr>
          <w:p w14:paraId="390569E0" w14:textId="77777777" w:rsidR="00FB6D51" w:rsidRPr="002F07BA" w:rsidRDefault="00FB6D51" w:rsidP="007C548B">
            <w:pPr>
              <w:rPr>
                <w:sz w:val="20"/>
                <w:szCs w:val="20"/>
              </w:rPr>
            </w:pPr>
            <w:r w:rsidRPr="002F07BA">
              <w:rPr>
                <w:sz w:val="20"/>
                <w:szCs w:val="20"/>
              </w:rPr>
              <w:t>20</w:t>
            </w:r>
          </w:p>
        </w:tc>
        <w:tc>
          <w:tcPr>
            <w:tcW w:w="1843" w:type="dxa"/>
            <w:noWrap/>
            <w:hideMark/>
          </w:tcPr>
          <w:p w14:paraId="1FBB8BA5" w14:textId="77777777" w:rsidR="00FB6D51" w:rsidRPr="002F07BA" w:rsidRDefault="00FB6D51" w:rsidP="007C548B">
            <w:pPr>
              <w:rPr>
                <w:sz w:val="20"/>
                <w:szCs w:val="20"/>
              </w:rPr>
            </w:pPr>
            <w:r w:rsidRPr="002F07BA">
              <w:rPr>
                <w:sz w:val="20"/>
                <w:szCs w:val="20"/>
              </w:rPr>
              <w:t>10</w:t>
            </w:r>
          </w:p>
        </w:tc>
        <w:tc>
          <w:tcPr>
            <w:tcW w:w="1984" w:type="dxa"/>
            <w:noWrap/>
            <w:hideMark/>
          </w:tcPr>
          <w:p w14:paraId="78E9078A" w14:textId="0A5F4D2E" w:rsidR="00FB6D51" w:rsidRPr="002F07BA" w:rsidRDefault="00FB6D51" w:rsidP="007C548B">
            <w:pPr>
              <w:rPr>
                <w:sz w:val="20"/>
                <w:szCs w:val="20"/>
              </w:rPr>
            </w:pPr>
            <w:r w:rsidRPr="002F07BA">
              <w:rPr>
                <w:sz w:val="20"/>
                <w:szCs w:val="20"/>
              </w:rPr>
              <w:t>3</w:t>
            </w:r>
          </w:p>
        </w:tc>
      </w:tr>
      <w:tr w:rsidR="00FB6D51" w:rsidRPr="00D04EA6" w14:paraId="5D97C69B" w14:textId="77777777" w:rsidTr="00FB6D51">
        <w:trPr>
          <w:trHeight w:val="288"/>
        </w:trPr>
        <w:tc>
          <w:tcPr>
            <w:tcW w:w="3397" w:type="dxa"/>
            <w:noWrap/>
            <w:hideMark/>
          </w:tcPr>
          <w:p w14:paraId="25A7E84F" w14:textId="1545EE9C" w:rsidR="00FB6D51" w:rsidRPr="002F07BA" w:rsidRDefault="007C548B" w:rsidP="007C548B">
            <w:pPr>
              <w:rPr>
                <w:sz w:val="20"/>
                <w:szCs w:val="20"/>
              </w:rPr>
            </w:pPr>
            <w:r w:rsidRPr="002F07BA">
              <w:rPr>
                <w:sz w:val="20"/>
                <w:szCs w:val="20"/>
              </w:rPr>
              <w:t>A</w:t>
            </w:r>
            <w:r w:rsidR="00FB6D51" w:rsidRPr="002F07BA">
              <w:rPr>
                <w:sz w:val="20"/>
                <w:szCs w:val="20"/>
              </w:rPr>
              <w:t xml:space="preserve">ctual minimum </w:t>
            </w:r>
            <w:r w:rsidRPr="002F07BA">
              <w:rPr>
                <w:sz w:val="20"/>
                <w:szCs w:val="20"/>
              </w:rPr>
              <w:t xml:space="preserve">daily </w:t>
            </w:r>
            <w:r w:rsidR="00FB6D51" w:rsidRPr="002F07BA">
              <w:rPr>
                <w:sz w:val="20"/>
                <w:szCs w:val="20"/>
              </w:rPr>
              <w:t>sample size</w:t>
            </w:r>
          </w:p>
        </w:tc>
        <w:tc>
          <w:tcPr>
            <w:tcW w:w="1843" w:type="dxa"/>
            <w:noWrap/>
            <w:hideMark/>
          </w:tcPr>
          <w:p w14:paraId="3587DB18" w14:textId="77777777" w:rsidR="00FB6D51" w:rsidRPr="002F07BA" w:rsidRDefault="00FB6D51" w:rsidP="007C548B">
            <w:pPr>
              <w:rPr>
                <w:sz w:val="20"/>
                <w:szCs w:val="20"/>
              </w:rPr>
            </w:pPr>
            <w:r w:rsidRPr="002F07BA">
              <w:rPr>
                <w:sz w:val="20"/>
                <w:szCs w:val="20"/>
              </w:rPr>
              <w:t>21</w:t>
            </w:r>
          </w:p>
        </w:tc>
        <w:tc>
          <w:tcPr>
            <w:tcW w:w="1843" w:type="dxa"/>
            <w:noWrap/>
            <w:hideMark/>
          </w:tcPr>
          <w:p w14:paraId="37ECEAA1" w14:textId="77777777" w:rsidR="00FB6D51" w:rsidRPr="002F07BA" w:rsidRDefault="00FB6D51" w:rsidP="007C548B">
            <w:pPr>
              <w:rPr>
                <w:sz w:val="20"/>
                <w:szCs w:val="20"/>
              </w:rPr>
            </w:pPr>
            <w:r w:rsidRPr="002F07BA">
              <w:rPr>
                <w:sz w:val="20"/>
                <w:szCs w:val="20"/>
              </w:rPr>
              <w:t>11</w:t>
            </w:r>
          </w:p>
        </w:tc>
        <w:tc>
          <w:tcPr>
            <w:tcW w:w="1984" w:type="dxa"/>
            <w:noWrap/>
            <w:hideMark/>
          </w:tcPr>
          <w:p w14:paraId="16F20433" w14:textId="77777777" w:rsidR="00FB6D51" w:rsidRPr="002F07BA" w:rsidRDefault="00FB6D51" w:rsidP="007C548B">
            <w:pPr>
              <w:rPr>
                <w:sz w:val="20"/>
                <w:szCs w:val="20"/>
              </w:rPr>
            </w:pPr>
            <w:r w:rsidRPr="002F07BA">
              <w:rPr>
                <w:sz w:val="20"/>
                <w:szCs w:val="20"/>
              </w:rPr>
              <w:t>3</w:t>
            </w:r>
          </w:p>
        </w:tc>
      </w:tr>
      <w:tr w:rsidR="00FB6D51" w:rsidRPr="00D04EA6" w14:paraId="27B4C1AD" w14:textId="77777777" w:rsidTr="00FB6D51">
        <w:trPr>
          <w:trHeight w:val="288"/>
        </w:trPr>
        <w:tc>
          <w:tcPr>
            <w:tcW w:w="3397" w:type="dxa"/>
            <w:noWrap/>
            <w:hideMark/>
          </w:tcPr>
          <w:p w14:paraId="5015B939" w14:textId="77777777" w:rsidR="00FB6D51" w:rsidRPr="002F07BA" w:rsidRDefault="00FB6D51" w:rsidP="007C548B">
            <w:pPr>
              <w:rPr>
                <w:sz w:val="20"/>
                <w:szCs w:val="20"/>
              </w:rPr>
            </w:pPr>
            <w:r w:rsidRPr="002F07BA">
              <w:rPr>
                <w:sz w:val="20"/>
                <w:szCs w:val="20"/>
              </w:rPr>
              <w:t>Mean daily sample size</w:t>
            </w:r>
          </w:p>
        </w:tc>
        <w:tc>
          <w:tcPr>
            <w:tcW w:w="1843" w:type="dxa"/>
            <w:noWrap/>
            <w:hideMark/>
          </w:tcPr>
          <w:p w14:paraId="6C6F9606" w14:textId="2B8FECD9" w:rsidR="00FB6D51" w:rsidRPr="002F07BA" w:rsidRDefault="00FB6D51" w:rsidP="007C548B">
            <w:pPr>
              <w:rPr>
                <w:sz w:val="20"/>
                <w:szCs w:val="20"/>
              </w:rPr>
            </w:pPr>
            <w:r w:rsidRPr="002F07BA">
              <w:rPr>
                <w:sz w:val="20"/>
                <w:szCs w:val="20"/>
              </w:rPr>
              <w:t>41</w:t>
            </w:r>
          </w:p>
        </w:tc>
        <w:tc>
          <w:tcPr>
            <w:tcW w:w="1843" w:type="dxa"/>
            <w:noWrap/>
            <w:hideMark/>
          </w:tcPr>
          <w:p w14:paraId="0FDB479D" w14:textId="6F814CAB" w:rsidR="00FB6D51" w:rsidRPr="002F07BA" w:rsidRDefault="00FB6D51" w:rsidP="007C548B">
            <w:pPr>
              <w:rPr>
                <w:sz w:val="20"/>
                <w:szCs w:val="20"/>
              </w:rPr>
            </w:pPr>
            <w:r w:rsidRPr="002F07BA">
              <w:rPr>
                <w:sz w:val="20"/>
                <w:szCs w:val="20"/>
              </w:rPr>
              <w:t>16</w:t>
            </w:r>
          </w:p>
        </w:tc>
        <w:tc>
          <w:tcPr>
            <w:tcW w:w="1984" w:type="dxa"/>
            <w:noWrap/>
            <w:hideMark/>
          </w:tcPr>
          <w:p w14:paraId="6A570702" w14:textId="27DEF141" w:rsidR="00FB6D51" w:rsidRPr="002F07BA" w:rsidRDefault="00FB6D51" w:rsidP="007C548B">
            <w:pPr>
              <w:rPr>
                <w:sz w:val="20"/>
                <w:szCs w:val="20"/>
              </w:rPr>
            </w:pPr>
            <w:r w:rsidRPr="002F07BA">
              <w:rPr>
                <w:sz w:val="20"/>
                <w:szCs w:val="20"/>
              </w:rPr>
              <w:t>4</w:t>
            </w:r>
          </w:p>
        </w:tc>
      </w:tr>
    </w:tbl>
    <w:p w14:paraId="631CFB18" w14:textId="77777777" w:rsidR="0000348D" w:rsidRDefault="0000348D" w:rsidP="007C548B">
      <w:pPr>
        <w:spacing w:after="0"/>
      </w:pPr>
    </w:p>
    <w:p w14:paraId="75AE52F5" w14:textId="1C8461EB" w:rsidR="002A6364" w:rsidRDefault="002A6364" w:rsidP="002A6364">
      <w:pPr>
        <w:pStyle w:val="Heading1"/>
      </w:pPr>
      <w:r>
        <w:lastRenderedPageBreak/>
        <w:t xml:space="preserve">Applicability of </w:t>
      </w:r>
      <w:r w:rsidR="002F78A4">
        <w:t xml:space="preserve">ASHP </w:t>
      </w:r>
      <w:r>
        <w:t xml:space="preserve">performance </w:t>
      </w:r>
      <w:r w:rsidR="002F78A4">
        <w:t xml:space="preserve">model </w:t>
      </w:r>
      <w:r>
        <w:t>during colder weather</w:t>
      </w:r>
    </w:p>
    <w:p w14:paraId="68C396F1" w14:textId="73F5D086" w:rsidR="009810EC" w:rsidRDefault="002A6364" w:rsidP="002A6364">
      <w:r>
        <w:t xml:space="preserve">The performance of the national stock of heat pumps is of particular interest during the coldest </w:t>
      </w:r>
      <w:proofErr w:type="gramStart"/>
      <w:r>
        <w:t>weather, since</w:t>
      </w:r>
      <w:proofErr w:type="gramEnd"/>
      <w:r>
        <w:t xml:space="preserve"> this will determine the peak heat pump electricity demand.</w:t>
      </w:r>
      <w:r w:rsidR="002F78A4">
        <w:t xml:space="preserve"> This is especially important for ASHPs, as their performance is known to decline during colder weather.</w:t>
      </w:r>
      <w:r>
        <w:t xml:space="preserve"> </w:t>
      </w:r>
      <w:r w:rsidR="009810EC">
        <w:t xml:space="preserve">The Carnot COP, which is the maximum theoretical COP, can be determined from the source and sink temperatures of the heat pump. It might be supposed that the real heat pump COP would be a constant fraction of this, and thus the </w:t>
      </w:r>
      <w:r w:rsidR="00A723BF">
        <w:t>ASHP</w:t>
      </w:r>
      <w:r w:rsidR="009810EC">
        <w:t xml:space="preserve"> performance at low temperatures could be obtained theoretically. However, in a real heat pump installation, there are a range of other factors that can affect heat pump performance at low </w:t>
      </w:r>
      <w:r w:rsidR="002F78A4">
        <w:t xml:space="preserve">outdoor </w:t>
      </w:r>
      <w:r w:rsidR="009810EC">
        <w:t>temperatures</w:t>
      </w:r>
      <w:r w:rsidR="002F78A4">
        <w:t>, such as</w:t>
      </w:r>
      <w:r w:rsidR="009810EC">
        <w:t xml:space="preserve"> </w:t>
      </w:r>
      <w:r w:rsidR="002F78A4">
        <w:t xml:space="preserve">the use of </w:t>
      </w:r>
      <w:r w:rsidR="009810EC">
        <w:t>booster heaters</w:t>
      </w:r>
      <w:r w:rsidR="002F78A4">
        <w:t>, changes in heating patterns, weather compensation curve</w:t>
      </w:r>
      <w:r w:rsidR="005C6B2A">
        <w:t>, defrosting</w:t>
      </w:r>
      <w:r w:rsidR="002F78A4">
        <w:t xml:space="preserve"> and others. Therefore, it is helpful to examine the real </w:t>
      </w:r>
      <w:r w:rsidR="00A723BF">
        <w:t>ASHP</w:t>
      </w:r>
      <w:r w:rsidR="002F78A4">
        <w:t xml:space="preserve"> performance at low outdoor temperatures.</w:t>
      </w:r>
    </w:p>
    <w:p w14:paraId="7B4F0A9E" w14:textId="1D38B612" w:rsidR="002A6364" w:rsidRDefault="00254518" w:rsidP="002A6364">
      <w:r>
        <w:t xml:space="preserve">Because the </w:t>
      </w:r>
      <w:r w:rsidR="004D0F1F">
        <w:t>aim is to predict GB national heat pump electricity demand, t</w:t>
      </w:r>
      <w:r w:rsidR="002A6364">
        <w:t>he outdoor temperature</w:t>
      </w:r>
      <w:r w:rsidR="009810EC">
        <w:rPr>
          <w:rStyle w:val="FootnoteReference"/>
        </w:rPr>
        <w:footnoteReference w:id="1"/>
      </w:r>
      <w:r w:rsidR="002A6364">
        <w:t xml:space="preserve"> of interest is the mean of the temperatures experienced at each heat pump. Therefore, when constructing the model of heat pump performance</w:t>
      </w:r>
      <w:r w:rsidR="009810EC">
        <w:t>, the mean is taken of the daily outdoor temperatures from each of the heat pumps having valid data for that day. As noted in the main paper</w:t>
      </w:r>
      <w:r w:rsidR="00A723BF">
        <w:t xml:space="preserve"> (Watson et al. 2023)</w:t>
      </w:r>
      <w:r w:rsidR="009810EC">
        <w:t xml:space="preserve">, there were only two days where this temperature was below -2°C. There was one day at -4.1°C and one at -3.4°C. When the model is used to give predictions of </w:t>
      </w:r>
      <w:r w:rsidR="002F78A4">
        <w:t xml:space="preserve">national </w:t>
      </w:r>
      <w:r w:rsidR="009810EC">
        <w:t xml:space="preserve">heat pump performance, </w:t>
      </w:r>
      <w:r w:rsidR="002F78A4">
        <w:t>the input temperature is the mean temperature experienced by the GB housing stock. T</w:t>
      </w:r>
      <w:r w:rsidR="009810EC">
        <w:t>he lowest temperature input to the model is -3.6°C</w:t>
      </w:r>
      <w:r w:rsidR="00EC5996">
        <w:t>, which occurred in the 2010 weather data</w:t>
      </w:r>
      <w:r w:rsidR="009810EC">
        <w:t xml:space="preserve">. </w:t>
      </w:r>
    </w:p>
    <w:p w14:paraId="63E77995" w14:textId="0662859B" w:rsidR="00F44B04" w:rsidRDefault="00F44B04" w:rsidP="002A6364">
      <w:r>
        <w:t xml:space="preserve">Since there are few data points for </w:t>
      </w:r>
      <w:r w:rsidR="00694D90">
        <w:t xml:space="preserve">particularly </w:t>
      </w:r>
      <w:r>
        <w:t xml:space="preserve">cold weather experienced by the sample of heat </w:t>
      </w:r>
      <w:proofErr w:type="gramStart"/>
      <w:r>
        <w:t>pumps as a whole, it</w:t>
      </w:r>
      <w:proofErr w:type="gramEnd"/>
      <w:r>
        <w:t xml:space="preserve"> is </w:t>
      </w:r>
      <w:r w:rsidR="00694D90">
        <w:t>of interest to examine the performance of individual heat pumps during particularly cold weather. I</w:t>
      </w:r>
      <w:r w:rsidR="002429A2">
        <w:t xml:space="preserve">t is generally preferrable for the model to err on the side of caution </w:t>
      </w:r>
      <w:proofErr w:type="gramStart"/>
      <w:r w:rsidR="002429A2">
        <w:t>i.e.</w:t>
      </w:r>
      <w:proofErr w:type="gramEnd"/>
      <w:r w:rsidR="002429A2">
        <w:t xml:space="preserve"> underestimate heat pump performance during cold weather. </w:t>
      </w:r>
      <w:r w:rsidR="005B7596">
        <w:t>It is therefore useful to examine whether there is a deviation from a straight</w:t>
      </w:r>
      <w:r w:rsidR="006E2880">
        <w:t>-</w:t>
      </w:r>
      <w:r w:rsidR="005B7596">
        <w:t xml:space="preserve">line relationship between COP and outdoor temperature at low outdoor temperatures, especially whether </w:t>
      </w:r>
      <w:r w:rsidR="001633CC">
        <w:t xml:space="preserve">the actual </w:t>
      </w:r>
      <w:r w:rsidR="00287EFF">
        <w:t>COP is lower than would be predicted by a straight</w:t>
      </w:r>
      <w:r w:rsidR="00746E40">
        <w:t>-</w:t>
      </w:r>
      <w:r w:rsidR="00287EFF">
        <w:t>line relationship based on observations at higher temperatures.</w:t>
      </w:r>
    </w:p>
    <w:p w14:paraId="6C23B891" w14:textId="2C62769D" w:rsidR="00287EFF" w:rsidRDefault="00287EFF" w:rsidP="002A6364">
      <w:r>
        <w:t xml:space="preserve">Heat pumps having </w:t>
      </w:r>
      <w:r w:rsidR="00F46424">
        <w:t>at least eight days of outdoor temperature below -</w:t>
      </w:r>
      <w:r w:rsidR="00CA31CE">
        <w:t>2</w:t>
      </w:r>
      <w:r w:rsidR="00F46424">
        <w:t xml:space="preserve">°C were selected, and </w:t>
      </w:r>
      <w:r w:rsidR="00BE02A6">
        <w:t>daily COP was plotted against outdoor air temperature, for days with outdoor air temperature below 5°C.</w:t>
      </w:r>
      <w:r w:rsidR="001A5ECB">
        <w:t xml:space="preserve"> A least-squares straight line was fitted.</w:t>
      </w:r>
      <w:r w:rsidR="00BE02A6">
        <w:t xml:space="preserve"> </w:t>
      </w:r>
      <w:r w:rsidR="00943FA5">
        <w:t xml:space="preserve">Some examples of this are shown in Figures </w:t>
      </w:r>
      <w:r w:rsidR="002618C7">
        <w:t>1-4</w:t>
      </w:r>
      <w:r w:rsidR="00943FA5">
        <w:t xml:space="preserve">. There was no tendency </w:t>
      </w:r>
      <w:r w:rsidR="009F6282">
        <w:t xml:space="preserve">for COP at low temperatures to be lower than predicted by a straight line, indicating </w:t>
      </w:r>
      <w:r w:rsidR="00A3621E">
        <w:t>that the model is not over-predicting COP at low temperatures.</w:t>
      </w:r>
    </w:p>
    <w:p w14:paraId="702EFEC5" w14:textId="77777777" w:rsidR="00904F7B" w:rsidRPr="001A5ECB" w:rsidRDefault="00904F7B" w:rsidP="00904F7B">
      <w:pPr>
        <w:rPr>
          <w:lang w:eastAsia="zh-CN"/>
        </w:rPr>
      </w:pPr>
      <w:r>
        <w:rPr>
          <w:lang w:eastAsia="zh-CN"/>
        </w:rPr>
        <w:t xml:space="preserve">Scatter graphs of individual daily COP vs daily outdoor air temperature, where all ASHPs are shown on one scatter graph, are given by Watson (2020). </w:t>
      </w:r>
    </w:p>
    <w:p w14:paraId="586D3249" w14:textId="77777777" w:rsidR="00904F7B" w:rsidRDefault="00904F7B" w:rsidP="002A6364"/>
    <w:p w14:paraId="4736F82B" w14:textId="77777777" w:rsidR="006E2880" w:rsidRDefault="00BB297A" w:rsidP="006E2880">
      <w:pPr>
        <w:keepNext/>
      </w:pPr>
      <w:r w:rsidRPr="00BB297A">
        <w:rPr>
          <w:noProof/>
        </w:rPr>
        <w:lastRenderedPageBreak/>
        <w:drawing>
          <wp:inline distT="0" distB="0" distL="0" distR="0" wp14:anchorId="6A13E21C" wp14:editId="15A03367">
            <wp:extent cx="5326380" cy="3992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26380" cy="3992880"/>
                    </a:xfrm>
                    <a:prstGeom prst="rect">
                      <a:avLst/>
                    </a:prstGeom>
                    <a:noFill/>
                    <a:ln>
                      <a:noFill/>
                    </a:ln>
                  </pic:spPr>
                </pic:pic>
              </a:graphicData>
            </a:graphic>
          </wp:inline>
        </w:drawing>
      </w:r>
    </w:p>
    <w:p w14:paraId="5DC42554" w14:textId="2208423D" w:rsidR="00A3621E" w:rsidRDefault="006E2880" w:rsidP="006E2880">
      <w:pPr>
        <w:pStyle w:val="Caption"/>
      </w:pPr>
      <w:r>
        <w:t xml:space="preserve">Figure </w:t>
      </w:r>
      <w:fldSimple w:instr=" SEQ Figure \* ARABIC ">
        <w:r w:rsidR="00CE340C">
          <w:rPr>
            <w:noProof/>
          </w:rPr>
          <w:t>1</w:t>
        </w:r>
      </w:fldSimple>
      <w:r w:rsidR="00914604">
        <w:t xml:space="preserve">: </w:t>
      </w:r>
      <w:r w:rsidR="00746E40">
        <w:t xml:space="preserve">Daily </w:t>
      </w:r>
      <w:r w:rsidR="00914604">
        <w:t xml:space="preserve">Coefficient </w:t>
      </w:r>
      <w:proofErr w:type="gramStart"/>
      <w:r w:rsidR="00914604">
        <w:t>Of</w:t>
      </w:r>
      <w:proofErr w:type="gramEnd"/>
      <w:r w:rsidR="00914604">
        <w:t xml:space="preserve"> Performance vs </w:t>
      </w:r>
      <w:r w:rsidR="00746E40">
        <w:t>daily o</w:t>
      </w:r>
      <w:r w:rsidR="00914604">
        <w:t>utdoor air temperature</w:t>
      </w:r>
      <w:r w:rsidR="00746E40">
        <w:t>, for one ASHP, showing only days with outdoor temperature below 5°C.</w:t>
      </w:r>
    </w:p>
    <w:p w14:paraId="52DE7674" w14:textId="77777777" w:rsidR="006E2880" w:rsidRDefault="00FC7867" w:rsidP="006E2880">
      <w:pPr>
        <w:keepNext/>
      </w:pPr>
      <w:r w:rsidRPr="00FC7867">
        <w:rPr>
          <w:noProof/>
        </w:rPr>
        <w:lastRenderedPageBreak/>
        <w:drawing>
          <wp:inline distT="0" distB="0" distL="0" distR="0" wp14:anchorId="3F687483" wp14:editId="56CC9C58">
            <wp:extent cx="5326380" cy="39928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6380" cy="3992880"/>
                    </a:xfrm>
                    <a:prstGeom prst="rect">
                      <a:avLst/>
                    </a:prstGeom>
                    <a:noFill/>
                    <a:ln>
                      <a:noFill/>
                    </a:ln>
                  </pic:spPr>
                </pic:pic>
              </a:graphicData>
            </a:graphic>
          </wp:inline>
        </w:drawing>
      </w:r>
    </w:p>
    <w:p w14:paraId="0CE659E4" w14:textId="7B9F8018" w:rsidR="00BB297A" w:rsidRDefault="006E2880" w:rsidP="006E2880">
      <w:pPr>
        <w:pStyle w:val="Caption"/>
      </w:pPr>
      <w:r>
        <w:t xml:space="preserve">Figure </w:t>
      </w:r>
      <w:fldSimple w:instr=" SEQ Figure \* ARABIC ">
        <w:r w:rsidR="00CE340C">
          <w:rPr>
            <w:noProof/>
          </w:rPr>
          <w:t>2</w:t>
        </w:r>
      </w:fldSimple>
      <w:r w:rsidR="001A5ECB">
        <w:t>: Daily Coefficient Of Performance vs daily outdoor air temperature, for one ASHP, showing only days with outdoor temperature below 5°C.</w:t>
      </w:r>
    </w:p>
    <w:p w14:paraId="42A4DF7F" w14:textId="77777777" w:rsidR="006E2880" w:rsidRDefault="00FC7867" w:rsidP="006E2880">
      <w:pPr>
        <w:keepNext/>
      </w:pPr>
      <w:r w:rsidRPr="00FC7867">
        <w:rPr>
          <w:noProof/>
        </w:rPr>
        <w:lastRenderedPageBreak/>
        <w:drawing>
          <wp:inline distT="0" distB="0" distL="0" distR="0" wp14:anchorId="63E956F5" wp14:editId="410E19EC">
            <wp:extent cx="5326380" cy="39928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6380" cy="3992880"/>
                    </a:xfrm>
                    <a:prstGeom prst="rect">
                      <a:avLst/>
                    </a:prstGeom>
                    <a:noFill/>
                    <a:ln>
                      <a:noFill/>
                    </a:ln>
                  </pic:spPr>
                </pic:pic>
              </a:graphicData>
            </a:graphic>
          </wp:inline>
        </w:drawing>
      </w:r>
    </w:p>
    <w:p w14:paraId="681D436D" w14:textId="2852FD3C" w:rsidR="00FC7867" w:rsidRDefault="006E2880" w:rsidP="006E2880">
      <w:pPr>
        <w:pStyle w:val="Caption"/>
      </w:pPr>
      <w:r>
        <w:t xml:space="preserve">Figure </w:t>
      </w:r>
      <w:fldSimple w:instr=" SEQ Figure \* ARABIC ">
        <w:r w:rsidR="00CE340C">
          <w:rPr>
            <w:noProof/>
          </w:rPr>
          <w:t>3</w:t>
        </w:r>
      </w:fldSimple>
      <w:r w:rsidR="001A5ECB">
        <w:t>: Daily Coefficient Of Performance vs daily outdoor air temperature, for one ASHP, showing only days with outdoor temperature below 5°C.</w:t>
      </w:r>
    </w:p>
    <w:p w14:paraId="7FEFE5B6" w14:textId="77777777" w:rsidR="006E2880" w:rsidRDefault="00003CC7" w:rsidP="006E2880">
      <w:pPr>
        <w:keepNext/>
      </w:pPr>
      <w:r w:rsidRPr="00003CC7">
        <w:rPr>
          <w:noProof/>
        </w:rPr>
        <w:lastRenderedPageBreak/>
        <w:drawing>
          <wp:inline distT="0" distB="0" distL="0" distR="0" wp14:anchorId="65714410" wp14:editId="2AE6A997">
            <wp:extent cx="5326380" cy="39928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6380" cy="3992880"/>
                    </a:xfrm>
                    <a:prstGeom prst="rect">
                      <a:avLst/>
                    </a:prstGeom>
                    <a:noFill/>
                    <a:ln>
                      <a:noFill/>
                    </a:ln>
                  </pic:spPr>
                </pic:pic>
              </a:graphicData>
            </a:graphic>
          </wp:inline>
        </w:drawing>
      </w:r>
    </w:p>
    <w:p w14:paraId="4CCB6024" w14:textId="386996C4" w:rsidR="002F78A4" w:rsidRDefault="006E2880" w:rsidP="001A5ECB">
      <w:pPr>
        <w:pStyle w:val="Caption"/>
      </w:pPr>
      <w:r>
        <w:t xml:space="preserve">Figure </w:t>
      </w:r>
      <w:fldSimple w:instr=" SEQ Figure \* ARABIC ">
        <w:r w:rsidR="00CE340C">
          <w:rPr>
            <w:noProof/>
          </w:rPr>
          <w:t>4</w:t>
        </w:r>
      </w:fldSimple>
      <w:r w:rsidR="001A5ECB">
        <w:t>: Daily Coefficient Of Performance vs daily outdoor air temperature, for one ASHP, showing only days with outdoor temperature below 5°C.</w:t>
      </w:r>
    </w:p>
    <w:p w14:paraId="3025E317" w14:textId="61C71D15" w:rsidR="00DB2AEF" w:rsidRDefault="00A132CF" w:rsidP="00E91931">
      <w:pPr>
        <w:pStyle w:val="Heading1"/>
      </w:pPr>
      <w:r>
        <w:t xml:space="preserve">Applicability of </w:t>
      </w:r>
      <w:r w:rsidR="00E91931">
        <w:t>GSHP performance model</w:t>
      </w:r>
      <w:r>
        <w:t xml:space="preserve"> during cold weather</w:t>
      </w:r>
    </w:p>
    <w:p w14:paraId="54504E0D" w14:textId="53C0EEAA" w:rsidR="00E91931" w:rsidRDefault="003A07B8" w:rsidP="00E91931">
      <w:r>
        <w:t xml:space="preserve">In the case of GSHPs, there is not a direct link between outdoor air temperature and performance, since the heat is extracted from the ground, </w:t>
      </w:r>
      <w:r w:rsidR="00B706CE">
        <w:t>which is</w:t>
      </w:r>
      <w:r w:rsidR="0075464E">
        <w:t xml:space="preserve"> only</w:t>
      </w:r>
      <w:r w:rsidR="00B706CE">
        <w:t xml:space="preserve"> influenced by the air temperature over much longer timescales</w:t>
      </w:r>
      <w:r w:rsidR="0075464E">
        <w:t xml:space="preserve"> than daily</w:t>
      </w:r>
      <w:r w:rsidR="00B706CE">
        <w:t xml:space="preserve">. However, GSHP performance does decline with higher outdoor air temperature, </w:t>
      </w:r>
      <w:r w:rsidR="00D537E3">
        <w:t xml:space="preserve">due to a combination of a greater proportion of heat output being required for DHW, cycling, and relatively greater parasitic loads. </w:t>
      </w:r>
      <w:r w:rsidR="00004386">
        <w:t xml:space="preserve">GSHP performance </w:t>
      </w:r>
      <w:r w:rsidR="00C82ED3">
        <w:t xml:space="preserve">was therefore constrained to be </w:t>
      </w:r>
      <w:r w:rsidR="00004386">
        <w:t xml:space="preserve">constant at outdoor air temperatures below 5°C, </w:t>
      </w:r>
      <w:r w:rsidR="00C82ED3">
        <w:t xml:space="preserve">but no further constraint was placed on the broken-stick regression algorithm. </w:t>
      </w:r>
      <w:r w:rsidR="0006415E">
        <w:t xml:space="preserve">The reasonableness of constraining GSHP performance to be constant at outdoor temperatures below 5°C was </w:t>
      </w:r>
      <w:r w:rsidR="008A6EFB">
        <w:t>investigat</w:t>
      </w:r>
      <w:r w:rsidR="00D626B8">
        <w:t>ed by looking at scatter plots of individual GSHP performance against outdoor air temperature.</w:t>
      </w:r>
      <w:r w:rsidR="00DA226F">
        <w:t xml:space="preserve"> </w:t>
      </w:r>
      <w:r w:rsidR="008245D7">
        <w:t>GSHPs were selected which had at least eight days of data</w:t>
      </w:r>
      <w:r w:rsidR="00367497">
        <w:t xml:space="preserve"> when the outdoor temperature was below -2°C. </w:t>
      </w:r>
      <w:r w:rsidR="0028112C">
        <w:t xml:space="preserve">For these heat pumps, the daily Coefficient </w:t>
      </w:r>
      <w:proofErr w:type="gramStart"/>
      <w:r w:rsidR="0028112C">
        <w:t>Of</w:t>
      </w:r>
      <w:proofErr w:type="gramEnd"/>
      <w:r w:rsidR="0028112C">
        <w:t xml:space="preserve"> Performance was plotted against </w:t>
      </w:r>
      <w:r w:rsidR="00480148">
        <w:t xml:space="preserve">daily outdoor air temperature, for all days with outdoor air temperature below 5°C. A horizontal line was added, indicating the mean COP of all these days. </w:t>
      </w:r>
      <w:r w:rsidR="00CE340C">
        <w:t xml:space="preserve">Examples are given in Figures 5-8. </w:t>
      </w:r>
      <w:r w:rsidR="009F0AD4">
        <w:t xml:space="preserve">In one case the GSHP performance </w:t>
      </w:r>
      <w:r w:rsidR="002164EF">
        <w:t>at low temperatures was lower than the mean COP at outdoor</w:t>
      </w:r>
      <w:r w:rsidR="009F0AD4">
        <w:t xml:space="preserve"> temperatures below 5°C (Figure 5), whereas in another case </w:t>
      </w:r>
      <w:r w:rsidR="002164EF">
        <w:t xml:space="preserve">the COP at low temperatures was higher than the mean COP at outdoor temperatures below 5°C (Figure </w:t>
      </w:r>
      <w:r w:rsidR="00284D71">
        <w:t xml:space="preserve">6). In general, mean COP on days with outdoor temperature below 5°C gave a reasonable </w:t>
      </w:r>
      <w:r w:rsidR="00B6689C">
        <w:t xml:space="preserve">estimate of COP at low temperatures (Figures 7 and 8). Therefore, </w:t>
      </w:r>
      <w:proofErr w:type="gramStart"/>
      <w:r w:rsidR="00B6689C">
        <w:t xml:space="preserve">it can be seen that </w:t>
      </w:r>
      <w:r w:rsidR="00D108C8">
        <w:t>constraining</w:t>
      </w:r>
      <w:proofErr w:type="gramEnd"/>
      <w:r w:rsidR="00D108C8">
        <w:t xml:space="preserve"> COP to be constant at outdoor temperatures below 5°C in the GSHP performance model was a reasonable approach.</w:t>
      </w:r>
    </w:p>
    <w:p w14:paraId="3830087E" w14:textId="33B9EE41" w:rsidR="00D108C8" w:rsidRDefault="00D108C8" w:rsidP="00E91931">
      <w:pPr>
        <w:rPr>
          <w:lang w:eastAsia="zh-CN"/>
        </w:rPr>
      </w:pPr>
      <w:r>
        <w:rPr>
          <w:lang w:eastAsia="zh-CN"/>
        </w:rPr>
        <w:t xml:space="preserve">Scatter graphs of individual daily COP vs daily outdoor air temperature, where all GSHPs are shown on one scatter graph, are given by Watson (2020). </w:t>
      </w:r>
    </w:p>
    <w:p w14:paraId="18D3C3E3" w14:textId="7953AC5E" w:rsidR="00D030AA" w:rsidRDefault="00D030AA" w:rsidP="00E91931"/>
    <w:p w14:paraId="1A087B33" w14:textId="526B207A" w:rsidR="00CD064A" w:rsidRDefault="00CD064A" w:rsidP="00E91931"/>
    <w:p w14:paraId="4E53881A" w14:textId="77777777" w:rsidR="00CE340C" w:rsidRDefault="00D030AA" w:rsidP="00CE340C">
      <w:pPr>
        <w:keepNext/>
      </w:pPr>
      <w:r w:rsidRPr="00D030AA">
        <w:rPr>
          <w:noProof/>
        </w:rPr>
        <w:drawing>
          <wp:inline distT="0" distB="0" distL="0" distR="0" wp14:anchorId="5C5D5182" wp14:editId="1B49238C">
            <wp:extent cx="5326380" cy="39928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6380" cy="3992880"/>
                    </a:xfrm>
                    <a:prstGeom prst="rect">
                      <a:avLst/>
                    </a:prstGeom>
                    <a:noFill/>
                    <a:ln>
                      <a:noFill/>
                    </a:ln>
                  </pic:spPr>
                </pic:pic>
              </a:graphicData>
            </a:graphic>
          </wp:inline>
        </w:drawing>
      </w:r>
    </w:p>
    <w:p w14:paraId="3919CEAC" w14:textId="10E6B95D" w:rsidR="00A132CF" w:rsidRDefault="00CE340C" w:rsidP="00A132CF">
      <w:pPr>
        <w:pStyle w:val="Caption"/>
      </w:pPr>
      <w:r>
        <w:t xml:space="preserve">Figure </w:t>
      </w:r>
      <w:fldSimple w:instr=" SEQ Figure \* ARABIC ">
        <w:r>
          <w:rPr>
            <w:noProof/>
          </w:rPr>
          <w:t>5</w:t>
        </w:r>
      </w:fldSimple>
      <w:r w:rsidR="00A132CF">
        <w:t>:</w:t>
      </w:r>
      <w:r w:rsidR="00A132CF" w:rsidRPr="00A132CF">
        <w:t xml:space="preserve"> </w:t>
      </w:r>
      <w:r w:rsidR="00A132CF">
        <w:t xml:space="preserve">Daily Coefficient </w:t>
      </w:r>
      <w:proofErr w:type="gramStart"/>
      <w:r w:rsidR="00A132CF">
        <w:t>Of</w:t>
      </w:r>
      <w:proofErr w:type="gramEnd"/>
      <w:r w:rsidR="00A132CF">
        <w:t xml:space="preserve"> Performance vs daily outdoor air temperature, for one GSHP, showing only days with outdoor temperature below 5°C. Note that in this case the COP </w:t>
      </w:r>
      <w:r w:rsidR="00AA188D">
        <w:t>on particularly cold days appears to be lower than the mean COP of all days below 5°C.</w:t>
      </w:r>
    </w:p>
    <w:p w14:paraId="3D96F953" w14:textId="2E1A6385" w:rsidR="00D030AA" w:rsidRDefault="00D030AA" w:rsidP="00CE340C">
      <w:pPr>
        <w:pStyle w:val="Caption"/>
      </w:pPr>
    </w:p>
    <w:p w14:paraId="3C457156" w14:textId="77777777" w:rsidR="00CE340C" w:rsidRDefault="00385D9B" w:rsidP="00CE340C">
      <w:pPr>
        <w:keepNext/>
      </w:pPr>
      <w:r w:rsidRPr="00385D9B">
        <w:rPr>
          <w:noProof/>
        </w:rPr>
        <w:lastRenderedPageBreak/>
        <w:drawing>
          <wp:inline distT="0" distB="0" distL="0" distR="0" wp14:anchorId="6F2409A6" wp14:editId="212E4312">
            <wp:extent cx="5326380" cy="39928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6380" cy="3992880"/>
                    </a:xfrm>
                    <a:prstGeom prst="rect">
                      <a:avLst/>
                    </a:prstGeom>
                    <a:noFill/>
                    <a:ln>
                      <a:noFill/>
                    </a:ln>
                  </pic:spPr>
                </pic:pic>
              </a:graphicData>
            </a:graphic>
          </wp:inline>
        </w:drawing>
      </w:r>
    </w:p>
    <w:p w14:paraId="28B6F465" w14:textId="5B18B93E" w:rsidR="00AA188D" w:rsidRDefault="00CE340C" w:rsidP="00AA188D">
      <w:pPr>
        <w:pStyle w:val="Caption"/>
      </w:pPr>
      <w:r>
        <w:t xml:space="preserve">Figure </w:t>
      </w:r>
      <w:fldSimple w:instr=" SEQ Figure \* ARABIC ">
        <w:r>
          <w:rPr>
            <w:noProof/>
          </w:rPr>
          <w:t>6</w:t>
        </w:r>
      </w:fldSimple>
      <w:r w:rsidR="00AA188D">
        <w:t xml:space="preserve">: Daily Coefficient </w:t>
      </w:r>
      <w:proofErr w:type="gramStart"/>
      <w:r w:rsidR="00AA188D">
        <w:t>Of</w:t>
      </w:r>
      <w:proofErr w:type="gramEnd"/>
      <w:r w:rsidR="00AA188D">
        <w:t xml:space="preserve"> Performance vs daily outdoor air temperature, for one GSHP, showing only days with outdoor temperature below 5°C. Note that in this case the COP on particularly cold days appears to be higher than the mean COP of all days below 5°C.</w:t>
      </w:r>
    </w:p>
    <w:p w14:paraId="231F478A" w14:textId="0DCA8A81" w:rsidR="00385D9B" w:rsidRDefault="00385D9B" w:rsidP="00CE340C">
      <w:pPr>
        <w:pStyle w:val="Caption"/>
      </w:pPr>
    </w:p>
    <w:p w14:paraId="5C0A7D34" w14:textId="77777777" w:rsidR="00CE340C" w:rsidRDefault="00A67485" w:rsidP="00CE340C">
      <w:pPr>
        <w:keepNext/>
      </w:pPr>
      <w:r w:rsidRPr="00A67485">
        <w:rPr>
          <w:noProof/>
        </w:rPr>
        <w:lastRenderedPageBreak/>
        <w:drawing>
          <wp:inline distT="0" distB="0" distL="0" distR="0" wp14:anchorId="51DF4CED" wp14:editId="4ABDC86D">
            <wp:extent cx="5326380" cy="39928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26380" cy="3992880"/>
                    </a:xfrm>
                    <a:prstGeom prst="rect">
                      <a:avLst/>
                    </a:prstGeom>
                    <a:noFill/>
                    <a:ln>
                      <a:noFill/>
                    </a:ln>
                  </pic:spPr>
                </pic:pic>
              </a:graphicData>
            </a:graphic>
          </wp:inline>
        </w:drawing>
      </w:r>
    </w:p>
    <w:p w14:paraId="62345303" w14:textId="4B2012D7" w:rsidR="00AA188D" w:rsidRDefault="00CE340C" w:rsidP="00AA188D">
      <w:pPr>
        <w:pStyle w:val="Caption"/>
      </w:pPr>
      <w:r>
        <w:t xml:space="preserve">Figure </w:t>
      </w:r>
      <w:fldSimple w:instr=" SEQ Figure \* ARABIC ">
        <w:r>
          <w:rPr>
            <w:noProof/>
          </w:rPr>
          <w:t>7</w:t>
        </w:r>
      </w:fldSimple>
      <w:r w:rsidR="00AA188D">
        <w:t xml:space="preserve">: Daily Coefficient </w:t>
      </w:r>
      <w:proofErr w:type="gramStart"/>
      <w:r w:rsidR="00AA188D">
        <w:t>Of</w:t>
      </w:r>
      <w:proofErr w:type="gramEnd"/>
      <w:r w:rsidR="00AA188D">
        <w:t xml:space="preserve"> Performance vs daily outdoor air temperature, for one GSHP, showing only days with outdoor temperature below 5°C. Note that in this case the COP on particularly cold days appears to be similar to the mean COP of all days below 5°C.</w:t>
      </w:r>
    </w:p>
    <w:p w14:paraId="7577EE4F" w14:textId="0C61931A" w:rsidR="00A67485" w:rsidRDefault="00A67485" w:rsidP="00CE340C">
      <w:pPr>
        <w:pStyle w:val="Caption"/>
      </w:pPr>
    </w:p>
    <w:p w14:paraId="6A1AEDBC" w14:textId="77777777" w:rsidR="00CE340C" w:rsidRDefault="003909A5" w:rsidP="00CE340C">
      <w:pPr>
        <w:keepNext/>
      </w:pPr>
      <w:r w:rsidRPr="003909A5">
        <w:rPr>
          <w:noProof/>
        </w:rPr>
        <w:lastRenderedPageBreak/>
        <w:drawing>
          <wp:inline distT="0" distB="0" distL="0" distR="0" wp14:anchorId="7383B5D7" wp14:editId="77E01539">
            <wp:extent cx="5326380" cy="39928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6380" cy="3992880"/>
                    </a:xfrm>
                    <a:prstGeom prst="rect">
                      <a:avLst/>
                    </a:prstGeom>
                    <a:noFill/>
                    <a:ln>
                      <a:noFill/>
                    </a:ln>
                  </pic:spPr>
                </pic:pic>
              </a:graphicData>
            </a:graphic>
          </wp:inline>
        </w:drawing>
      </w:r>
    </w:p>
    <w:p w14:paraId="024B8085" w14:textId="2EF44F53" w:rsidR="00614FA4" w:rsidRDefault="00CE340C" w:rsidP="00614FA4">
      <w:pPr>
        <w:pStyle w:val="Caption"/>
      </w:pPr>
      <w:r>
        <w:t xml:space="preserve">Figure </w:t>
      </w:r>
      <w:fldSimple w:instr=" SEQ Figure \* ARABIC ">
        <w:r>
          <w:rPr>
            <w:noProof/>
          </w:rPr>
          <w:t>8</w:t>
        </w:r>
      </w:fldSimple>
      <w:r w:rsidR="00614FA4">
        <w:t xml:space="preserve">: Daily Coefficient </w:t>
      </w:r>
      <w:proofErr w:type="gramStart"/>
      <w:r w:rsidR="00614FA4">
        <w:t>Of</w:t>
      </w:r>
      <w:proofErr w:type="gramEnd"/>
      <w:r w:rsidR="00614FA4">
        <w:t xml:space="preserve"> Performance vs daily outdoor air temperature, for one GSHP, showing only days with outdoor temperature below 5°C. Note that in this case the COP on particularly cold days appears to be similar to the mean COP of all days below 5°C.</w:t>
      </w:r>
    </w:p>
    <w:p w14:paraId="2DF6F3C6" w14:textId="258E2970" w:rsidR="003909A5" w:rsidRDefault="003909A5" w:rsidP="00CE340C">
      <w:pPr>
        <w:pStyle w:val="Caption"/>
      </w:pPr>
    </w:p>
    <w:p w14:paraId="2A6CDE02" w14:textId="0CFFA506" w:rsidR="00A67485" w:rsidRDefault="00614FA4" w:rsidP="00614FA4">
      <w:pPr>
        <w:pStyle w:val="Heading1"/>
      </w:pPr>
      <w:r>
        <w:t>References</w:t>
      </w:r>
    </w:p>
    <w:p w14:paraId="466A9359" w14:textId="77777777" w:rsidR="00614FA4" w:rsidRPr="00614FA4" w:rsidRDefault="00614FA4" w:rsidP="00614FA4"/>
    <w:p w14:paraId="3171557A" w14:textId="77777777" w:rsidR="00D030AA" w:rsidRPr="00E91931" w:rsidRDefault="00D030AA" w:rsidP="00E91931"/>
    <w:p w14:paraId="5799ECEA" w14:textId="77777777" w:rsidR="00004386" w:rsidRDefault="00004386" w:rsidP="00004386"/>
    <w:p w14:paraId="3A646E95" w14:textId="39F324F1" w:rsidR="002F78A4" w:rsidRDefault="002F78A4" w:rsidP="002A6364"/>
    <w:p w14:paraId="3FDD1116" w14:textId="77777777" w:rsidR="002F78A4" w:rsidRPr="002A6364" w:rsidRDefault="002F78A4" w:rsidP="002A6364"/>
    <w:sectPr w:rsidR="002F78A4" w:rsidRPr="002A636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F7728" w14:textId="77777777" w:rsidR="00C81613" w:rsidRDefault="00C81613" w:rsidP="009810EC">
      <w:pPr>
        <w:spacing w:after="0" w:line="240" w:lineRule="auto"/>
      </w:pPr>
      <w:r>
        <w:separator/>
      </w:r>
    </w:p>
  </w:endnote>
  <w:endnote w:type="continuationSeparator" w:id="0">
    <w:p w14:paraId="04822E17" w14:textId="77777777" w:rsidR="00C81613" w:rsidRDefault="00C81613" w:rsidP="00981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A0F00" w14:textId="77777777" w:rsidR="00C81613" w:rsidRDefault="00C81613" w:rsidP="009810EC">
      <w:pPr>
        <w:spacing w:after="0" w:line="240" w:lineRule="auto"/>
      </w:pPr>
      <w:r>
        <w:separator/>
      </w:r>
    </w:p>
  </w:footnote>
  <w:footnote w:type="continuationSeparator" w:id="0">
    <w:p w14:paraId="33BE9F67" w14:textId="77777777" w:rsidR="00C81613" w:rsidRDefault="00C81613" w:rsidP="009810EC">
      <w:pPr>
        <w:spacing w:after="0" w:line="240" w:lineRule="auto"/>
      </w:pPr>
      <w:r>
        <w:continuationSeparator/>
      </w:r>
    </w:p>
  </w:footnote>
  <w:footnote w:id="1">
    <w:p w14:paraId="503D996B" w14:textId="60A1706A" w:rsidR="009810EC" w:rsidRDefault="009810EC">
      <w:pPr>
        <w:pStyle w:val="FootnoteText"/>
      </w:pPr>
      <w:r>
        <w:rPr>
          <w:rStyle w:val="FootnoteReference"/>
        </w:rPr>
        <w:footnoteRef/>
      </w:r>
      <w:r>
        <w:t xml:space="preserve"> This is the </w:t>
      </w:r>
      <w:proofErr w:type="gramStart"/>
      <w:r>
        <w:t>exponentially-weighted</w:t>
      </w:r>
      <w:proofErr w:type="gramEnd"/>
      <w:r>
        <w:t xml:space="preserve"> moving average, as described </w:t>
      </w:r>
      <w:proofErr w:type="spellStart"/>
      <w:r>
        <w:t>inWatson</w:t>
      </w:r>
      <w:proofErr w:type="spellEnd"/>
      <w:r>
        <w:t xml:space="preserve"> et al (2018).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364"/>
    <w:rsid w:val="0000348D"/>
    <w:rsid w:val="00003CC7"/>
    <w:rsid w:val="00004386"/>
    <w:rsid w:val="0006415E"/>
    <w:rsid w:val="000A5DA3"/>
    <w:rsid w:val="000B0CA6"/>
    <w:rsid w:val="00142E6F"/>
    <w:rsid w:val="001633CC"/>
    <w:rsid w:val="001A5ECB"/>
    <w:rsid w:val="001D58BB"/>
    <w:rsid w:val="001E3352"/>
    <w:rsid w:val="002164EF"/>
    <w:rsid w:val="002429A2"/>
    <w:rsid w:val="00254518"/>
    <w:rsid w:val="002618C7"/>
    <w:rsid w:val="0028112C"/>
    <w:rsid w:val="00284D71"/>
    <w:rsid w:val="00287EFF"/>
    <w:rsid w:val="002A6364"/>
    <w:rsid w:val="002C04BF"/>
    <w:rsid w:val="002F07BA"/>
    <w:rsid w:val="002F78A4"/>
    <w:rsid w:val="0034132F"/>
    <w:rsid w:val="00350F01"/>
    <w:rsid w:val="00367497"/>
    <w:rsid w:val="003829C8"/>
    <w:rsid w:val="00385D9B"/>
    <w:rsid w:val="003909A5"/>
    <w:rsid w:val="003A07B8"/>
    <w:rsid w:val="003F4D85"/>
    <w:rsid w:val="00480148"/>
    <w:rsid w:val="00483A9C"/>
    <w:rsid w:val="004D0F1F"/>
    <w:rsid w:val="00500B38"/>
    <w:rsid w:val="00547F93"/>
    <w:rsid w:val="005519CA"/>
    <w:rsid w:val="00571C5A"/>
    <w:rsid w:val="005B7596"/>
    <w:rsid w:val="005C6B2A"/>
    <w:rsid w:val="00614FA4"/>
    <w:rsid w:val="00694D90"/>
    <w:rsid w:val="006B298F"/>
    <w:rsid w:val="006E2880"/>
    <w:rsid w:val="00711189"/>
    <w:rsid w:val="0071188F"/>
    <w:rsid w:val="00746E40"/>
    <w:rsid w:val="0075464E"/>
    <w:rsid w:val="007C31E9"/>
    <w:rsid w:val="007C548B"/>
    <w:rsid w:val="008245D7"/>
    <w:rsid w:val="008A6EFB"/>
    <w:rsid w:val="008B7FC5"/>
    <w:rsid w:val="00904F7B"/>
    <w:rsid w:val="00914604"/>
    <w:rsid w:val="00943FA5"/>
    <w:rsid w:val="00973B1A"/>
    <w:rsid w:val="009810EC"/>
    <w:rsid w:val="009C020B"/>
    <w:rsid w:val="009C55B6"/>
    <w:rsid w:val="009F0AD4"/>
    <w:rsid w:val="009F6282"/>
    <w:rsid w:val="00A132CF"/>
    <w:rsid w:val="00A23177"/>
    <w:rsid w:val="00A3621E"/>
    <w:rsid w:val="00A67485"/>
    <w:rsid w:val="00A71E77"/>
    <w:rsid w:val="00A723BF"/>
    <w:rsid w:val="00AA188D"/>
    <w:rsid w:val="00AF26C7"/>
    <w:rsid w:val="00B6689C"/>
    <w:rsid w:val="00B706CE"/>
    <w:rsid w:val="00B960D2"/>
    <w:rsid w:val="00BA2879"/>
    <w:rsid w:val="00BB297A"/>
    <w:rsid w:val="00BE02A6"/>
    <w:rsid w:val="00BF41B0"/>
    <w:rsid w:val="00C00485"/>
    <w:rsid w:val="00C44E3D"/>
    <w:rsid w:val="00C667EE"/>
    <w:rsid w:val="00C81613"/>
    <w:rsid w:val="00C82ED3"/>
    <w:rsid w:val="00CA31CE"/>
    <w:rsid w:val="00CD064A"/>
    <w:rsid w:val="00CE340C"/>
    <w:rsid w:val="00D030AA"/>
    <w:rsid w:val="00D04EA6"/>
    <w:rsid w:val="00D108C8"/>
    <w:rsid w:val="00D537E3"/>
    <w:rsid w:val="00D626B8"/>
    <w:rsid w:val="00DA226F"/>
    <w:rsid w:val="00DB2AEF"/>
    <w:rsid w:val="00E91931"/>
    <w:rsid w:val="00EC5996"/>
    <w:rsid w:val="00ED20D6"/>
    <w:rsid w:val="00F04891"/>
    <w:rsid w:val="00F44B04"/>
    <w:rsid w:val="00F46424"/>
    <w:rsid w:val="00FB6D51"/>
    <w:rsid w:val="00FC7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499E2"/>
  <w15:chartTrackingRefBased/>
  <w15:docId w15:val="{15A5D178-77C1-4650-B6D6-405485662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63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364"/>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9810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10EC"/>
    <w:rPr>
      <w:sz w:val="20"/>
      <w:szCs w:val="20"/>
    </w:rPr>
  </w:style>
  <w:style w:type="character" w:styleId="FootnoteReference">
    <w:name w:val="footnote reference"/>
    <w:basedOn w:val="DefaultParagraphFont"/>
    <w:uiPriority w:val="99"/>
    <w:semiHidden/>
    <w:unhideWhenUsed/>
    <w:rsid w:val="009810EC"/>
    <w:rPr>
      <w:vertAlign w:val="superscript"/>
    </w:rPr>
  </w:style>
  <w:style w:type="table" w:styleId="TableGrid">
    <w:name w:val="Table Grid"/>
    <w:basedOn w:val="TableNormal"/>
    <w:uiPriority w:val="39"/>
    <w:rsid w:val="00AF26C7"/>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F26C7"/>
    <w:pPr>
      <w:spacing w:after="200" w:line="240" w:lineRule="auto"/>
    </w:pPr>
    <w:rPr>
      <w:rFonts w:ascii="Arial" w:eastAsiaTheme="minorEastAsia" w:hAnsi="Arial" w:cs="Arial"/>
      <w:b/>
      <w:bCs/>
      <w:color w:val="4472C4" w:themeColor="accent1"/>
      <w:sz w:val="18"/>
      <w:szCs w:val="18"/>
      <w:lang w:eastAsia="zh-CN"/>
    </w:rPr>
  </w:style>
  <w:style w:type="paragraph" w:styleId="Title">
    <w:name w:val="Title"/>
    <w:basedOn w:val="Normal"/>
    <w:next w:val="Normal"/>
    <w:link w:val="TitleChar"/>
    <w:uiPriority w:val="10"/>
    <w:qFormat/>
    <w:rsid w:val="00973B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3B1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8638">
      <w:bodyDiv w:val="1"/>
      <w:marLeft w:val="0"/>
      <w:marRight w:val="0"/>
      <w:marTop w:val="0"/>
      <w:marBottom w:val="0"/>
      <w:divBdr>
        <w:top w:val="none" w:sz="0" w:space="0" w:color="auto"/>
        <w:left w:val="none" w:sz="0" w:space="0" w:color="auto"/>
        <w:bottom w:val="none" w:sz="0" w:space="0" w:color="auto"/>
        <w:right w:val="none" w:sz="0" w:space="0" w:color="auto"/>
      </w:divBdr>
    </w:div>
    <w:div w:id="572471966">
      <w:bodyDiv w:val="1"/>
      <w:marLeft w:val="0"/>
      <w:marRight w:val="0"/>
      <w:marTop w:val="0"/>
      <w:marBottom w:val="0"/>
      <w:divBdr>
        <w:top w:val="none" w:sz="0" w:space="0" w:color="auto"/>
        <w:left w:val="none" w:sz="0" w:space="0" w:color="auto"/>
        <w:bottom w:val="none" w:sz="0" w:space="0" w:color="auto"/>
        <w:right w:val="none" w:sz="0" w:space="0" w:color="auto"/>
      </w:divBdr>
    </w:div>
    <w:div w:id="934048119">
      <w:bodyDiv w:val="1"/>
      <w:marLeft w:val="0"/>
      <w:marRight w:val="0"/>
      <w:marTop w:val="0"/>
      <w:marBottom w:val="0"/>
      <w:divBdr>
        <w:top w:val="none" w:sz="0" w:space="0" w:color="auto"/>
        <w:left w:val="none" w:sz="0" w:space="0" w:color="auto"/>
        <w:bottom w:val="none" w:sz="0" w:space="0" w:color="auto"/>
        <w:right w:val="none" w:sz="0" w:space="0" w:color="auto"/>
      </w:divBdr>
    </w:div>
    <w:div w:id="1004014245">
      <w:bodyDiv w:val="1"/>
      <w:marLeft w:val="0"/>
      <w:marRight w:val="0"/>
      <w:marTop w:val="0"/>
      <w:marBottom w:val="0"/>
      <w:divBdr>
        <w:top w:val="none" w:sz="0" w:space="0" w:color="auto"/>
        <w:left w:val="none" w:sz="0" w:space="0" w:color="auto"/>
        <w:bottom w:val="none" w:sz="0" w:space="0" w:color="auto"/>
        <w:right w:val="none" w:sz="0" w:space="0" w:color="auto"/>
      </w:divBdr>
    </w:div>
    <w:div w:id="1194418892">
      <w:bodyDiv w:val="1"/>
      <w:marLeft w:val="0"/>
      <w:marRight w:val="0"/>
      <w:marTop w:val="0"/>
      <w:marBottom w:val="0"/>
      <w:divBdr>
        <w:top w:val="none" w:sz="0" w:space="0" w:color="auto"/>
        <w:left w:val="none" w:sz="0" w:space="0" w:color="auto"/>
        <w:bottom w:val="none" w:sz="0" w:space="0" w:color="auto"/>
        <w:right w:val="none" w:sz="0" w:space="0" w:color="auto"/>
      </w:divBdr>
    </w:div>
    <w:div w:id="202632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D0091-BFB4-4333-8C92-A0BE9FCC2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10</Pages>
  <Words>1309</Words>
  <Characters>7464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Watson</dc:creator>
  <cp:keywords/>
  <dc:description/>
  <cp:lastModifiedBy>Stephen Watson</cp:lastModifiedBy>
  <cp:revision>92</cp:revision>
  <dcterms:created xsi:type="dcterms:W3CDTF">2023-02-23T09:44:00Z</dcterms:created>
  <dcterms:modified xsi:type="dcterms:W3CDTF">2023-03-01T10:00:00Z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