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EF35" w14:textId="77777777" w:rsidR="00EF5FA3" w:rsidRDefault="00EF5FA3">
      <w:pPr>
        <w:pStyle w:val="Heading1"/>
        <w:spacing w:before="0" w:after="0"/>
        <w:jc w:val="center"/>
        <w:rPr>
          <w:rFonts w:ascii="Calibri" w:eastAsia="Calibri" w:hAnsi="Calibri" w:cs="Calibri"/>
          <w:b/>
          <w:color w:val="898989"/>
          <w:sz w:val="22"/>
          <w:szCs w:val="22"/>
        </w:rPr>
      </w:pPr>
      <w:bookmarkStart w:id="0" w:name="_laivjaoamqwx" w:colFirst="0" w:colLast="0"/>
      <w:bookmarkEnd w:id="0"/>
    </w:p>
    <w:p w14:paraId="6F93881C" w14:textId="77777777" w:rsidR="00EF5FA3" w:rsidRDefault="00EF5FA3">
      <w:pPr>
        <w:jc w:val="center"/>
        <w:rPr>
          <w:b/>
          <w:sz w:val="24"/>
          <w:szCs w:val="24"/>
        </w:rPr>
      </w:pPr>
      <w:bookmarkStart w:id="1" w:name="_hrmltdw6107g" w:colFirst="0" w:colLast="0"/>
      <w:bookmarkStart w:id="2" w:name="_bt4w5oy0bqd6" w:colFirst="0" w:colLast="0"/>
      <w:bookmarkStart w:id="3" w:name="_bpsdi88e2qax" w:colFirst="0" w:colLast="0"/>
      <w:bookmarkStart w:id="4" w:name="_bzj7n0p2w90o" w:colFirst="0" w:colLast="0"/>
      <w:bookmarkStart w:id="5" w:name="_egrz1kkjyf85" w:colFirst="0" w:colLast="0"/>
      <w:bookmarkEnd w:id="1"/>
      <w:bookmarkEnd w:id="2"/>
      <w:bookmarkEnd w:id="3"/>
      <w:bookmarkEnd w:id="4"/>
      <w:bookmarkEnd w:id="5"/>
    </w:p>
    <w:p w14:paraId="09D97AC2" w14:textId="00E6C21F" w:rsidR="00EF5FA3" w:rsidRDefault="00296468">
      <w:pPr>
        <w:jc w:val="both"/>
      </w:pPr>
      <w:r>
        <w:pict w14:anchorId="2351F5D4">
          <v:rect id="_x0000_i1025" style="width:0;height:1.5pt" o:hralign="center" o:hrstd="t" o:hr="t" fillcolor="#a0a0a0" stroked="f"/>
        </w:pict>
      </w:r>
    </w:p>
    <w:p w14:paraId="156D383F" w14:textId="143F73E9" w:rsidR="008A7CF9" w:rsidRDefault="008A7CF9" w:rsidP="008A7CF9">
      <w:pPr>
        <w:pStyle w:val="Title"/>
        <w:rPr>
          <w:b/>
          <w:sz w:val="32"/>
          <w:szCs w:val="32"/>
        </w:rPr>
      </w:pPr>
      <w:bookmarkStart w:id="6" w:name="_u5wfxkfe731v" w:colFirst="0" w:colLast="0"/>
      <w:bookmarkEnd w:id="6"/>
      <w:r w:rsidRPr="004B435E">
        <w:rPr>
          <w:b/>
          <w:sz w:val="32"/>
          <w:szCs w:val="32"/>
        </w:rPr>
        <w:t>Sierra Leone: National Electrification with Power Generation Resilience to Climate Change</w:t>
      </w:r>
    </w:p>
    <w:p w14:paraId="0D245F6F" w14:textId="77777777" w:rsidR="004B435E" w:rsidRPr="004B435E" w:rsidRDefault="004B435E" w:rsidP="004B435E"/>
    <w:p w14:paraId="7E37F442" w14:textId="45678010" w:rsidR="00EF5FA3" w:rsidRDefault="004B435E" w:rsidP="004B435E">
      <w:pPr>
        <w:jc w:val="both"/>
        <w:rPr>
          <w:b/>
          <w:vertAlign w:val="superscript"/>
        </w:rPr>
      </w:pPr>
      <w:r w:rsidRPr="00D83899">
        <w:rPr>
          <w:b/>
        </w:rPr>
        <w:t xml:space="preserve">Samba </w:t>
      </w:r>
      <w:proofErr w:type="spellStart"/>
      <w:r w:rsidRPr="00D83899">
        <w:rPr>
          <w:b/>
        </w:rPr>
        <w:t>Sesay</w:t>
      </w:r>
      <w:r w:rsidR="00D83899" w:rsidRPr="00D83899">
        <w:rPr>
          <w:b/>
          <w:vertAlign w:val="superscript"/>
        </w:rPr>
        <w:t>a</w:t>
      </w:r>
      <w:proofErr w:type="spellEnd"/>
      <w:r w:rsidRPr="00D83899">
        <w:rPr>
          <w:b/>
        </w:rPr>
        <w:t xml:space="preserve">*, Francesco </w:t>
      </w:r>
      <w:proofErr w:type="spellStart"/>
      <w:r w:rsidRPr="00D83899">
        <w:rPr>
          <w:b/>
        </w:rPr>
        <w:t>Gardumi</w:t>
      </w:r>
      <w:r w:rsidRPr="00D83899">
        <w:rPr>
          <w:b/>
          <w:vertAlign w:val="superscript"/>
        </w:rPr>
        <w:t>b</w:t>
      </w:r>
      <w:proofErr w:type="spellEnd"/>
      <w:r w:rsidR="00F269B3">
        <w:rPr>
          <w:b/>
        </w:rPr>
        <w:t xml:space="preserve">, </w:t>
      </w:r>
      <w:r w:rsidRPr="00D83899">
        <w:rPr>
          <w:b/>
        </w:rPr>
        <w:t xml:space="preserve">Michael A. </w:t>
      </w:r>
      <w:proofErr w:type="spellStart"/>
      <w:r w:rsidRPr="00D83899">
        <w:rPr>
          <w:b/>
        </w:rPr>
        <w:t>Conteh</w:t>
      </w:r>
      <w:r w:rsidRPr="00D83899">
        <w:rPr>
          <w:b/>
          <w:vertAlign w:val="superscript"/>
        </w:rPr>
        <w:t>a</w:t>
      </w:r>
      <w:proofErr w:type="spellEnd"/>
      <w:r w:rsidRPr="00D83899">
        <w:rPr>
          <w:b/>
        </w:rPr>
        <w:t xml:space="preserve">, David </w:t>
      </w:r>
      <w:proofErr w:type="spellStart"/>
      <w:r w:rsidRPr="00D83899">
        <w:rPr>
          <w:b/>
        </w:rPr>
        <w:t>Caulker</w:t>
      </w:r>
      <w:r w:rsidRPr="00D83899">
        <w:rPr>
          <w:b/>
          <w:vertAlign w:val="superscript"/>
        </w:rPr>
        <w:t>a</w:t>
      </w:r>
      <w:proofErr w:type="spellEnd"/>
      <w:r w:rsidRPr="00D83899">
        <w:rPr>
          <w:b/>
        </w:rPr>
        <w:t xml:space="preserve">, Mark </w:t>
      </w:r>
      <w:proofErr w:type="spellStart"/>
      <w:r w:rsidRPr="00D83899">
        <w:rPr>
          <w:b/>
        </w:rPr>
        <w:t>Howell</w:t>
      </w:r>
      <w:r w:rsidRPr="00D83899">
        <w:rPr>
          <w:b/>
          <w:vertAlign w:val="superscript"/>
        </w:rPr>
        <w:t>b</w:t>
      </w:r>
      <w:proofErr w:type="spellEnd"/>
    </w:p>
    <w:p w14:paraId="11D399E8" w14:textId="77777777" w:rsidR="00901B2A" w:rsidRPr="00D83899" w:rsidRDefault="00901B2A" w:rsidP="004B435E">
      <w:pPr>
        <w:jc w:val="both"/>
        <w:rPr>
          <w:b/>
        </w:rPr>
      </w:pPr>
    </w:p>
    <w:p w14:paraId="235DB7A3" w14:textId="2DAC481D" w:rsidR="00F02DAB" w:rsidRPr="00901B2A" w:rsidRDefault="00F02DAB" w:rsidP="00E1682C">
      <w:pPr>
        <w:jc w:val="both"/>
        <w:rPr>
          <w:b/>
          <w:sz w:val="20"/>
          <w:szCs w:val="20"/>
        </w:rPr>
      </w:pPr>
      <w:r w:rsidRPr="00901B2A">
        <w:rPr>
          <w:b/>
          <w:sz w:val="20"/>
          <w:szCs w:val="20"/>
          <w:vertAlign w:val="superscript"/>
        </w:rPr>
        <w:t xml:space="preserve">a </w:t>
      </w:r>
      <w:r w:rsidRPr="00901B2A">
        <w:rPr>
          <w:b/>
          <w:sz w:val="20"/>
          <w:szCs w:val="20"/>
        </w:rPr>
        <w:t xml:space="preserve">Fourah Bay College, University of Sierra Leone, Mount </w:t>
      </w:r>
      <w:proofErr w:type="spellStart"/>
      <w:r w:rsidRPr="00901B2A">
        <w:rPr>
          <w:b/>
          <w:sz w:val="20"/>
          <w:szCs w:val="20"/>
        </w:rPr>
        <w:t>Aureol</w:t>
      </w:r>
      <w:proofErr w:type="spellEnd"/>
      <w:r w:rsidRPr="00901B2A">
        <w:rPr>
          <w:b/>
          <w:sz w:val="20"/>
          <w:szCs w:val="20"/>
        </w:rPr>
        <w:t>, Freetown, Sierra Leone</w:t>
      </w:r>
    </w:p>
    <w:p w14:paraId="363BBAA0" w14:textId="7DC407A9" w:rsidR="00901B2A" w:rsidRPr="00901B2A" w:rsidRDefault="00901B2A" w:rsidP="00E1682C">
      <w:pPr>
        <w:jc w:val="both"/>
        <w:rPr>
          <w:b/>
          <w:sz w:val="20"/>
          <w:szCs w:val="20"/>
        </w:rPr>
      </w:pPr>
      <w:r w:rsidRPr="00901B2A">
        <w:rPr>
          <w:b/>
          <w:sz w:val="20"/>
          <w:szCs w:val="20"/>
          <w:vertAlign w:val="superscript"/>
        </w:rPr>
        <w:t>b</w:t>
      </w:r>
      <w:r w:rsidRPr="00901B2A">
        <w:rPr>
          <w:b/>
          <w:sz w:val="20"/>
          <w:szCs w:val="20"/>
        </w:rPr>
        <w:t xml:space="preserve"> KTH – Royal Institute of Technology, division of Energy Systems Analysis, Stockholm Sweden</w:t>
      </w:r>
    </w:p>
    <w:p w14:paraId="4A4141A2" w14:textId="77777777" w:rsidR="00EF5FA3" w:rsidRDefault="00296468">
      <w:pPr>
        <w:ind w:left="360"/>
        <w:jc w:val="both"/>
        <w:rPr>
          <w:b/>
          <w:sz w:val="24"/>
          <w:szCs w:val="24"/>
        </w:rPr>
      </w:pPr>
      <w:r>
        <w:pict w14:anchorId="1A509A3D">
          <v:rect id="_x0000_i1026" style="width:0;height:1.5pt" o:hralign="center" o:hrstd="t" o:hr="t" fillcolor="#a0a0a0" stroked="f"/>
        </w:pict>
      </w:r>
    </w:p>
    <w:p w14:paraId="447FCC9A" w14:textId="77777777" w:rsidR="00EF5FA3" w:rsidRDefault="00EF5FA3">
      <w:pPr>
        <w:jc w:val="both"/>
        <w:rPr>
          <w:b/>
          <w:sz w:val="24"/>
          <w:szCs w:val="24"/>
        </w:rPr>
        <w:sectPr w:rsidR="00EF5FA3">
          <w:headerReference w:type="default" r:id="rId7"/>
          <w:footerReference w:type="default" r:id="rId8"/>
          <w:pgSz w:w="12240" w:h="15840"/>
          <w:pgMar w:top="1440" w:right="1440" w:bottom="1440" w:left="1440" w:header="431" w:footer="431" w:gutter="0"/>
          <w:pgNumType w:start="1"/>
          <w:cols w:space="720"/>
        </w:sectPr>
      </w:pPr>
    </w:p>
    <w:p w14:paraId="75D9073C" w14:textId="77777777" w:rsidR="00EF5FA3" w:rsidRDefault="001653F0">
      <w:pPr>
        <w:spacing w:after="80" w:line="271" w:lineRule="auto"/>
        <w:ind w:left="360"/>
        <w:jc w:val="both"/>
        <w:rPr>
          <w:rFonts w:ascii="Calibri" w:eastAsia="Calibri" w:hAnsi="Calibri" w:cs="Calibri"/>
          <w:b/>
          <w:sz w:val="20"/>
          <w:szCs w:val="20"/>
        </w:rPr>
      </w:pPr>
      <w:r>
        <w:rPr>
          <w:rFonts w:ascii="Calibri" w:eastAsia="Calibri" w:hAnsi="Calibri" w:cs="Calibri"/>
          <w:b/>
          <w:sz w:val="20"/>
          <w:szCs w:val="20"/>
        </w:rPr>
        <w:t>1.</w:t>
      </w:r>
      <w:r>
        <w:rPr>
          <w:rFonts w:ascii="Calibri" w:eastAsia="Calibri" w:hAnsi="Calibri" w:cs="Calibri"/>
          <w:sz w:val="20"/>
          <w:szCs w:val="20"/>
        </w:rPr>
        <w:tab/>
      </w:r>
      <w:r>
        <w:rPr>
          <w:rFonts w:ascii="Calibri" w:eastAsia="Calibri" w:hAnsi="Calibri" w:cs="Calibri"/>
          <w:b/>
          <w:sz w:val="20"/>
          <w:szCs w:val="20"/>
        </w:rPr>
        <w:t>Introduction</w:t>
      </w:r>
    </w:p>
    <w:p w14:paraId="111FF4EB" w14:textId="2C77F8EC" w:rsidR="00BB7627" w:rsidRDefault="00B03717" w:rsidP="00E812BA">
      <w:pPr>
        <w:spacing w:after="80" w:line="271" w:lineRule="auto"/>
        <w:jc w:val="both"/>
        <w:rPr>
          <w:rFonts w:ascii="Calibri" w:eastAsia="Calibri" w:hAnsi="Calibri" w:cs="Calibri"/>
          <w:sz w:val="20"/>
          <w:szCs w:val="20"/>
        </w:rPr>
      </w:pPr>
      <w:r w:rsidRPr="00B933A7">
        <w:rPr>
          <w:rFonts w:ascii="Calibri" w:eastAsia="Calibri" w:hAnsi="Calibri" w:cs="Calibri"/>
          <w:sz w:val="20"/>
          <w:szCs w:val="20"/>
        </w:rPr>
        <w:t xml:space="preserve">The aim of this </w:t>
      </w:r>
      <w:r w:rsidR="00196419" w:rsidRPr="00B933A7">
        <w:rPr>
          <w:rFonts w:ascii="Calibri" w:eastAsia="Calibri" w:hAnsi="Calibri" w:cs="Calibri"/>
          <w:sz w:val="20"/>
          <w:szCs w:val="20"/>
        </w:rPr>
        <w:t xml:space="preserve">policy brief is to provide an insight into </w:t>
      </w:r>
      <w:r w:rsidRPr="00B933A7">
        <w:rPr>
          <w:rFonts w:ascii="Calibri" w:eastAsia="Calibri" w:hAnsi="Calibri" w:cs="Calibri"/>
          <w:sz w:val="20"/>
          <w:szCs w:val="20"/>
        </w:rPr>
        <w:t xml:space="preserve">the amount of investment needed and the energy mix required for Sierra Leone to meet with its SDG 7.1. commitment of ensuring universal access to affordable, reliable and modern energy by 2030. </w:t>
      </w:r>
      <w:r w:rsidR="00EA5062">
        <w:rPr>
          <w:rFonts w:ascii="Calibri" w:eastAsia="Calibri" w:hAnsi="Calibri" w:cs="Calibri"/>
          <w:sz w:val="20"/>
          <w:szCs w:val="20"/>
        </w:rPr>
        <w:t>U</w:t>
      </w:r>
      <w:r w:rsidR="00A609FF">
        <w:rPr>
          <w:rFonts w:ascii="Calibri" w:eastAsia="Calibri" w:hAnsi="Calibri" w:cs="Calibri"/>
          <w:sz w:val="20"/>
          <w:szCs w:val="20"/>
        </w:rPr>
        <w:t>sing OSeMOSYS</w:t>
      </w:r>
      <w:r w:rsidR="00EA5062">
        <w:rPr>
          <w:rFonts w:ascii="Calibri" w:eastAsia="Calibri" w:hAnsi="Calibri" w:cs="Calibri"/>
          <w:sz w:val="20"/>
          <w:szCs w:val="20"/>
        </w:rPr>
        <w:t xml:space="preserve"> modelling tool</w:t>
      </w:r>
      <w:r w:rsidR="00A609FF">
        <w:rPr>
          <w:rFonts w:ascii="Calibri" w:eastAsia="Calibri" w:hAnsi="Calibri" w:cs="Calibri"/>
          <w:sz w:val="20"/>
          <w:szCs w:val="20"/>
        </w:rPr>
        <w:t>, results shows</w:t>
      </w:r>
      <w:r w:rsidR="00BB7627">
        <w:rPr>
          <w:rFonts w:ascii="Calibri" w:eastAsia="Calibri" w:hAnsi="Calibri" w:cs="Calibri"/>
          <w:sz w:val="20"/>
          <w:szCs w:val="20"/>
        </w:rPr>
        <w:t xml:space="preserve"> the following:</w:t>
      </w:r>
    </w:p>
    <w:p w14:paraId="72365FB4" w14:textId="77777777" w:rsidR="00BB7627" w:rsidRPr="00BB7627" w:rsidRDefault="00BB7627" w:rsidP="00BB7627">
      <w:pPr>
        <w:pStyle w:val="ListParagraph"/>
        <w:numPr>
          <w:ilvl w:val="0"/>
          <w:numId w:val="2"/>
        </w:numPr>
        <w:spacing w:after="80" w:line="271" w:lineRule="auto"/>
        <w:jc w:val="both"/>
        <w:rPr>
          <w:rFonts w:ascii="Calibri" w:eastAsia="Calibri" w:hAnsi="Calibri" w:cs="Calibri"/>
          <w:sz w:val="20"/>
          <w:szCs w:val="20"/>
        </w:rPr>
      </w:pPr>
      <w:r w:rsidRPr="00BB7627">
        <w:rPr>
          <w:rFonts w:ascii="Calibri" w:eastAsia="Calibri" w:hAnsi="Calibri" w:cs="Calibri"/>
          <w:sz w:val="20"/>
          <w:szCs w:val="20"/>
        </w:rPr>
        <w:t>T</w:t>
      </w:r>
      <w:r w:rsidR="00A609FF" w:rsidRPr="00BB7627">
        <w:rPr>
          <w:rFonts w:ascii="Calibri" w:eastAsia="Calibri" w:hAnsi="Calibri" w:cs="Calibri"/>
          <w:sz w:val="20"/>
          <w:szCs w:val="20"/>
        </w:rPr>
        <w:t xml:space="preserve">hat an </w:t>
      </w:r>
      <w:r w:rsidR="00887321" w:rsidRPr="00BB7627">
        <w:rPr>
          <w:rFonts w:ascii="Calibri" w:eastAsia="Calibri" w:hAnsi="Calibri" w:cs="Calibri"/>
          <w:b/>
          <w:bCs/>
          <w:sz w:val="20"/>
          <w:szCs w:val="20"/>
          <w:lang w:val="en-US"/>
        </w:rPr>
        <w:t xml:space="preserve">Extra 2.2 Billion USD </w:t>
      </w:r>
      <w:r w:rsidR="00887321" w:rsidRPr="00BB7627">
        <w:rPr>
          <w:rFonts w:ascii="Calibri" w:eastAsia="Calibri" w:hAnsi="Calibri" w:cs="Calibri"/>
          <w:sz w:val="20"/>
          <w:szCs w:val="20"/>
          <w:lang w:val="en-US"/>
        </w:rPr>
        <w:t>in Total Investment is needed to meet N</w:t>
      </w:r>
      <w:r>
        <w:rPr>
          <w:rFonts w:ascii="Calibri" w:eastAsia="Calibri" w:hAnsi="Calibri" w:cs="Calibri"/>
          <w:sz w:val="20"/>
          <w:szCs w:val="20"/>
          <w:lang w:val="en-US"/>
        </w:rPr>
        <w:t>ational Electrification Target.</w:t>
      </w:r>
    </w:p>
    <w:p w14:paraId="16FD22E9" w14:textId="076AD10E" w:rsidR="008C3EA8" w:rsidRPr="008C3EA8" w:rsidRDefault="00BB7627" w:rsidP="008C3EA8">
      <w:pPr>
        <w:pStyle w:val="ListParagraph"/>
        <w:numPr>
          <w:ilvl w:val="0"/>
          <w:numId w:val="2"/>
        </w:numPr>
        <w:spacing w:after="80" w:line="271" w:lineRule="auto"/>
        <w:jc w:val="both"/>
        <w:rPr>
          <w:rFonts w:ascii="Calibri" w:eastAsia="Calibri" w:hAnsi="Calibri" w:cs="Calibri"/>
          <w:sz w:val="20"/>
          <w:szCs w:val="20"/>
        </w:rPr>
      </w:pPr>
      <w:r>
        <w:rPr>
          <w:rFonts w:ascii="Calibri" w:eastAsia="Calibri" w:hAnsi="Calibri" w:cs="Calibri"/>
          <w:sz w:val="20"/>
          <w:szCs w:val="20"/>
          <w:lang w:val="en-US"/>
        </w:rPr>
        <w:t>F</w:t>
      </w:r>
      <w:r w:rsidR="00887321" w:rsidRPr="00BB7627">
        <w:rPr>
          <w:rFonts w:ascii="Calibri" w:eastAsia="Calibri" w:hAnsi="Calibri" w:cs="Calibri"/>
          <w:sz w:val="20"/>
          <w:szCs w:val="20"/>
          <w:lang w:val="en-US"/>
        </w:rPr>
        <w:t xml:space="preserve">or power generation that is </w:t>
      </w:r>
      <w:r w:rsidR="00CE59F9" w:rsidRPr="00BB7627">
        <w:rPr>
          <w:rFonts w:ascii="Calibri" w:eastAsia="Calibri" w:hAnsi="Calibri" w:cs="Calibri"/>
          <w:sz w:val="20"/>
          <w:szCs w:val="20"/>
          <w:lang w:val="en-US"/>
        </w:rPr>
        <w:t xml:space="preserve">resilient to </w:t>
      </w:r>
      <w:r w:rsidR="00887321" w:rsidRPr="00BB7627">
        <w:rPr>
          <w:rFonts w:ascii="Calibri" w:eastAsia="Calibri" w:hAnsi="Calibri" w:cs="Calibri"/>
          <w:sz w:val="20"/>
          <w:szCs w:val="20"/>
          <w:lang w:val="en-US"/>
        </w:rPr>
        <w:t xml:space="preserve">climate </w:t>
      </w:r>
      <w:r w:rsidR="00CE59F9" w:rsidRPr="00BB7627">
        <w:rPr>
          <w:rFonts w:ascii="Calibri" w:eastAsia="Calibri" w:hAnsi="Calibri" w:cs="Calibri"/>
          <w:sz w:val="20"/>
          <w:szCs w:val="20"/>
          <w:lang w:val="en-US"/>
        </w:rPr>
        <w:t xml:space="preserve">change an </w:t>
      </w:r>
      <w:r w:rsidR="00EA5062" w:rsidRPr="00BB7627">
        <w:rPr>
          <w:rFonts w:ascii="Calibri" w:eastAsia="Calibri" w:hAnsi="Calibri" w:cs="Calibri"/>
          <w:b/>
          <w:bCs/>
          <w:sz w:val="20"/>
          <w:szCs w:val="20"/>
          <w:lang w:val="en-US"/>
        </w:rPr>
        <w:t>extra 5</w:t>
      </w:r>
      <w:r w:rsidR="007933A0">
        <w:rPr>
          <w:rFonts w:ascii="Calibri" w:eastAsia="Calibri" w:hAnsi="Calibri" w:cs="Calibri"/>
          <w:b/>
          <w:bCs/>
          <w:sz w:val="20"/>
          <w:szCs w:val="20"/>
          <w:lang w:val="en-US"/>
        </w:rPr>
        <w:t>00</w:t>
      </w:r>
      <w:r w:rsidR="00887321" w:rsidRPr="00BB7627">
        <w:rPr>
          <w:rFonts w:ascii="Calibri" w:eastAsia="Calibri" w:hAnsi="Calibri" w:cs="Calibri"/>
          <w:b/>
          <w:bCs/>
          <w:sz w:val="20"/>
          <w:szCs w:val="20"/>
          <w:lang w:val="en-US"/>
        </w:rPr>
        <w:t xml:space="preserve"> Million USD </w:t>
      </w:r>
      <w:r w:rsidR="00887321" w:rsidRPr="00BB7627">
        <w:rPr>
          <w:rFonts w:ascii="Calibri" w:eastAsia="Calibri" w:hAnsi="Calibri" w:cs="Calibri"/>
          <w:sz w:val="20"/>
          <w:szCs w:val="20"/>
          <w:lang w:val="en-US"/>
        </w:rPr>
        <w:t xml:space="preserve">is required over that </w:t>
      </w:r>
      <w:r w:rsidR="008C3EA8">
        <w:rPr>
          <w:rFonts w:ascii="Calibri" w:eastAsia="Calibri" w:hAnsi="Calibri" w:cs="Calibri"/>
          <w:sz w:val="20"/>
          <w:szCs w:val="20"/>
          <w:lang w:val="en-US"/>
        </w:rPr>
        <w:t>for business as usual</w:t>
      </w:r>
      <w:r w:rsidR="00887321" w:rsidRPr="00BB7627">
        <w:rPr>
          <w:rFonts w:ascii="Calibri" w:eastAsia="Calibri" w:hAnsi="Calibri" w:cs="Calibri"/>
          <w:sz w:val="20"/>
          <w:szCs w:val="20"/>
          <w:lang w:val="en-US"/>
        </w:rPr>
        <w:t>.</w:t>
      </w:r>
      <w:r w:rsidR="00E812BA" w:rsidRPr="00BB7627">
        <w:rPr>
          <w:rFonts w:ascii="Calibri" w:eastAsia="Calibri" w:hAnsi="Calibri" w:cs="Calibri"/>
          <w:sz w:val="20"/>
          <w:szCs w:val="20"/>
          <w:lang w:val="en-US"/>
        </w:rPr>
        <w:t xml:space="preserve"> </w:t>
      </w:r>
    </w:p>
    <w:p w14:paraId="75438B84" w14:textId="0293B427" w:rsidR="00E812BA" w:rsidRPr="00132884" w:rsidRDefault="008C3EA8" w:rsidP="008C3EA8">
      <w:pPr>
        <w:pStyle w:val="ListParagraph"/>
        <w:numPr>
          <w:ilvl w:val="0"/>
          <w:numId w:val="2"/>
        </w:numPr>
        <w:spacing w:after="80" w:line="271" w:lineRule="auto"/>
        <w:jc w:val="both"/>
        <w:rPr>
          <w:rFonts w:ascii="Calibri" w:eastAsia="Calibri" w:hAnsi="Calibri" w:cs="Calibri"/>
          <w:sz w:val="20"/>
          <w:szCs w:val="20"/>
        </w:rPr>
      </w:pPr>
      <w:r w:rsidRPr="00F06716">
        <w:rPr>
          <w:rFonts w:ascii="Calibri" w:eastAsia="Calibri" w:hAnsi="Calibri" w:cs="Calibri"/>
          <w:sz w:val="20"/>
          <w:szCs w:val="20"/>
          <w:lang w:val="en-GB"/>
        </w:rPr>
        <w:t>T</w:t>
      </w:r>
      <w:r w:rsidR="00AA212B" w:rsidRPr="00F06716">
        <w:rPr>
          <w:rFonts w:ascii="Calibri" w:eastAsia="Calibri" w:hAnsi="Calibri" w:cs="Calibri"/>
          <w:sz w:val="20"/>
          <w:szCs w:val="20"/>
          <w:lang w:val="en-GB"/>
        </w:rPr>
        <w:t>hat</w:t>
      </w:r>
      <w:r w:rsidR="00AA212B" w:rsidRPr="00AA212B">
        <w:rPr>
          <w:rFonts w:ascii="Calibri" w:eastAsia="Calibri" w:hAnsi="Calibri" w:cs="Calibri"/>
          <w:sz w:val="20"/>
          <w:szCs w:val="20"/>
        </w:rPr>
        <w:t xml:space="preserve"> </w:t>
      </w:r>
      <w:r w:rsidR="00AA212B" w:rsidRPr="00AA212B">
        <w:rPr>
          <w:rFonts w:ascii="Calibri" w:eastAsia="Calibri" w:hAnsi="Calibri" w:cs="Calibri"/>
          <w:b/>
          <w:bCs/>
          <w:sz w:val="20"/>
          <w:szCs w:val="20"/>
        </w:rPr>
        <w:t xml:space="preserve">Run-off </w:t>
      </w:r>
      <w:r w:rsidR="00AA212B" w:rsidRPr="00AA212B">
        <w:rPr>
          <w:rFonts w:ascii="Calibri" w:eastAsia="Calibri" w:hAnsi="Calibri" w:cs="Calibri"/>
          <w:sz w:val="20"/>
          <w:szCs w:val="20"/>
        </w:rPr>
        <w:t xml:space="preserve">Hydro </w:t>
      </w:r>
      <w:r w:rsidR="00857898">
        <w:rPr>
          <w:rFonts w:ascii="Calibri" w:eastAsia="Calibri" w:hAnsi="Calibri" w:cs="Calibri"/>
          <w:sz w:val="20"/>
          <w:szCs w:val="20"/>
        </w:rPr>
        <w:t>are</w:t>
      </w:r>
      <w:r w:rsidR="00AA212B" w:rsidRPr="00AA212B">
        <w:rPr>
          <w:rFonts w:ascii="Calibri" w:eastAsia="Calibri" w:hAnsi="Calibri" w:cs="Calibri"/>
          <w:sz w:val="20"/>
          <w:szCs w:val="20"/>
        </w:rPr>
        <w:t xml:space="preserve"> more Economically Viable than Large Hydro Technology With </w:t>
      </w:r>
      <w:r w:rsidR="00AA212B" w:rsidRPr="00AA212B">
        <w:rPr>
          <w:rFonts w:ascii="Calibri" w:eastAsia="Calibri" w:hAnsi="Calibri" w:cs="Calibri"/>
          <w:b/>
          <w:bCs/>
          <w:sz w:val="20"/>
          <w:szCs w:val="20"/>
        </w:rPr>
        <w:t>Dam</w:t>
      </w:r>
    </w:p>
    <w:p w14:paraId="40BE721D" w14:textId="63A60022" w:rsidR="00887321" w:rsidRPr="004A2D1F" w:rsidRDefault="00503703" w:rsidP="00887321">
      <w:pPr>
        <w:pStyle w:val="ListParagraph"/>
        <w:numPr>
          <w:ilvl w:val="0"/>
          <w:numId w:val="2"/>
        </w:numPr>
        <w:spacing w:after="80" w:line="271" w:lineRule="auto"/>
        <w:jc w:val="both"/>
        <w:rPr>
          <w:rFonts w:ascii="Calibri" w:eastAsia="Calibri" w:hAnsi="Calibri" w:cs="Calibri"/>
          <w:sz w:val="20"/>
          <w:szCs w:val="20"/>
        </w:rPr>
      </w:pPr>
      <w:r>
        <w:rPr>
          <w:rFonts w:ascii="Calibri" w:eastAsia="Calibri" w:hAnsi="Calibri" w:cs="Calibri"/>
          <w:bCs/>
          <w:sz w:val="20"/>
          <w:szCs w:val="20"/>
        </w:rPr>
        <w:t>That a</w:t>
      </w:r>
      <w:r w:rsidR="00132884">
        <w:rPr>
          <w:rFonts w:ascii="Calibri" w:eastAsia="Calibri" w:hAnsi="Calibri" w:cs="Calibri"/>
          <w:bCs/>
          <w:sz w:val="20"/>
          <w:szCs w:val="20"/>
        </w:rPr>
        <w:t xml:space="preserve">ny percentage decrease restriction on CO2 Emissions </w:t>
      </w:r>
      <w:r w:rsidR="008A5BC4">
        <w:rPr>
          <w:rFonts w:ascii="Calibri" w:eastAsia="Calibri" w:hAnsi="Calibri" w:cs="Calibri"/>
          <w:bCs/>
          <w:sz w:val="20"/>
          <w:szCs w:val="20"/>
        </w:rPr>
        <w:t xml:space="preserve">would lead to </w:t>
      </w:r>
      <w:r w:rsidR="000C489B">
        <w:rPr>
          <w:rFonts w:ascii="Calibri" w:eastAsia="Calibri" w:hAnsi="Calibri" w:cs="Calibri"/>
          <w:bCs/>
          <w:sz w:val="20"/>
          <w:szCs w:val="20"/>
        </w:rPr>
        <w:t xml:space="preserve">approximately </w:t>
      </w:r>
      <w:r w:rsidR="00BE7A8F">
        <w:rPr>
          <w:rFonts w:ascii="Calibri" w:eastAsia="Calibri" w:hAnsi="Calibri" w:cs="Calibri"/>
          <w:bCs/>
          <w:sz w:val="20"/>
          <w:szCs w:val="20"/>
        </w:rPr>
        <w:t>2.7</w:t>
      </w:r>
      <w:r w:rsidR="008A5BC4">
        <w:rPr>
          <w:rFonts w:ascii="Calibri" w:eastAsia="Calibri" w:hAnsi="Calibri" w:cs="Calibri"/>
          <w:bCs/>
          <w:sz w:val="20"/>
          <w:szCs w:val="20"/>
        </w:rPr>
        <w:t>% increase in operational cost</w:t>
      </w:r>
    </w:p>
    <w:p w14:paraId="2E139069" w14:textId="17489524" w:rsidR="00EF5FA3" w:rsidRDefault="001653F0">
      <w:pPr>
        <w:spacing w:after="80" w:line="271" w:lineRule="auto"/>
        <w:ind w:left="360"/>
        <w:jc w:val="both"/>
        <w:rPr>
          <w:rFonts w:ascii="Calibri" w:eastAsia="Calibri" w:hAnsi="Calibri" w:cs="Calibri"/>
          <w:b/>
          <w:sz w:val="20"/>
          <w:szCs w:val="20"/>
        </w:rPr>
      </w:pPr>
      <w:r>
        <w:rPr>
          <w:rFonts w:ascii="Calibri" w:eastAsia="Calibri" w:hAnsi="Calibri" w:cs="Calibri"/>
          <w:b/>
          <w:sz w:val="20"/>
          <w:szCs w:val="20"/>
        </w:rPr>
        <w:t>2.</w:t>
      </w:r>
      <w:r>
        <w:rPr>
          <w:rFonts w:ascii="Calibri" w:eastAsia="Calibri" w:hAnsi="Calibri" w:cs="Calibri"/>
          <w:sz w:val="20"/>
          <w:szCs w:val="20"/>
        </w:rPr>
        <w:tab/>
      </w:r>
      <w:r w:rsidR="00357B8D">
        <w:rPr>
          <w:rFonts w:ascii="Calibri" w:eastAsia="Calibri" w:hAnsi="Calibri" w:cs="Calibri"/>
          <w:b/>
          <w:sz w:val="20"/>
          <w:szCs w:val="20"/>
        </w:rPr>
        <w:t xml:space="preserve">Problem definition </w:t>
      </w:r>
    </w:p>
    <w:p w14:paraId="656BA544" w14:textId="7433942F" w:rsidR="009A0BB9" w:rsidRPr="00F06716" w:rsidRDefault="00870711" w:rsidP="00B9715F">
      <w:pPr>
        <w:spacing w:after="80" w:line="271" w:lineRule="auto"/>
        <w:jc w:val="both"/>
        <w:rPr>
          <w:rFonts w:ascii="Calibri" w:eastAsia="Calibri" w:hAnsi="Calibri" w:cs="Calibri"/>
          <w:sz w:val="20"/>
          <w:szCs w:val="20"/>
          <w:lang w:val="en-GB"/>
        </w:rPr>
      </w:pPr>
      <w:r w:rsidRPr="00F06716">
        <w:rPr>
          <w:rFonts w:ascii="Calibri" w:eastAsia="Calibri" w:hAnsi="Calibri" w:cs="Calibri"/>
          <w:sz w:val="20"/>
          <w:szCs w:val="20"/>
          <w:lang w:val="en-GB"/>
        </w:rPr>
        <w:t xml:space="preserve">Sierra Leone </w:t>
      </w:r>
      <w:r w:rsidR="00035A25" w:rsidRPr="00F06716">
        <w:rPr>
          <w:rFonts w:ascii="Calibri" w:eastAsia="Calibri" w:hAnsi="Calibri" w:cs="Calibri"/>
          <w:sz w:val="20"/>
          <w:szCs w:val="20"/>
          <w:lang w:val="en-GB"/>
        </w:rPr>
        <w:t xml:space="preserve">due to its climatic and topographical features, </w:t>
      </w:r>
      <w:r w:rsidRPr="00F06716">
        <w:rPr>
          <w:rFonts w:ascii="Calibri" w:eastAsia="Calibri" w:hAnsi="Calibri" w:cs="Calibri"/>
          <w:sz w:val="20"/>
          <w:szCs w:val="20"/>
          <w:lang w:val="en-GB"/>
        </w:rPr>
        <w:t xml:space="preserve">is endowed with </w:t>
      </w:r>
      <w:r w:rsidR="00020026" w:rsidRPr="00F06716">
        <w:rPr>
          <w:rFonts w:ascii="Calibri" w:eastAsia="Calibri" w:hAnsi="Calibri" w:cs="Calibri"/>
          <w:sz w:val="20"/>
          <w:szCs w:val="20"/>
          <w:lang w:val="en-GB"/>
        </w:rPr>
        <w:t>abundant Renewable</w:t>
      </w:r>
      <w:r w:rsidRPr="00F06716">
        <w:rPr>
          <w:rFonts w:ascii="Calibri" w:eastAsia="Calibri" w:hAnsi="Calibri" w:cs="Calibri"/>
          <w:sz w:val="20"/>
          <w:szCs w:val="20"/>
          <w:lang w:val="en-GB"/>
        </w:rPr>
        <w:t xml:space="preserve"> Energy Potentia</w:t>
      </w:r>
      <w:r w:rsidR="00020026" w:rsidRPr="00F06716">
        <w:rPr>
          <w:rFonts w:ascii="Calibri" w:eastAsia="Calibri" w:hAnsi="Calibri" w:cs="Calibri"/>
          <w:sz w:val="20"/>
          <w:szCs w:val="20"/>
          <w:lang w:val="en-GB"/>
        </w:rPr>
        <w:t xml:space="preserve">l, </w:t>
      </w:r>
      <w:r w:rsidRPr="00F06716">
        <w:rPr>
          <w:rFonts w:ascii="Calibri" w:eastAsia="Calibri" w:hAnsi="Calibri" w:cs="Calibri"/>
          <w:sz w:val="20"/>
          <w:szCs w:val="20"/>
          <w:lang w:val="en-GB"/>
        </w:rPr>
        <w:t xml:space="preserve">but </w:t>
      </w:r>
      <w:r w:rsidR="00020026" w:rsidRPr="00F06716">
        <w:rPr>
          <w:rFonts w:ascii="Calibri" w:eastAsia="Calibri" w:hAnsi="Calibri" w:cs="Calibri"/>
          <w:sz w:val="20"/>
          <w:szCs w:val="20"/>
          <w:lang w:val="en-GB"/>
        </w:rPr>
        <w:t xml:space="preserve">however </w:t>
      </w:r>
      <w:r w:rsidR="00325CD4" w:rsidRPr="00F06716">
        <w:rPr>
          <w:rFonts w:ascii="Calibri" w:eastAsia="Calibri" w:hAnsi="Calibri" w:cs="Calibri"/>
          <w:sz w:val="20"/>
          <w:szCs w:val="20"/>
          <w:lang w:val="en-GB"/>
        </w:rPr>
        <w:t xml:space="preserve">it </w:t>
      </w:r>
      <w:r w:rsidR="00CB717A" w:rsidRPr="00F06716">
        <w:rPr>
          <w:rFonts w:ascii="Calibri" w:eastAsia="Calibri" w:hAnsi="Calibri" w:cs="Calibri"/>
          <w:sz w:val="20"/>
          <w:szCs w:val="20"/>
          <w:lang w:val="en-GB"/>
        </w:rPr>
        <w:t>faces severe</w:t>
      </w:r>
      <w:r w:rsidRPr="00F06716">
        <w:rPr>
          <w:rFonts w:ascii="Calibri" w:eastAsia="Calibri" w:hAnsi="Calibri" w:cs="Calibri"/>
          <w:sz w:val="20"/>
          <w:szCs w:val="20"/>
          <w:lang w:val="en-GB"/>
        </w:rPr>
        <w:t xml:space="preserve"> energy scarcity. </w:t>
      </w:r>
      <w:r w:rsidR="00F37210" w:rsidRPr="00F06716">
        <w:rPr>
          <w:rFonts w:ascii="Calibri" w:eastAsia="Calibri" w:hAnsi="Calibri" w:cs="Calibri"/>
          <w:sz w:val="20"/>
          <w:szCs w:val="20"/>
          <w:lang w:val="en-GB"/>
        </w:rPr>
        <w:t xml:space="preserve">The energy supply </w:t>
      </w:r>
      <w:r w:rsidR="001E59F6" w:rsidRPr="00F06716">
        <w:rPr>
          <w:rFonts w:ascii="Calibri" w:eastAsia="Calibri" w:hAnsi="Calibri" w:cs="Calibri"/>
          <w:sz w:val="20"/>
          <w:szCs w:val="20"/>
          <w:lang w:val="en-GB"/>
        </w:rPr>
        <w:t>infrastructure is</w:t>
      </w:r>
      <w:r w:rsidR="00F37210" w:rsidRPr="00F06716">
        <w:rPr>
          <w:rFonts w:ascii="Calibri" w:eastAsia="Calibri" w:hAnsi="Calibri" w:cs="Calibri"/>
          <w:sz w:val="20"/>
          <w:szCs w:val="20"/>
          <w:lang w:val="en-GB"/>
        </w:rPr>
        <w:t xml:space="preserve"> limited to </w:t>
      </w:r>
      <w:r w:rsidR="001E59F6" w:rsidRPr="00F06716">
        <w:rPr>
          <w:rFonts w:ascii="Calibri" w:eastAsia="Calibri" w:hAnsi="Calibri" w:cs="Calibri"/>
          <w:sz w:val="20"/>
          <w:szCs w:val="20"/>
          <w:lang w:val="en-GB"/>
        </w:rPr>
        <w:t xml:space="preserve">mainly oil-fired </w:t>
      </w:r>
      <w:r w:rsidR="00F37210" w:rsidRPr="00F06716">
        <w:rPr>
          <w:rFonts w:ascii="Calibri" w:eastAsia="Calibri" w:hAnsi="Calibri" w:cs="Calibri"/>
          <w:sz w:val="20"/>
          <w:szCs w:val="20"/>
          <w:lang w:val="en-GB"/>
        </w:rPr>
        <w:t>Thermal p</w:t>
      </w:r>
      <w:r w:rsidR="0028647D" w:rsidRPr="00F06716">
        <w:rPr>
          <w:rFonts w:ascii="Calibri" w:eastAsia="Calibri" w:hAnsi="Calibri" w:cs="Calibri"/>
          <w:sz w:val="20"/>
          <w:szCs w:val="20"/>
          <w:lang w:val="en-GB"/>
        </w:rPr>
        <w:t>lants</w:t>
      </w:r>
      <w:r w:rsidR="001E59F6" w:rsidRPr="00F06716">
        <w:rPr>
          <w:rFonts w:ascii="Calibri" w:eastAsia="Calibri" w:hAnsi="Calibri" w:cs="Calibri"/>
          <w:sz w:val="20"/>
          <w:szCs w:val="20"/>
          <w:lang w:val="en-GB"/>
        </w:rPr>
        <w:t xml:space="preserve"> and hydro power plants</w:t>
      </w:r>
      <w:r w:rsidR="0028647D" w:rsidRPr="00F06716">
        <w:rPr>
          <w:rFonts w:ascii="Calibri" w:eastAsia="Calibri" w:hAnsi="Calibri" w:cs="Calibri"/>
          <w:sz w:val="20"/>
          <w:szCs w:val="20"/>
          <w:lang w:val="en-GB"/>
        </w:rPr>
        <w:t xml:space="preserve">, </w:t>
      </w:r>
      <w:r w:rsidR="001E59F6" w:rsidRPr="00F06716">
        <w:rPr>
          <w:rFonts w:ascii="Calibri" w:eastAsia="Calibri" w:hAnsi="Calibri" w:cs="Calibri"/>
          <w:sz w:val="20"/>
          <w:szCs w:val="20"/>
          <w:lang w:val="en-GB"/>
        </w:rPr>
        <w:t xml:space="preserve">with small share of </w:t>
      </w:r>
      <w:r w:rsidR="0028647D" w:rsidRPr="00F06716">
        <w:rPr>
          <w:rFonts w:ascii="Calibri" w:eastAsia="Calibri" w:hAnsi="Calibri" w:cs="Calibri"/>
          <w:sz w:val="20"/>
          <w:szCs w:val="20"/>
          <w:lang w:val="en-GB"/>
        </w:rPr>
        <w:t>Solar</w:t>
      </w:r>
      <w:r w:rsidR="001E59F6" w:rsidRPr="00F06716">
        <w:rPr>
          <w:rFonts w:ascii="Calibri" w:eastAsia="Calibri" w:hAnsi="Calibri" w:cs="Calibri"/>
          <w:sz w:val="20"/>
          <w:szCs w:val="20"/>
          <w:lang w:val="en-GB"/>
        </w:rPr>
        <w:t xml:space="preserve"> and Biomass.</w:t>
      </w:r>
      <w:r w:rsidR="00415B89" w:rsidRPr="00F06716">
        <w:rPr>
          <w:rFonts w:ascii="Calibri" w:eastAsia="Calibri" w:hAnsi="Calibri" w:cs="Calibri"/>
          <w:sz w:val="20"/>
          <w:szCs w:val="20"/>
          <w:lang w:val="en-GB"/>
        </w:rPr>
        <w:t xml:space="preserve"> </w:t>
      </w:r>
      <w:r w:rsidR="001E59F6" w:rsidRPr="00F06716">
        <w:rPr>
          <w:rFonts w:ascii="Calibri" w:eastAsia="Calibri" w:hAnsi="Calibri" w:cs="Calibri"/>
          <w:sz w:val="20"/>
          <w:szCs w:val="20"/>
          <w:lang w:val="en-GB"/>
        </w:rPr>
        <w:t xml:space="preserve">Thermal plants </w:t>
      </w:r>
      <w:r w:rsidR="00415B89" w:rsidRPr="00F06716">
        <w:rPr>
          <w:rFonts w:ascii="Calibri" w:eastAsia="Calibri" w:hAnsi="Calibri" w:cs="Calibri"/>
          <w:sz w:val="20"/>
          <w:szCs w:val="20"/>
          <w:lang w:val="en-GB"/>
        </w:rPr>
        <w:t xml:space="preserve">can be greatly affected by High fuel </w:t>
      </w:r>
      <w:r w:rsidR="00B9715F" w:rsidRPr="00F06716">
        <w:rPr>
          <w:rFonts w:ascii="Calibri" w:eastAsia="Calibri" w:hAnsi="Calibri" w:cs="Calibri"/>
          <w:sz w:val="20"/>
          <w:szCs w:val="20"/>
          <w:lang w:val="en-GB"/>
        </w:rPr>
        <w:t>Price</w:t>
      </w:r>
      <w:r w:rsidR="00415B89" w:rsidRPr="00F06716">
        <w:rPr>
          <w:rFonts w:ascii="Calibri" w:eastAsia="Calibri" w:hAnsi="Calibri" w:cs="Calibri"/>
          <w:sz w:val="20"/>
          <w:szCs w:val="20"/>
          <w:lang w:val="en-GB"/>
        </w:rPr>
        <w:t xml:space="preserve"> and </w:t>
      </w:r>
      <w:r w:rsidR="001E59F6" w:rsidRPr="00F06716">
        <w:rPr>
          <w:rFonts w:ascii="Calibri" w:eastAsia="Calibri" w:hAnsi="Calibri" w:cs="Calibri"/>
          <w:sz w:val="20"/>
          <w:szCs w:val="20"/>
          <w:lang w:val="en-GB"/>
        </w:rPr>
        <w:t>hydro power by c</w:t>
      </w:r>
      <w:r w:rsidR="00B9715F" w:rsidRPr="00F06716">
        <w:rPr>
          <w:rFonts w:ascii="Calibri" w:eastAsia="Calibri" w:hAnsi="Calibri" w:cs="Calibri"/>
          <w:sz w:val="20"/>
          <w:szCs w:val="20"/>
          <w:lang w:val="en-GB"/>
        </w:rPr>
        <w:t xml:space="preserve">hange in </w:t>
      </w:r>
      <w:r w:rsidR="00415B89" w:rsidRPr="00F06716">
        <w:rPr>
          <w:rFonts w:ascii="Calibri" w:eastAsia="Calibri" w:hAnsi="Calibri" w:cs="Calibri"/>
          <w:sz w:val="20"/>
          <w:szCs w:val="20"/>
          <w:lang w:val="en-GB"/>
        </w:rPr>
        <w:t>climatic conditio</w:t>
      </w:r>
      <w:r w:rsidR="00B9715F" w:rsidRPr="00F06716">
        <w:rPr>
          <w:rFonts w:ascii="Calibri" w:eastAsia="Calibri" w:hAnsi="Calibri" w:cs="Calibri"/>
          <w:sz w:val="20"/>
          <w:szCs w:val="20"/>
          <w:lang w:val="en-GB"/>
        </w:rPr>
        <w:t>n</w:t>
      </w:r>
      <w:r w:rsidR="00415B89" w:rsidRPr="00F06716">
        <w:rPr>
          <w:rFonts w:ascii="Calibri" w:eastAsia="Calibri" w:hAnsi="Calibri" w:cs="Calibri"/>
          <w:sz w:val="20"/>
          <w:szCs w:val="20"/>
          <w:lang w:val="en-GB"/>
        </w:rPr>
        <w:t xml:space="preserve">s. </w:t>
      </w:r>
      <w:r w:rsidR="006954DD" w:rsidRPr="00F06716">
        <w:rPr>
          <w:rFonts w:ascii="Calibri" w:eastAsia="Calibri" w:hAnsi="Calibri" w:cs="Calibri"/>
          <w:sz w:val="20"/>
          <w:szCs w:val="20"/>
          <w:lang w:val="en-GB"/>
        </w:rPr>
        <w:t>T</w:t>
      </w:r>
      <w:r w:rsidR="00913344" w:rsidRPr="00F06716">
        <w:rPr>
          <w:rFonts w:ascii="Calibri" w:eastAsia="Calibri" w:hAnsi="Calibri" w:cs="Calibri"/>
          <w:sz w:val="20"/>
          <w:szCs w:val="20"/>
          <w:lang w:val="en-GB"/>
        </w:rPr>
        <w:t xml:space="preserve">he rate of </w:t>
      </w:r>
      <w:r w:rsidR="006954DD" w:rsidRPr="00F06716">
        <w:rPr>
          <w:rFonts w:ascii="Calibri" w:eastAsia="Calibri" w:hAnsi="Calibri" w:cs="Calibri"/>
          <w:sz w:val="20"/>
          <w:szCs w:val="20"/>
          <w:lang w:val="en-GB"/>
        </w:rPr>
        <w:t>Electrification of the country is at</w:t>
      </w:r>
      <w:r w:rsidR="00913344" w:rsidRPr="00F06716">
        <w:rPr>
          <w:rFonts w:ascii="Calibri" w:eastAsia="Calibri" w:hAnsi="Calibri" w:cs="Calibri"/>
          <w:sz w:val="20"/>
          <w:szCs w:val="20"/>
          <w:lang w:val="en-GB"/>
        </w:rPr>
        <w:t xml:space="preserve"> 14% and </w:t>
      </w:r>
      <w:r w:rsidR="004A2D1F" w:rsidRPr="00F06716">
        <w:rPr>
          <w:rFonts w:ascii="Calibri" w:eastAsia="Calibri" w:hAnsi="Calibri" w:cs="Calibri"/>
          <w:sz w:val="20"/>
          <w:szCs w:val="20"/>
          <w:lang w:val="en-GB"/>
        </w:rPr>
        <w:t xml:space="preserve">only 17.8% of Sierra </w:t>
      </w:r>
      <w:r w:rsidR="006954DD" w:rsidRPr="00F06716">
        <w:rPr>
          <w:rFonts w:ascii="Calibri" w:eastAsia="Calibri" w:hAnsi="Calibri" w:cs="Calibri"/>
          <w:sz w:val="20"/>
          <w:szCs w:val="20"/>
          <w:lang w:val="en-GB"/>
        </w:rPr>
        <w:t>Leone’s population</w:t>
      </w:r>
      <w:r w:rsidR="004A2D1F" w:rsidRPr="00F06716">
        <w:rPr>
          <w:rFonts w:ascii="Calibri" w:eastAsia="Calibri" w:hAnsi="Calibri" w:cs="Calibri"/>
          <w:sz w:val="20"/>
          <w:szCs w:val="20"/>
          <w:lang w:val="en-GB"/>
        </w:rPr>
        <w:t xml:space="preserve"> of 7million people has access to Electricity</w:t>
      </w:r>
      <w:r w:rsidR="00463F3F" w:rsidRPr="00F06716">
        <w:rPr>
          <w:rFonts w:ascii="Calibri" w:eastAsia="Calibri" w:hAnsi="Calibri" w:cs="Calibri"/>
          <w:sz w:val="20"/>
          <w:szCs w:val="20"/>
          <w:lang w:val="en-GB"/>
        </w:rPr>
        <w:t>. The</w:t>
      </w:r>
      <w:r w:rsidR="004A2D1F" w:rsidRPr="00F06716">
        <w:rPr>
          <w:rFonts w:ascii="Calibri" w:eastAsia="Calibri" w:hAnsi="Calibri" w:cs="Calibri"/>
          <w:sz w:val="20"/>
          <w:szCs w:val="20"/>
          <w:lang w:val="en-GB"/>
        </w:rPr>
        <w:t xml:space="preserve"> Mining companies and other heavy power industries are n</w:t>
      </w:r>
      <w:r w:rsidR="00EB5304" w:rsidRPr="00F06716">
        <w:rPr>
          <w:rFonts w:ascii="Calibri" w:eastAsia="Calibri" w:hAnsi="Calibri" w:cs="Calibri"/>
          <w:sz w:val="20"/>
          <w:szCs w:val="20"/>
          <w:lang w:val="en-GB"/>
        </w:rPr>
        <w:t xml:space="preserve">ot connected to Grid, </w:t>
      </w:r>
      <w:r w:rsidR="00B9715F" w:rsidRPr="00F06716">
        <w:rPr>
          <w:rFonts w:ascii="Calibri" w:eastAsia="Calibri" w:hAnsi="Calibri" w:cs="Calibri"/>
          <w:sz w:val="20"/>
          <w:szCs w:val="20"/>
          <w:lang w:val="en-GB"/>
        </w:rPr>
        <w:t>a</w:t>
      </w:r>
      <w:r w:rsidR="006954DD" w:rsidRPr="00F06716">
        <w:rPr>
          <w:rFonts w:ascii="Calibri" w:eastAsia="Calibri" w:hAnsi="Calibri" w:cs="Calibri"/>
          <w:sz w:val="20"/>
          <w:szCs w:val="20"/>
          <w:lang w:val="en-GB"/>
        </w:rPr>
        <w:t xml:space="preserve">ll </w:t>
      </w:r>
      <w:r w:rsidR="006954DD" w:rsidRPr="00F06716">
        <w:rPr>
          <w:rFonts w:ascii="Calibri" w:eastAsia="Calibri" w:hAnsi="Calibri" w:cs="Calibri"/>
          <w:sz w:val="20"/>
          <w:szCs w:val="20"/>
          <w:lang w:val="en-GB"/>
        </w:rPr>
        <w:t xml:space="preserve">of the above stalls </w:t>
      </w:r>
      <w:r w:rsidR="00B9715F" w:rsidRPr="00F06716">
        <w:rPr>
          <w:rFonts w:ascii="Calibri" w:eastAsia="Calibri" w:hAnsi="Calibri" w:cs="Calibri"/>
          <w:sz w:val="20"/>
          <w:szCs w:val="20"/>
          <w:lang w:val="en-GB"/>
        </w:rPr>
        <w:t>the Socio Economic Development of the nation.</w:t>
      </w:r>
    </w:p>
    <w:p w14:paraId="20D7AA17" w14:textId="0451AE38" w:rsidR="001E59F6" w:rsidRPr="00F06716" w:rsidRDefault="00441652" w:rsidP="008C1609">
      <w:pPr>
        <w:spacing w:after="80" w:line="271" w:lineRule="auto"/>
        <w:jc w:val="both"/>
        <w:rPr>
          <w:rFonts w:ascii="Calibri" w:eastAsia="Calibri" w:hAnsi="Calibri" w:cs="Calibri"/>
          <w:sz w:val="20"/>
          <w:szCs w:val="20"/>
          <w:lang w:val="en-GB"/>
        </w:rPr>
      </w:pPr>
      <w:r w:rsidRPr="00F06716">
        <w:rPr>
          <w:rFonts w:ascii="Calibri" w:eastAsia="Calibri" w:hAnsi="Calibri" w:cs="Calibri"/>
          <w:sz w:val="20"/>
          <w:szCs w:val="20"/>
          <w:lang w:val="en-GB"/>
        </w:rPr>
        <w:t>The context and ch</w:t>
      </w:r>
      <w:r w:rsidR="008C1609" w:rsidRPr="00F06716">
        <w:rPr>
          <w:rFonts w:ascii="Calibri" w:eastAsia="Calibri" w:hAnsi="Calibri" w:cs="Calibri"/>
          <w:sz w:val="20"/>
          <w:szCs w:val="20"/>
          <w:lang w:val="en-GB"/>
        </w:rPr>
        <w:t>allenges highlighted above pose</w:t>
      </w:r>
      <w:r w:rsidRPr="00F06716">
        <w:rPr>
          <w:rFonts w:ascii="Calibri" w:eastAsia="Calibri" w:hAnsi="Calibri" w:cs="Calibri"/>
          <w:sz w:val="20"/>
          <w:szCs w:val="20"/>
          <w:lang w:val="en-GB"/>
        </w:rPr>
        <w:t xml:space="preserve"> </w:t>
      </w:r>
      <w:r w:rsidR="008C1609" w:rsidRPr="00F06716">
        <w:rPr>
          <w:rFonts w:ascii="Calibri" w:eastAsia="Calibri" w:hAnsi="Calibri" w:cs="Calibri"/>
          <w:sz w:val="20"/>
          <w:szCs w:val="20"/>
          <w:lang w:val="en-GB"/>
        </w:rPr>
        <w:t xml:space="preserve">the </w:t>
      </w:r>
      <w:r w:rsidR="007933A0" w:rsidRPr="00F06716">
        <w:rPr>
          <w:rFonts w:ascii="Calibri" w:eastAsia="Calibri" w:hAnsi="Calibri" w:cs="Calibri"/>
          <w:sz w:val="20"/>
          <w:szCs w:val="20"/>
          <w:lang w:val="en-GB"/>
        </w:rPr>
        <w:t>research question</w:t>
      </w:r>
      <w:r w:rsidR="008C1609" w:rsidRPr="00F06716">
        <w:rPr>
          <w:rFonts w:ascii="Calibri" w:eastAsia="Calibri" w:hAnsi="Calibri" w:cs="Calibri"/>
          <w:sz w:val="20"/>
          <w:szCs w:val="20"/>
          <w:lang w:val="en-GB"/>
        </w:rPr>
        <w:t xml:space="preserve"> of ”</w:t>
      </w:r>
      <w:r w:rsidR="001E59F6" w:rsidRPr="00F06716">
        <w:rPr>
          <w:rFonts w:ascii="Calibri" w:eastAsia="Calibri" w:hAnsi="Calibri" w:cs="Calibri"/>
          <w:sz w:val="20"/>
          <w:szCs w:val="20"/>
          <w:lang w:val="en-GB"/>
        </w:rPr>
        <w:t xml:space="preserve">How can investment in a diversified energy supply mix ensure universal access to electricity and increase </w:t>
      </w:r>
      <w:r w:rsidR="007933A0" w:rsidRPr="00F06716">
        <w:rPr>
          <w:rFonts w:ascii="Calibri" w:eastAsia="Calibri" w:hAnsi="Calibri" w:cs="Calibri"/>
          <w:sz w:val="20"/>
          <w:szCs w:val="20"/>
          <w:lang w:val="en-GB"/>
        </w:rPr>
        <w:t xml:space="preserve">energy </w:t>
      </w:r>
      <w:r w:rsidR="001E59F6" w:rsidRPr="00F06716">
        <w:rPr>
          <w:rFonts w:ascii="Calibri" w:eastAsia="Calibri" w:hAnsi="Calibri" w:cs="Calibri"/>
          <w:sz w:val="20"/>
          <w:szCs w:val="20"/>
          <w:lang w:val="en-GB"/>
        </w:rPr>
        <w:t>security and climate resilience?</w:t>
      </w:r>
      <w:r w:rsidR="008C1609" w:rsidRPr="00F06716">
        <w:rPr>
          <w:rFonts w:ascii="Calibri" w:eastAsia="Calibri" w:hAnsi="Calibri" w:cs="Calibri"/>
          <w:sz w:val="20"/>
          <w:szCs w:val="20"/>
          <w:lang w:val="en-GB"/>
        </w:rPr>
        <w:t>”</w:t>
      </w:r>
    </w:p>
    <w:p w14:paraId="3DB89040" w14:textId="73404165" w:rsidR="00EF5FA3" w:rsidRDefault="001653F0">
      <w:pPr>
        <w:spacing w:after="80" w:line="271" w:lineRule="auto"/>
        <w:ind w:left="360"/>
        <w:rPr>
          <w:rFonts w:ascii="Calibri" w:eastAsia="Calibri" w:hAnsi="Calibri" w:cs="Calibri"/>
          <w:b/>
          <w:sz w:val="20"/>
          <w:szCs w:val="20"/>
        </w:rPr>
      </w:pPr>
      <w:r>
        <w:rPr>
          <w:rFonts w:ascii="Calibri" w:eastAsia="Calibri" w:hAnsi="Calibri" w:cs="Calibri"/>
          <w:b/>
          <w:sz w:val="20"/>
          <w:szCs w:val="20"/>
        </w:rPr>
        <w:t>3.</w:t>
      </w:r>
      <w:r>
        <w:rPr>
          <w:rFonts w:ascii="Calibri" w:eastAsia="Calibri" w:hAnsi="Calibri" w:cs="Calibri"/>
          <w:sz w:val="20"/>
          <w:szCs w:val="20"/>
        </w:rPr>
        <w:tab/>
      </w:r>
      <w:r w:rsidR="00357B8D">
        <w:rPr>
          <w:rFonts w:ascii="Calibri" w:eastAsia="Calibri" w:hAnsi="Calibri" w:cs="Calibri"/>
          <w:b/>
          <w:sz w:val="20"/>
          <w:szCs w:val="20"/>
        </w:rPr>
        <w:t>Methodology and Scenario D</w:t>
      </w:r>
      <w:r>
        <w:rPr>
          <w:rFonts w:ascii="Calibri" w:eastAsia="Calibri" w:hAnsi="Calibri" w:cs="Calibri"/>
          <w:b/>
          <w:sz w:val="20"/>
          <w:szCs w:val="20"/>
        </w:rPr>
        <w:t>evelopment</w:t>
      </w:r>
    </w:p>
    <w:p w14:paraId="3AFFFA5B" w14:textId="242EE5F7" w:rsidR="008702C9" w:rsidRDefault="000A629F" w:rsidP="008702C9">
      <w:pPr>
        <w:spacing w:after="80" w:line="271" w:lineRule="auto"/>
        <w:jc w:val="both"/>
        <w:rPr>
          <w:rFonts w:ascii="Calibri" w:eastAsia="Calibri" w:hAnsi="Calibri" w:cs="Calibri"/>
          <w:sz w:val="20"/>
          <w:szCs w:val="20"/>
          <w:lang w:val="en-US"/>
        </w:rPr>
      </w:pPr>
      <w:r w:rsidRPr="000A629F">
        <w:rPr>
          <w:rFonts w:ascii="Calibri" w:eastAsia="Calibri" w:hAnsi="Calibri" w:cs="Calibri"/>
          <w:sz w:val="20"/>
          <w:szCs w:val="20"/>
          <w:lang w:val="en-US"/>
        </w:rPr>
        <w:t xml:space="preserve">Scenarios were modeled in </w:t>
      </w:r>
      <w:r w:rsidR="002D1B79" w:rsidRPr="000A629F">
        <w:rPr>
          <w:rFonts w:ascii="Calibri" w:eastAsia="Calibri" w:hAnsi="Calibri" w:cs="Calibri"/>
          <w:sz w:val="20"/>
          <w:szCs w:val="20"/>
          <w:lang w:val="en-US"/>
        </w:rPr>
        <w:t>OSeMOSYS, which</w:t>
      </w:r>
      <w:r w:rsidRPr="000A629F">
        <w:rPr>
          <w:rFonts w:ascii="Calibri" w:eastAsia="Calibri" w:hAnsi="Calibri" w:cs="Calibri"/>
          <w:sz w:val="20"/>
          <w:szCs w:val="20"/>
          <w:lang w:val="en-US"/>
        </w:rPr>
        <w:t xml:space="preserve"> is a </w:t>
      </w:r>
      <w:r w:rsidR="00E22D41">
        <w:rPr>
          <w:rFonts w:ascii="Calibri" w:eastAsia="Calibri" w:hAnsi="Calibri" w:cs="Calibri"/>
          <w:sz w:val="20"/>
          <w:szCs w:val="20"/>
          <w:lang w:val="en-US"/>
        </w:rPr>
        <w:t xml:space="preserve">linear programing </w:t>
      </w:r>
      <w:r w:rsidR="001F195C">
        <w:rPr>
          <w:rFonts w:ascii="Calibri" w:eastAsia="Calibri" w:hAnsi="Calibri" w:cs="Calibri"/>
          <w:sz w:val="20"/>
          <w:szCs w:val="20"/>
          <w:lang w:val="en-US"/>
        </w:rPr>
        <w:t>generator</w:t>
      </w:r>
      <w:r w:rsidRPr="000A629F">
        <w:rPr>
          <w:rFonts w:ascii="Calibri" w:eastAsia="Calibri" w:hAnsi="Calibri" w:cs="Calibri"/>
          <w:sz w:val="20"/>
          <w:szCs w:val="20"/>
          <w:lang w:val="en-US"/>
        </w:rPr>
        <w:t xml:space="preserve"> that </w:t>
      </w:r>
      <w:r w:rsidR="002D1B79" w:rsidRPr="000A629F">
        <w:rPr>
          <w:rFonts w:ascii="Calibri" w:eastAsia="Calibri" w:hAnsi="Calibri" w:cs="Calibri"/>
          <w:sz w:val="20"/>
          <w:szCs w:val="20"/>
          <w:lang w:val="en-US"/>
        </w:rPr>
        <w:t>selects suitable</w:t>
      </w:r>
      <w:r w:rsidRPr="000A629F">
        <w:rPr>
          <w:rFonts w:ascii="Calibri" w:eastAsia="Calibri" w:hAnsi="Calibri" w:cs="Calibri"/>
          <w:sz w:val="20"/>
          <w:szCs w:val="20"/>
          <w:lang w:val="en-US"/>
        </w:rPr>
        <w:t xml:space="preserve"> energy mix to provide least-cost optimal solutions</w:t>
      </w:r>
      <w:r w:rsidRPr="00F06716">
        <w:rPr>
          <w:rFonts w:ascii="Calibri" w:eastAsia="Calibri" w:hAnsi="Calibri" w:cs="Calibri"/>
          <w:sz w:val="20"/>
          <w:szCs w:val="20"/>
          <w:lang w:val="en-GB"/>
        </w:rPr>
        <w:t>.</w:t>
      </w:r>
      <w:r w:rsidR="00917B29" w:rsidRPr="00F06716">
        <w:rPr>
          <w:rFonts w:ascii="Calibri" w:eastAsia="Calibri" w:hAnsi="Calibri" w:cs="Calibri"/>
          <w:sz w:val="20"/>
          <w:szCs w:val="20"/>
          <w:lang w:val="en-GB"/>
        </w:rPr>
        <w:t xml:space="preserve"> </w:t>
      </w:r>
      <w:r w:rsidR="001E59F6">
        <w:rPr>
          <w:rFonts w:ascii="Calibri" w:eastAsia="Calibri" w:hAnsi="Calibri" w:cs="Calibri"/>
          <w:sz w:val="20"/>
          <w:szCs w:val="20"/>
          <w:lang w:val="en-US"/>
        </w:rPr>
        <w:t>T</w:t>
      </w:r>
      <w:r w:rsidR="00FE1486">
        <w:rPr>
          <w:rFonts w:ascii="Calibri" w:eastAsia="Calibri" w:hAnsi="Calibri" w:cs="Calibri"/>
          <w:sz w:val="20"/>
          <w:szCs w:val="20"/>
          <w:lang w:val="en-US"/>
        </w:rPr>
        <w:t>he modeled</w:t>
      </w:r>
      <w:r w:rsidR="008702C9">
        <w:rPr>
          <w:rFonts w:ascii="Calibri" w:eastAsia="Calibri" w:hAnsi="Calibri" w:cs="Calibri"/>
          <w:sz w:val="20"/>
          <w:szCs w:val="20"/>
          <w:lang w:val="en-US"/>
        </w:rPr>
        <w:t xml:space="preserve"> period spans from 2015 to 2050</w:t>
      </w:r>
      <w:r w:rsidR="00FE1486">
        <w:rPr>
          <w:rFonts w:ascii="Calibri" w:eastAsia="Calibri" w:hAnsi="Calibri" w:cs="Calibri"/>
          <w:sz w:val="20"/>
          <w:szCs w:val="20"/>
          <w:lang w:val="en-US"/>
        </w:rPr>
        <w:t>, with each year having two seasonal variations of 6 months dry season (November to April) and 6 months raining season (May to October).</w:t>
      </w:r>
    </w:p>
    <w:p w14:paraId="3A3C68BC" w14:textId="4BCCA8B8" w:rsidR="001F195C" w:rsidRPr="00F06716" w:rsidRDefault="00917B29" w:rsidP="008702C9">
      <w:pPr>
        <w:spacing w:after="80" w:line="271" w:lineRule="auto"/>
        <w:jc w:val="both"/>
        <w:rPr>
          <w:rFonts w:ascii="Calibri" w:eastAsia="Calibri" w:hAnsi="Calibri" w:cs="Calibri"/>
          <w:sz w:val="20"/>
          <w:szCs w:val="20"/>
          <w:lang w:val="en-GB"/>
        </w:rPr>
      </w:pPr>
      <w:r w:rsidRPr="00F06716">
        <w:rPr>
          <w:rFonts w:ascii="Calibri" w:eastAsia="Calibri" w:hAnsi="Calibri" w:cs="Calibri"/>
          <w:sz w:val="20"/>
          <w:szCs w:val="20"/>
          <w:lang w:val="en-GB"/>
        </w:rPr>
        <w:t>The following scenarios were investigated:</w:t>
      </w:r>
    </w:p>
    <w:p w14:paraId="5C93CF64" w14:textId="7E4E504B" w:rsidR="00117E8C" w:rsidRPr="00F06716" w:rsidRDefault="00917B29" w:rsidP="00917B29">
      <w:pPr>
        <w:spacing w:after="80" w:line="271" w:lineRule="auto"/>
        <w:jc w:val="both"/>
        <w:rPr>
          <w:rFonts w:ascii="Calibri" w:eastAsia="Calibri" w:hAnsi="Calibri" w:cs="Calibri"/>
          <w:bCs/>
          <w:sz w:val="20"/>
          <w:szCs w:val="20"/>
          <w:lang w:val="en-GB"/>
        </w:rPr>
      </w:pPr>
      <w:r w:rsidRPr="00F06716">
        <w:rPr>
          <w:rFonts w:ascii="Calibri" w:eastAsia="Calibri" w:hAnsi="Calibri" w:cs="Calibri"/>
          <w:b/>
          <w:bCs/>
          <w:sz w:val="20"/>
          <w:szCs w:val="20"/>
          <w:lang w:val="en-GB"/>
        </w:rPr>
        <w:t xml:space="preserve">Base Case </w:t>
      </w:r>
      <w:r w:rsidR="00CA2DA3" w:rsidRPr="00CA2DA3">
        <w:rPr>
          <w:rFonts w:ascii="Calibri" w:eastAsia="Calibri" w:hAnsi="Calibri" w:cs="Calibri"/>
          <w:b/>
          <w:bCs/>
          <w:sz w:val="20"/>
          <w:szCs w:val="20"/>
          <w:lang w:val="en-GB"/>
        </w:rPr>
        <w:t>Scenario</w:t>
      </w:r>
      <w:r w:rsidRPr="00F06716">
        <w:rPr>
          <w:rFonts w:ascii="Calibri" w:eastAsia="Calibri" w:hAnsi="Calibri" w:cs="Calibri"/>
          <w:b/>
          <w:bCs/>
          <w:sz w:val="20"/>
          <w:szCs w:val="20"/>
          <w:lang w:val="en-GB"/>
        </w:rPr>
        <w:t xml:space="preserve"> (BAU): </w:t>
      </w:r>
      <w:r w:rsidRPr="00F06716">
        <w:rPr>
          <w:rFonts w:ascii="Calibri" w:eastAsia="Calibri" w:hAnsi="Calibri" w:cs="Calibri"/>
          <w:bCs/>
          <w:sz w:val="20"/>
          <w:szCs w:val="20"/>
          <w:lang w:val="en-GB"/>
        </w:rPr>
        <w:t xml:space="preserve">This </w:t>
      </w:r>
      <w:r w:rsidR="00CA2DA3" w:rsidRPr="00CA2DA3">
        <w:rPr>
          <w:rFonts w:ascii="Calibri" w:eastAsia="Calibri" w:hAnsi="Calibri" w:cs="Calibri"/>
          <w:bCs/>
          <w:sz w:val="20"/>
          <w:szCs w:val="20"/>
          <w:lang w:val="en-GB"/>
        </w:rPr>
        <w:t>scenario</w:t>
      </w:r>
      <w:r w:rsidRPr="00F06716">
        <w:rPr>
          <w:rFonts w:ascii="Calibri" w:eastAsia="Calibri" w:hAnsi="Calibri" w:cs="Calibri"/>
          <w:bCs/>
          <w:sz w:val="20"/>
          <w:szCs w:val="20"/>
          <w:lang w:val="en-GB"/>
        </w:rPr>
        <w:t xml:space="preserve"> implements the business as usual </w:t>
      </w:r>
      <w:r w:rsidR="00CA2DA3" w:rsidRPr="00CA2DA3">
        <w:rPr>
          <w:rFonts w:ascii="Calibri" w:eastAsia="Calibri" w:hAnsi="Calibri" w:cs="Calibri"/>
          <w:bCs/>
          <w:sz w:val="20"/>
          <w:szCs w:val="20"/>
          <w:lang w:val="en-GB"/>
        </w:rPr>
        <w:t>i.e.</w:t>
      </w:r>
      <w:r w:rsidRPr="00F06716">
        <w:rPr>
          <w:rFonts w:ascii="Calibri" w:eastAsia="Calibri" w:hAnsi="Calibri" w:cs="Calibri"/>
          <w:bCs/>
          <w:sz w:val="20"/>
          <w:szCs w:val="20"/>
          <w:lang w:val="en-GB"/>
        </w:rPr>
        <w:t xml:space="preserve"> the electrification rate of 14%</w:t>
      </w:r>
      <w:r w:rsidR="00117E8C" w:rsidRPr="00F06716">
        <w:rPr>
          <w:rFonts w:ascii="Calibri" w:eastAsia="Calibri" w:hAnsi="Calibri" w:cs="Calibri"/>
          <w:bCs/>
          <w:sz w:val="20"/>
          <w:szCs w:val="20"/>
          <w:lang w:val="en-GB"/>
        </w:rPr>
        <w:t xml:space="preserve"> and the energy supply mainly coming from Hydro and other variable renewable sources (VRES).</w:t>
      </w:r>
    </w:p>
    <w:p w14:paraId="17ECAABC" w14:textId="3638EBE1" w:rsidR="001F195C" w:rsidRPr="00F06716" w:rsidRDefault="00802DC4" w:rsidP="0010171A">
      <w:pPr>
        <w:spacing w:after="80" w:line="271" w:lineRule="auto"/>
        <w:jc w:val="both"/>
        <w:rPr>
          <w:rFonts w:ascii="Calibri" w:eastAsia="Calibri" w:hAnsi="Calibri" w:cs="Calibri"/>
          <w:bCs/>
          <w:sz w:val="20"/>
          <w:szCs w:val="20"/>
          <w:lang w:val="en-GB"/>
        </w:rPr>
      </w:pPr>
      <w:r w:rsidRPr="00F06716">
        <w:rPr>
          <w:rFonts w:ascii="Calibri" w:eastAsia="Calibri" w:hAnsi="Calibri" w:cs="Calibri"/>
          <w:b/>
          <w:bCs/>
          <w:sz w:val="20"/>
          <w:szCs w:val="20"/>
          <w:lang w:val="en-GB"/>
        </w:rPr>
        <w:t xml:space="preserve">National </w:t>
      </w:r>
      <w:r w:rsidR="003D480E" w:rsidRPr="00F06716">
        <w:rPr>
          <w:rFonts w:ascii="Calibri" w:eastAsia="Calibri" w:hAnsi="Calibri" w:cs="Calibri"/>
          <w:b/>
          <w:bCs/>
          <w:sz w:val="20"/>
          <w:szCs w:val="20"/>
          <w:lang w:val="en-GB"/>
        </w:rPr>
        <w:t xml:space="preserve">  </w:t>
      </w:r>
      <w:r w:rsidR="00117E8C" w:rsidRPr="00F06716">
        <w:rPr>
          <w:rFonts w:ascii="Calibri" w:eastAsia="Calibri" w:hAnsi="Calibri" w:cs="Calibri"/>
          <w:b/>
          <w:bCs/>
          <w:sz w:val="20"/>
          <w:szCs w:val="20"/>
          <w:lang w:val="en-GB"/>
        </w:rPr>
        <w:t xml:space="preserve">Electrification (NE): </w:t>
      </w:r>
      <w:r w:rsidR="0010171A" w:rsidRPr="00F06716">
        <w:rPr>
          <w:rFonts w:ascii="Calibri" w:eastAsia="Calibri" w:hAnsi="Calibri" w:cs="Calibri"/>
          <w:sz w:val="20"/>
          <w:szCs w:val="20"/>
          <w:lang w:val="en-GB"/>
        </w:rPr>
        <w:t xml:space="preserve">This scenario is a modification of the base case wherein the domestic demand projections were increased such that the rate of electrification was targeted at </w:t>
      </w:r>
      <w:r w:rsidR="0010171A">
        <w:rPr>
          <w:rFonts w:ascii="Calibri" w:eastAsia="Calibri" w:hAnsi="Calibri" w:cs="Calibri"/>
          <w:sz w:val="20"/>
          <w:szCs w:val="20"/>
          <w:lang w:val="en-US"/>
        </w:rPr>
        <w:t xml:space="preserve">60% by </w:t>
      </w:r>
      <w:r w:rsidR="00117E8C" w:rsidRPr="001F195C">
        <w:rPr>
          <w:rFonts w:ascii="Calibri" w:eastAsia="Calibri" w:hAnsi="Calibri" w:cs="Calibri"/>
          <w:sz w:val="20"/>
          <w:szCs w:val="20"/>
          <w:lang w:val="en-US"/>
        </w:rPr>
        <w:t>2025, 80% by 2030 and 100% by 2035.</w:t>
      </w:r>
    </w:p>
    <w:p w14:paraId="6D5EA332" w14:textId="75A71A0B" w:rsidR="001F195C" w:rsidRPr="001F195C" w:rsidRDefault="001F195C" w:rsidP="00D029D2">
      <w:pPr>
        <w:spacing w:after="80" w:line="271" w:lineRule="auto"/>
        <w:jc w:val="both"/>
        <w:rPr>
          <w:rFonts w:ascii="Calibri" w:eastAsia="Calibri" w:hAnsi="Calibri" w:cs="Calibri"/>
          <w:sz w:val="20"/>
          <w:szCs w:val="20"/>
          <w:lang w:val="en-US"/>
        </w:rPr>
      </w:pPr>
      <w:r w:rsidRPr="001F195C">
        <w:rPr>
          <w:rFonts w:ascii="Calibri" w:eastAsia="Calibri" w:hAnsi="Calibri" w:cs="Calibri"/>
          <w:b/>
          <w:bCs/>
          <w:sz w:val="20"/>
          <w:szCs w:val="20"/>
          <w:lang w:val="en-US"/>
        </w:rPr>
        <w:t>Delayed Hydro</w:t>
      </w:r>
      <w:r w:rsidR="0010171A">
        <w:rPr>
          <w:rFonts w:ascii="Calibri" w:eastAsia="Calibri" w:hAnsi="Calibri" w:cs="Calibri"/>
          <w:b/>
          <w:bCs/>
          <w:sz w:val="20"/>
          <w:szCs w:val="20"/>
          <w:lang w:val="en-US"/>
        </w:rPr>
        <w:t xml:space="preserve"> (DH)</w:t>
      </w:r>
      <w:r w:rsidRPr="001F195C">
        <w:rPr>
          <w:rFonts w:ascii="Calibri" w:eastAsia="Calibri" w:hAnsi="Calibri" w:cs="Calibri"/>
          <w:b/>
          <w:bCs/>
          <w:sz w:val="20"/>
          <w:szCs w:val="20"/>
          <w:lang w:val="en-US"/>
        </w:rPr>
        <w:t xml:space="preserve">: </w:t>
      </w:r>
      <w:r w:rsidR="0010171A">
        <w:rPr>
          <w:rFonts w:ascii="Calibri" w:eastAsia="Calibri" w:hAnsi="Calibri" w:cs="Calibri"/>
          <w:sz w:val="20"/>
          <w:szCs w:val="20"/>
          <w:lang w:val="en-US"/>
        </w:rPr>
        <w:t xml:space="preserve">In this </w:t>
      </w:r>
      <w:r w:rsidR="00D029D2">
        <w:rPr>
          <w:rFonts w:ascii="Calibri" w:eastAsia="Calibri" w:hAnsi="Calibri" w:cs="Calibri"/>
          <w:sz w:val="20"/>
          <w:szCs w:val="20"/>
          <w:lang w:val="en-US"/>
        </w:rPr>
        <w:t xml:space="preserve">scenario, the national electrification rate was maintained, but restrictions were made such that </w:t>
      </w:r>
      <w:r w:rsidR="00E32CCC">
        <w:rPr>
          <w:rFonts w:ascii="Calibri" w:eastAsia="Calibri" w:hAnsi="Calibri" w:cs="Calibri"/>
          <w:sz w:val="20"/>
          <w:szCs w:val="20"/>
          <w:lang w:val="en-US"/>
        </w:rPr>
        <w:t xml:space="preserve">the </w:t>
      </w:r>
      <w:r w:rsidR="00D029D2">
        <w:rPr>
          <w:rFonts w:ascii="Calibri" w:eastAsia="Calibri" w:hAnsi="Calibri" w:cs="Calibri"/>
          <w:sz w:val="20"/>
          <w:szCs w:val="20"/>
          <w:lang w:val="en-US"/>
        </w:rPr>
        <w:t>installation of p</w:t>
      </w:r>
      <w:r w:rsidR="00D029D2" w:rsidRPr="001F195C">
        <w:rPr>
          <w:rFonts w:ascii="Calibri" w:eastAsia="Calibri" w:hAnsi="Calibri" w:cs="Calibri"/>
          <w:sz w:val="20"/>
          <w:szCs w:val="20"/>
          <w:lang w:val="en-US"/>
        </w:rPr>
        <w:t>hase 2</w:t>
      </w:r>
      <w:r w:rsidR="00D029D2">
        <w:rPr>
          <w:rFonts w:ascii="Calibri" w:eastAsia="Calibri" w:hAnsi="Calibri" w:cs="Calibri"/>
          <w:sz w:val="20"/>
          <w:szCs w:val="20"/>
          <w:lang w:val="en-US"/>
        </w:rPr>
        <w:t xml:space="preserve">, 3 and 4 of Bumbuna </w:t>
      </w:r>
      <w:r w:rsidR="00E32CCC">
        <w:rPr>
          <w:rFonts w:ascii="Calibri" w:eastAsia="Calibri" w:hAnsi="Calibri" w:cs="Calibri"/>
          <w:sz w:val="20"/>
          <w:szCs w:val="20"/>
          <w:lang w:val="en-US"/>
        </w:rPr>
        <w:t xml:space="preserve">was </w:t>
      </w:r>
      <w:r w:rsidR="00D029D2">
        <w:rPr>
          <w:rFonts w:ascii="Calibri" w:eastAsia="Calibri" w:hAnsi="Calibri" w:cs="Calibri"/>
          <w:sz w:val="20"/>
          <w:szCs w:val="20"/>
          <w:lang w:val="en-US"/>
        </w:rPr>
        <w:t xml:space="preserve">delayed </w:t>
      </w:r>
      <w:r w:rsidR="00E32CCC">
        <w:rPr>
          <w:rFonts w:ascii="Calibri" w:eastAsia="Calibri" w:hAnsi="Calibri" w:cs="Calibri"/>
          <w:sz w:val="20"/>
          <w:szCs w:val="20"/>
          <w:lang w:val="en-US"/>
        </w:rPr>
        <w:t>to start in 2027</w:t>
      </w:r>
      <w:r w:rsidR="00FE1486">
        <w:rPr>
          <w:rFonts w:ascii="Calibri" w:eastAsia="Calibri" w:hAnsi="Calibri" w:cs="Calibri"/>
          <w:sz w:val="20"/>
          <w:szCs w:val="20"/>
          <w:lang w:val="en-US"/>
        </w:rPr>
        <w:t>.</w:t>
      </w:r>
    </w:p>
    <w:p w14:paraId="62A79824" w14:textId="65DB628E" w:rsidR="001F195C" w:rsidRPr="001F195C" w:rsidRDefault="001F195C" w:rsidP="00FE1486">
      <w:pPr>
        <w:spacing w:after="80" w:line="271" w:lineRule="auto"/>
        <w:jc w:val="both"/>
        <w:rPr>
          <w:rFonts w:ascii="Calibri" w:eastAsia="Calibri" w:hAnsi="Calibri" w:cs="Calibri"/>
          <w:sz w:val="20"/>
          <w:szCs w:val="20"/>
          <w:lang w:val="en-US"/>
        </w:rPr>
      </w:pPr>
      <w:r w:rsidRPr="001F195C">
        <w:rPr>
          <w:rFonts w:ascii="Calibri" w:eastAsia="Calibri" w:hAnsi="Calibri" w:cs="Calibri"/>
          <w:b/>
          <w:bCs/>
          <w:sz w:val="20"/>
          <w:szCs w:val="20"/>
          <w:lang w:val="en-US"/>
        </w:rPr>
        <w:lastRenderedPageBreak/>
        <w:t>Climate Resilient</w:t>
      </w:r>
      <w:r w:rsidR="00FE1486">
        <w:rPr>
          <w:rFonts w:ascii="Calibri" w:eastAsia="Calibri" w:hAnsi="Calibri" w:cs="Calibri"/>
          <w:b/>
          <w:bCs/>
          <w:sz w:val="20"/>
          <w:szCs w:val="20"/>
          <w:lang w:val="en-US"/>
        </w:rPr>
        <w:t xml:space="preserve"> (WS)</w:t>
      </w:r>
      <w:r w:rsidRPr="001F195C">
        <w:rPr>
          <w:rFonts w:ascii="Calibri" w:eastAsia="Calibri" w:hAnsi="Calibri" w:cs="Calibri"/>
          <w:b/>
          <w:bCs/>
          <w:sz w:val="20"/>
          <w:szCs w:val="20"/>
          <w:lang w:val="en-US"/>
        </w:rPr>
        <w:t xml:space="preserve">: </w:t>
      </w:r>
      <w:r w:rsidR="00FE1486">
        <w:rPr>
          <w:rFonts w:ascii="Calibri" w:eastAsia="Calibri" w:hAnsi="Calibri" w:cs="Calibri"/>
          <w:sz w:val="20"/>
          <w:szCs w:val="20"/>
          <w:lang w:val="en-US"/>
        </w:rPr>
        <w:t xml:space="preserve">In this scenario, the national electrification rate was maintained, but with modifications made such that the model experiences </w:t>
      </w:r>
      <w:r w:rsidR="00FE1486" w:rsidRPr="001F195C">
        <w:rPr>
          <w:rFonts w:ascii="Calibri" w:eastAsia="Calibri" w:hAnsi="Calibri" w:cs="Calibri"/>
          <w:sz w:val="20"/>
          <w:szCs w:val="20"/>
          <w:lang w:val="en-US"/>
        </w:rPr>
        <w:t>intermittent</w:t>
      </w:r>
      <w:r w:rsidRPr="001F195C">
        <w:rPr>
          <w:rFonts w:ascii="Calibri" w:eastAsia="Calibri" w:hAnsi="Calibri" w:cs="Calibri"/>
          <w:sz w:val="20"/>
          <w:szCs w:val="20"/>
          <w:lang w:val="en-US"/>
        </w:rPr>
        <w:t xml:space="preserve"> </w:t>
      </w:r>
      <w:r w:rsidR="00FE1486" w:rsidRPr="001F195C">
        <w:rPr>
          <w:rFonts w:ascii="Calibri" w:eastAsia="Calibri" w:hAnsi="Calibri" w:cs="Calibri"/>
          <w:sz w:val="20"/>
          <w:szCs w:val="20"/>
          <w:lang w:val="en-US"/>
        </w:rPr>
        <w:t>drought in</w:t>
      </w:r>
      <w:r w:rsidRPr="001F195C">
        <w:rPr>
          <w:rFonts w:ascii="Calibri" w:eastAsia="Calibri" w:hAnsi="Calibri" w:cs="Calibri"/>
          <w:sz w:val="20"/>
          <w:szCs w:val="20"/>
          <w:lang w:val="en-US"/>
        </w:rPr>
        <w:t xml:space="preserve"> several years of the modelling period.</w:t>
      </w:r>
      <w:r w:rsidR="00FE1486">
        <w:rPr>
          <w:rFonts w:ascii="Calibri" w:eastAsia="Calibri" w:hAnsi="Calibri" w:cs="Calibri"/>
          <w:sz w:val="20"/>
          <w:szCs w:val="20"/>
          <w:lang w:val="en-US"/>
        </w:rPr>
        <w:t xml:space="preserve"> This increases the dry period of the dry season and </w:t>
      </w:r>
      <w:r w:rsidR="004121B2">
        <w:rPr>
          <w:rFonts w:ascii="Calibri" w:eastAsia="Calibri" w:hAnsi="Calibri" w:cs="Calibri"/>
          <w:sz w:val="20"/>
          <w:szCs w:val="20"/>
          <w:lang w:val="en-US"/>
        </w:rPr>
        <w:t>reduce the capacity factor of the Hydro power plants.</w:t>
      </w:r>
    </w:p>
    <w:p w14:paraId="3E876627" w14:textId="648F8007" w:rsidR="000A629F" w:rsidRPr="0047013E" w:rsidRDefault="003C747E">
      <w:pPr>
        <w:spacing w:after="80" w:line="271" w:lineRule="auto"/>
        <w:jc w:val="both"/>
        <w:rPr>
          <w:rFonts w:ascii="Calibri" w:eastAsia="Calibri" w:hAnsi="Calibri" w:cs="Calibri"/>
          <w:sz w:val="20"/>
          <w:szCs w:val="20"/>
          <w:lang w:val="en-US"/>
        </w:rPr>
      </w:pPr>
      <w:r>
        <w:rPr>
          <w:rFonts w:ascii="Calibri" w:eastAsia="Calibri" w:hAnsi="Calibri" w:cs="Calibri"/>
          <w:b/>
          <w:bCs/>
          <w:sz w:val="20"/>
          <w:szCs w:val="20"/>
          <w:lang w:val="en-US"/>
        </w:rPr>
        <w:t xml:space="preserve">Emission Restriction (ER): </w:t>
      </w:r>
      <w:r w:rsidRPr="00F06716">
        <w:rPr>
          <w:rFonts w:ascii="Calibri" w:eastAsia="Calibri" w:hAnsi="Calibri" w:cs="Calibri"/>
          <w:sz w:val="20"/>
          <w:szCs w:val="20"/>
          <w:lang w:val="en-GB"/>
        </w:rPr>
        <w:t xml:space="preserve">In this scenario, the allowable emission in the base case was restricted by </w:t>
      </w:r>
      <w:r w:rsidRPr="001F195C">
        <w:rPr>
          <w:rFonts w:ascii="Calibri" w:eastAsia="Calibri" w:hAnsi="Calibri" w:cs="Calibri"/>
          <w:sz w:val="20"/>
          <w:szCs w:val="20"/>
          <w:lang w:val="en-US"/>
        </w:rPr>
        <w:t>80%</w:t>
      </w:r>
      <w:r>
        <w:rPr>
          <w:rFonts w:ascii="Calibri" w:eastAsia="Calibri" w:hAnsi="Calibri" w:cs="Calibri"/>
          <w:sz w:val="20"/>
          <w:szCs w:val="20"/>
          <w:lang w:val="en-US"/>
        </w:rPr>
        <w:t>, 6</w:t>
      </w:r>
      <w:r w:rsidRPr="001F195C">
        <w:rPr>
          <w:rFonts w:ascii="Calibri" w:eastAsia="Calibri" w:hAnsi="Calibri" w:cs="Calibri"/>
          <w:sz w:val="20"/>
          <w:szCs w:val="20"/>
          <w:lang w:val="en-US"/>
        </w:rPr>
        <w:t>0%</w:t>
      </w:r>
      <w:r>
        <w:rPr>
          <w:rFonts w:ascii="Calibri" w:eastAsia="Calibri" w:hAnsi="Calibri" w:cs="Calibri"/>
          <w:sz w:val="20"/>
          <w:szCs w:val="20"/>
          <w:lang w:val="en-US"/>
        </w:rPr>
        <w:t xml:space="preserve"> 4</w:t>
      </w:r>
      <w:r w:rsidRPr="001F195C">
        <w:rPr>
          <w:rFonts w:ascii="Calibri" w:eastAsia="Calibri" w:hAnsi="Calibri" w:cs="Calibri"/>
          <w:sz w:val="20"/>
          <w:szCs w:val="20"/>
          <w:lang w:val="en-US"/>
        </w:rPr>
        <w:t>0%</w:t>
      </w:r>
      <w:r>
        <w:rPr>
          <w:rFonts w:ascii="Calibri" w:eastAsia="Calibri" w:hAnsi="Calibri" w:cs="Calibri"/>
          <w:sz w:val="20"/>
          <w:szCs w:val="20"/>
          <w:lang w:val="en-US"/>
        </w:rPr>
        <w:t>, 2</w:t>
      </w:r>
      <w:r w:rsidRPr="001F195C">
        <w:rPr>
          <w:rFonts w:ascii="Calibri" w:eastAsia="Calibri" w:hAnsi="Calibri" w:cs="Calibri"/>
          <w:sz w:val="20"/>
          <w:szCs w:val="20"/>
          <w:lang w:val="en-US"/>
        </w:rPr>
        <w:t>0%</w:t>
      </w:r>
      <w:r>
        <w:rPr>
          <w:rFonts w:ascii="Calibri" w:eastAsia="Calibri" w:hAnsi="Calibri" w:cs="Calibri"/>
          <w:sz w:val="20"/>
          <w:szCs w:val="20"/>
          <w:lang w:val="en-US"/>
        </w:rPr>
        <w:t xml:space="preserve"> etc. and the percentage increase in operational cost recorded.</w:t>
      </w:r>
    </w:p>
    <w:p w14:paraId="2E92AABF" w14:textId="77777777" w:rsidR="000161B5" w:rsidRDefault="001653F0" w:rsidP="000161B5">
      <w:pPr>
        <w:spacing w:after="80" w:line="271" w:lineRule="auto"/>
        <w:ind w:left="360"/>
        <w:jc w:val="both"/>
        <w:rPr>
          <w:rFonts w:ascii="Calibri" w:eastAsia="Calibri" w:hAnsi="Calibri" w:cs="Calibri"/>
          <w:b/>
          <w:sz w:val="20"/>
          <w:szCs w:val="20"/>
        </w:rPr>
      </w:pPr>
      <w:r>
        <w:rPr>
          <w:rFonts w:ascii="Calibri" w:eastAsia="Calibri" w:hAnsi="Calibri" w:cs="Calibri"/>
          <w:b/>
          <w:sz w:val="20"/>
          <w:szCs w:val="20"/>
        </w:rPr>
        <w:t>4.</w:t>
      </w:r>
      <w:r>
        <w:rPr>
          <w:rFonts w:ascii="Calibri" w:eastAsia="Calibri" w:hAnsi="Calibri" w:cs="Calibri"/>
          <w:sz w:val="20"/>
          <w:szCs w:val="20"/>
        </w:rPr>
        <w:tab/>
      </w:r>
      <w:r>
        <w:rPr>
          <w:rFonts w:ascii="Calibri" w:eastAsia="Calibri" w:hAnsi="Calibri" w:cs="Calibri"/>
          <w:b/>
          <w:sz w:val="20"/>
          <w:szCs w:val="20"/>
        </w:rPr>
        <w:t>Results</w:t>
      </w:r>
    </w:p>
    <w:p w14:paraId="132E47EC" w14:textId="61BF3FF6" w:rsidR="00E54BB5" w:rsidRPr="000161B5" w:rsidRDefault="007B52D4" w:rsidP="000161B5">
      <w:pPr>
        <w:spacing w:after="80" w:line="271" w:lineRule="auto"/>
        <w:jc w:val="both"/>
        <w:rPr>
          <w:rFonts w:ascii="Calibri" w:eastAsia="Calibri" w:hAnsi="Calibri" w:cs="Calibri"/>
          <w:b/>
          <w:sz w:val="20"/>
          <w:szCs w:val="20"/>
        </w:rPr>
      </w:pPr>
      <w:r>
        <w:rPr>
          <w:rFonts w:ascii="Calibri" w:eastAsia="Calibri" w:hAnsi="Calibri" w:cs="Calibri"/>
          <w:sz w:val="20"/>
          <w:szCs w:val="20"/>
        </w:rPr>
        <w:t xml:space="preserve">Fig. 1 compares the </w:t>
      </w:r>
      <w:r w:rsidRPr="007B52D4">
        <w:rPr>
          <w:rFonts w:ascii="Calibri" w:eastAsia="Calibri" w:hAnsi="Calibri" w:cs="Calibri"/>
          <w:sz w:val="20"/>
          <w:szCs w:val="20"/>
        </w:rPr>
        <w:t>p</w:t>
      </w:r>
      <w:r w:rsidR="00F84B2E" w:rsidRPr="00AE25C0">
        <w:rPr>
          <w:rFonts w:ascii="Calibri" w:eastAsia="Calibri" w:hAnsi="Calibri" w:cs="Calibri"/>
          <w:sz w:val="20"/>
          <w:szCs w:val="20"/>
        </w:rPr>
        <w:t>ercentage of population with access to electricity</w:t>
      </w:r>
      <w:r>
        <w:rPr>
          <w:rFonts w:ascii="Calibri" w:eastAsia="Calibri" w:hAnsi="Calibri" w:cs="Calibri"/>
          <w:sz w:val="20"/>
          <w:szCs w:val="20"/>
        </w:rPr>
        <w:t xml:space="preserve"> for the </w:t>
      </w:r>
      <w:r w:rsidR="00083E43">
        <w:rPr>
          <w:rFonts w:ascii="Calibri" w:eastAsia="Calibri" w:hAnsi="Calibri" w:cs="Calibri"/>
          <w:sz w:val="20"/>
          <w:szCs w:val="20"/>
        </w:rPr>
        <w:t>BAU</w:t>
      </w:r>
      <w:r>
        <w:rPr>
          <w:rFonts w:ascii="Calibri" w:eastAsia="Calibri" w:hAnsi="Calibri" w:cs="Calibri"/>
          <w:sz w:val="20"/>
          <w:szCs w:val="20"/>
        </w:rPr>
        <w:t xml:space="preserve"> and the </w:t>
      </w:r>
      <w:r w:rsidR="00083E43">
        <w:rPr>
          <w:rFonts w:ascii="Calibri" w:eastAsia="Calibri" w:hAnsi="Calibri" w:cs="Calibri"/>
          <w:sz w:val="20"/>
          <w:szCs w:val="20"/>
        </w:rPr>
        <w:t>NE</w:t>
      </w:r>
      <w:r>
        <w:rPr>
          <w:rFonts w:ascii="Calibri" w:eastAsia="Calibri" w:hAnsi="Calibri" w:cs="Calibri"/>
          <w:sz w:val="20"/>
          <w:szCs w:val="20"/>
        </w:rPr>
        <w:t xml:space="preserve"> scenario.</w:t>
      </w:r>
    </w:p>
    <w:p w14:paraId="7189EFFD" w14:textId="2D3B31D8" w:rsidR="00E54BB5" w:rsidRDefault="00E54BB5">
      <w:pPr>
        <w:spacing w:after="80" w:line="271" w:lineRule="auto"/>
        <w:jc w:val="both"/>
        <w:rPr>
          <w:rFonts w:ascii="Calibri" w:eastAsia="Calibri" w:hAnsi="Calibri" w:cs="Calibri"/>
          <w:sz w:val="20"/>
          <w:szCs w:val="20"/>
        </w:rPr>
      </w:pPr>
      <w:r w:rsidRPr="00AE25C0">
        <w:rPr>
          <w:rFonts w:ascii="Calibri" w:eastAsia="Calibri" w:hAnsi="Calibri" w:cs="Calibri"/>
          <w:noProof/>
          <w:sz w:val="10"/>
          <w:szCs w:val="10"/>
          <w:lang w:val="en-US"/>
        </w:rPr>
        <w:drawing>
          <wp:inline distT="0" distB="0" distL="0" distR="0" wp14:anchorId="52F3E8FC" wp14:editId="6C528802">
            <wp:extent cx="2794635" cy="1788575"/>
            <wp:effectExtent l="0" t="0" r="24765"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04B7F0" w14:textId="2F8E5CB0" w:rsidR="00E65D5E" w:rsidRPr="0058644D" w:rsidRDefault="00E65D5E" w:rsidP="00E65D5E">
      <w:pPr>
        <w:pStyle w:val="Caption"/>
        <w:rPr>
          <w:color w:val="auto"/>
          <w:lang w:val="en-GB"/>
        </w:rPr>
      </w:pPr>
      <w:bookmarkStart w:id="7" w:name="OLE_LINK1"/>
      <w:r w:rsidRPr="0058644D">
        <w:rPr>
          <w:color w:val="auto"/>
          <w:lang w:val="en-GB"/>
        </w:rPr>
        <w:t>Figure.</w:t>
      </w:r>
      <w:r w:rsidRPr="0058644D">
        <w:rPr>
          <w:color w:val="auto"/>
          <w:lang w:val="en-GB"/>
        </w:rPr>
        <w:fldChar w:fldCharType="begin"/>
      </w:r>
      <w:r w:rsidRPr="0058644D">
        <w:rPr>
          <w:color w:val="auto"/>
          <w:lang w:val="en-GB"/>
        </w:rPr>
        <w:instrText xml:space="preserve"> SEQ Figure \* ARABIC \s 1 </w:instrText>
      </w:r>
      <w:r w:rsidRPr="0058644D">
        <w:rPr>
          <w:color w:val="auto"/>
          <w:lang w:val="en-GB"/>
        </w:rPr>
        <w:fldChar w:fldCharType="separate"/>
      </w:r>
      <w:r w:rsidR="0097408F" w:rsidRPr="0058644D">
        <w:rPr>
          <w:noProof/>
          <w:color w:val="auto"/>
          <w:lang w:val="en-GB"/>
        </w:rPr>
        <w:t>1</w:t>
      </w:r>
      <w:r w:rsidRPr="0058644D">
        <w:rPr>
          <w:color w:val="auto"/>
          <w:lang w:val="en-GB"/>
        </w:rPr>
        <w:fldChar w:fldCharType="end"/>
      </w:r>
      <w:r w:rsidRPr="0058644D">
        <w:rPr>
          <w:color w:val="auto"/>
          <w:lang w:val="en-GB"/>
        </w:rPr>
        <w:t xml:space="preserve">: </w:t>
      </w:r>
      <w:r w:rsidR="00C7647D" w:rsidRPr="0058644D">
        <w:rPr>
          <w:color w:val="auto"/>
          <w:lang w:val="en-GB"/>
        </w:rPr>
        <w:t xml:space="preserve">Comparison </w:t>
      </w:r>
      <w:r w:rsidR="00F06716" w:rsidRPr="0058644D">
        <w:rPr>
          <w:color w:val="auto"/>
          <w:lang w:val="en-GB"/>
        </w:rPr>
        <w:t>of Electricity</w:t>
      </w:r>
      <w:r w:rsidRPr="0058644D">
        <w:rPr>
          <w:color w:val="auto"/>
          <w:lang w:val="en-GB"/>
        </w:rPr>
        <w:t xml:space="preserve"> access </w:t>
      </w:r>
      <w:r w:rsidR="008447B0" w:rsidRPr="0058644D">
        <w:rPr>
          <w:color w:val="auto"/>
          <w:lang w:val="en-GB"/>
        </w:rPr>
        <w:t>for Base Case and National Electrification scenario.</w:t>
      </w:r>
    </w:p>
    <w:bookmarkEnd w:id="7"/>
    <w:p w14:paraId="4C95425B" w14:textId="459C704A" w:rsidR="008C1609" w:rsidRPr="0093183C" w:rsidRDefault="00083E43" w:rsidP="001D79A5">
      <w:pPr>
        <w:spacing w:after="80" w:line="271" w:lineRule="auto"/>
        <w:jc w:val="both"/>
        <w:rPr>
          <w:rFonts w:ascii="Calibri" w:eastAsia="Calibri" w:hAnsi="Calibri" w:cs="Calibri"/>
          <w:sz w:val="20"/>
          <w:szCs w:val="20"/>
          <w:lang w:val="en-US"/>
        </w:rPr>
      </w:pPr>
      <w:r>
        <w:rPr>
          <w:rFonts w:ascii="Calibri" w:eastAsia="Calibri" w:hAnsi="Calibri" w:cs="Calibri"/>
          <w:sz w:val="20"/>
          <w:szCs w:val="20"/>
          <w:lang w:val="en-US"/>
        </w:rPr>
        <w:t xml:space="preserve">In BAU, </w:t>
      </w:r>
      <w:r w:rsidR="00F06716">
        <w:rPr>
          <w:rFonts w:ascii="Calibri" w:eastAsia="Calibri" w:hAnsi="Calibri" w:cs="Calibri"/>
          <w:sz w:val="20"/>
          <w:szCs w:val="20"/>
          <w:lang w:val="en-US"/>
        </w:rPr>
        <w:t>at</w:t>
      </w:r>
      <w:r w:rsidR="001D79A5" w:rsidRPr="001D79A5">
        <w:rPr>
          <w:rFonts w:ascii="Calibri" w:eastAsia="Calibri" w:hAnsi="Calibri" w:cs="Calibri"/>
          <w:sz w:val="20"/>
          <w:szCs w:val="20"/>
          <w:lang w:val="en-US"/>
        </w:rPr>
        <w:t xml:space="preserve"> </w:t>
      </w:r>
      <w:r w:rsidR="001D79A5" w:rsidRPr="001D79A5">
        <w:rPr>
          <w:rFonts w:ascii="Calibri" w:eastAsia="Calibri" w:hAnsi="Calibri" w:cs="Calibri"/>
          <w:b/>
          <w:bCs/>
          <w:sz w:val="20"/>
          <w:szCs w:val="20"/>
          <w:lang w:val="en-US"/>
        </w:rPr>
        <w:t xml:space="preserve">2050 only 58% </w:t>
      </w:r>
      <w:r w:rsidR="001D79A5" w:rsidRPr="001D79A5">
        <w:rPr>
          <w:rFonts w:ascii="Calibri" w:eastAsia="Calibri" w:hAnsi="Calibri" w:cs="Calibri"/>
          <w:sz w:val="20"/>
          <w:szCs w:val="20"/>
          <w:lang w:val="en-US"/>
        </w:rPr>
        <w:t>of the population w</w:t>
      </w:r>
      <w:r w:rsidR="001D79A5">
        <w:rPr>
          <w:rFonts w:ascii="Calibri" w:eastAsia="Calibri" w:hAnsi="Calibri" w:cs="Calibri"/>
          <w:sz w:val="20"/>
          <w:szCs w:val="20"/>
          <w:lang w:val="en-US"/>
        </w:rPr>
        <w:t xml:space="preserve">ill have access to Electricity, while </w:t>
      </w:r>
      <w:r>
        <w:rPr>
          <w:rFonts w:ascii="Calibri" w:eastAsia="Calibri" w:hAnsi="Calibri" w:cs="Calibri"/>
          <w:sz w:val="20"/>
          <w:szCs w:val="20"/>
          <w:lang w:val="en-US"/>
        </w:rPr>
        <w:t xml:space="preserve">in </w:t>
      </w:r>
      <w:r w:rsidR="00F06716">
        <w:rPr>
          <w:rFonts w:ascii="Calibri" w:eastAsia="Calibri" w:hAnsi="Calibri" w:cs="Calibri"/>
          <w:sz w:val="20"/>
          <w:szCs w:val="20"/>
          <w:lang w:val="en-US"/>
        </w:rPr>
        <w:t>NE</w:t>
      </w:r>
      <w:r w:rsidR="00F06716" w:rsidRPr="001D79A5">
        <w:rPr>
          <w:rFonts w:ascii="Calibri" w:eastAsia="Calibri" w:hAnsi="Calibri" w:cs="Calibri"/>
          <w:sz w:val="20"/>
          <w:szCs w:val="20"/>
          <w:lang w:val="en-US"/>
        </w:rPr>
        <w:t xml:space="preserve"> Universal</w:t>
      </w:r>
      <w:r w:rsidR="001D79A5" w:rsidRPr="001D79A5">
        <w:rPr>
          <w:rFonts w:ascii="Calibri" w:eastAsia="Calibri" w:hAnsi="Calibri" w:cs="Calibri"/>
          <w:sz w:val="20"/>
          <w:szCs w:val="20"/>
          <w:lang w:val="en-US"/>
        </w:rPr>
        <w:t xml:space="preserve"> Access is achieved in </w:t>
      </w:r>
      <w:r w:rsidR="001D79A5" w:rsidRPr="001D79A5">
        <w:rPr>
          <w:rFonts w:ascii="Calibri" w:eastAsia="Calibri" w:hAnsi="Calibri" w:cs="Calibri"/>
          <w:b/>
          <w:bCs/>
          <w:sz w:val="20"/>
          <w:szCs w:val="20"/>
          <w:lang w:val="en-US"/>
        </w:rPr>
        <w:t>2035</w:t>
      </w:r>
      <w:r w:rsidR="001D79A5" w:rsidRPr="001D79A5">
        <w:rPr>
          <w:rFonts w:ascii="Calibri" w:eastAsia="Calibri" w:hAnsi="Calibri" w:cs="Calibri"/>
          <w:sz w:val="20"/>
          <w:szCs w:val="20"/>
          <w:lang w:val="en-US"/>
        </w:rPr>
        <w:t>.</w:t>
      </w:r>
    </w:p>
    <w:p w14:paraId="73180147" w14:textId="77777777" w:rsidR="00D67BD2" w:rsidRDefault="00F06716" w:rsidP="00050A06">
      <w:pPr>
        <w:spacing w:after="80" w:line="271" w:lineRule="auto"/>
        <w:jc w:val="both"/>
        <w:rPr>
          <w:rFonts w:ascii="Calibri" w:eastAsia="Calibri" w:hAnsi="Calibri" w:cs="Calibri"/>
          <w:sz w:val="20"/>
          <w:szCs w:val="20"/>
          <w:lang w:val="en-US"/>
        </w:rPr>
      </w:pPr>
      <w:r>
        <w:rPr>
          <w:rFonts w:ascii="Calibri" w:eastAsia="Calibri" w:hAnsi="Calibri" w:cs="Calibri"/>
          <w:sz w:val="20"/>
          <w:szCs w:val="20"/>
          <w:lang w:val="en-US"/>
        </w:rPr>
        <w:t>Figure 2</w:t>
      </w:r>
      <w:r w:rsidR="000D6CD5">
        <w:rPr>
          <w:rFonts w:ascii="Calibri" w:eastAsia="Calibri" w:hAnsi="Calibri" w:cs="Calibri"/>
          <w:sz w:val="20"/>
          <w:szCs w:val="20"/>
          <w:lang w:val="en-US"/>
        </w:rPr>
        <w:t xml:space="preserve"> </w:t>
      </w:r>
      <w:bookmarkStart w:id="8" w:name="OLE_LINK2"/>
      <w:r w:rsidR="000D6CD5">
        <w:rPr>
          <w:rFonts w:ascii="Calibri" w:eastAsia="Calibri" w:hAnsi="Calibri" w:cs="Calibri"/>
          <w:sz w:val="20"/>
          <w:szCs w:val="20"/>
          <w:lang w:val="en-US"/>
        </w:rPr>
        <w:t>compares the share of renewable energy (RES) in the mix for various scenarios</w:t>
      </w:r>
      <w:bookmarkEnd w:id="8"/>
      <w:r w:rsidR="000D6CD5">
        <w:rPr>
          <w:rFonts w:ascii="Calibri" w:eastAsia="Calibri" w:hAnsi="Calibri" w:cs="Calibri"/>
          <w:sz w:val="20"/>
          <w:szCs w:val="20"/>
          <w:lang w:val="en-US"/>
        </w:rPr>
        <w:t xml:space="preserve">. </w:t>
      </w:r>
    </w:p>
    <w:p w14:paraId="47804BC4" w14:textId="236297FE" w:rsidR="00D67BD2" w:rsidRDefault="00D67BD2" w:rsidP="00050A06">
      <w:pPr>
        <w:spacing w:after="80" w:line="271" w:lineRule="auto"/>
        <w:jc w:val="both"/>
        <w:rPr>
          <w:rFonts w:ascii="Calibri" w:eastAsia="Calibri" w:hAnsi="Calibri" w:cs="Calibri"/>
          <w:sz w:val="20"/>
          <w:szCs w:val="20"/>
          <w:lang w:val="en-US"/>
        </w:rPr>
      </w:pPr>
      <w:r w:rsidRPr="008344EE">
        <w:rPr>
          <w:rFonts w:ascii="Calibri" w:eastAsia="Calibri" w:hAnsi="Calibri" w:cs="Calibri"/>
          <w:noProof/>
          <w:sz w:val="20"/>
          <w:szCs w:val="20"/>
          <w:lang w:val="en-US"/>
        </w:rPr>
        <w:drawing>
          <wp:inline distT="0" distB="0" distL="0" distR="0" wp14:anchorId="186DA3EC" wp14:editId="257CF54D">
            <wp:extent cx="2743200" cy="1569085"/>
            <wp:effectExtent l="0" t="0" r="0" b="1206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20A504" w14:textId="77777777" w:rsidR="00D67BD2" w:rsidRPr="0058644D" w:rsidRDefault="00D67BD2" w:rsidP="00D67BD2">
      <w:pPr>
        <w:pStyle w:val="Caption"/>
        <w:rPr>
          <w:color w:val="auto"/>
          <w:lang w:val="en-GB"/>
        </w:rPr>
      </w:pPr>
      <w:r w:rsidRPr="0058644D">
        <w:rPr>
          <w:color w:val="auto"/>
          <w:lang w:val="en-GB"/>
        </w:rPr>
        <w:t>Figure.2: Compares the share of renewable energy (RES) in the mix for various scenario during the model period 2050.</w:t>
      </w:r>
    </w:p>
    <w:p w14:paraId="53C8B325" w14:textId="7AF5EC89" w:rsidR="00E54BB5" w:rsidRDefault="000D6CD5" w:rsidP="00050A06">
      <w:pPr>
        <w:spacing w:after="80" w:line="271" w:lineRule="auto"/>
        <w:jc w:val="both"/>
        <w:rPr>
          <w:rFonts w:ascii="Calibri" w:eastAsia="Calibri" w:hAnsi="Calibri" w:cs="Calibri"/>
          <w:sz w:val="20"/>
          <w:szCs w:val="20"/>
          <w:lang w:val="en-US"/>
        </w:rPr>
      </w:pPr>
      <w:r w:rsidRPr="00050A06">
        <w:rPr>
          <w:rFonts w:ascii="Calibri" w:eastAsia="Calibri" w:hAnsi="Calibri" w:cs="Calibri"/>
          <w:sz w:val="20"/>
          <w:szCs w:val="20"/>
          <w:lang w:val="en-US"/>
        </w:rPr>
        <w:t xml:space="preserve">For </w:t>
      </w:r>
      <w:r>
        <w:rPr>
          <w:rFonts w:ascii="Calibri" w:eastAsia="Calibri" w:hAnsi="Calibri" w:cs="Calibri"/>
          <w:sz w:val="20"/>
          <w:szCs w:val="20"/>
          <w:lang w:val="en-US"/>
        </w:rPr>
        <w:t xml:space="preserve">the </w:t>
      </w:r>
      <w:r w:rsidR="00083E43">
        <w:rPr>
          <w:rFonts w:ascii="Calibri" w:eastAsia="Calibri" w:hAnsi="Calibri" w:cs="Calibri"/>
          <w:sz w:val="20"/>
          <w:szCs w:val="20"/>
          <w:lang w:val="en-US"/>
        </w:rPr>
        <w:t>BAU scenario,</w:t>
      </w:r>
      <w:r>
        <w:rPr>
          <w:rFonts w:ascii="Calibri" w:eastAsia="Calibri" w:hAnsi="Calibri" w:cs="Calibri"/>
          <w:sz w:val="20"/>
          <w:szCs w:val="20"/>
          <w:lang w:val="en-US"/>
        </w:rPr>
        <w:t xml:space="preserve"> with</w:t>
      </w:r>
      <w:r w:rsidRPr="00050A06">
        <w:rPr>
          <w:rFonts w:ascii="Calibri" w:eastAsia="Calibri" w:hAnsi="Calibri" w:cs="Calibri"/>
          <w:sz w:val="20"/>
          <w:szCs w:val="20"/>
          <w:lang w:val="en-US"/>
        </w:rPr>
        <w:t xml:space="preserve"> its </w:t>
      </w:r>
      <w:r>
        <w:rPr>
          <w:rFonts w:ascii="Calibri" w:eastAsia="Calibri" w:hAnsi="Calibri" w:cs="Calibri"/>
          <w:sz w:val="20"/>
          <w:szCs w:val="20"/>
          <w:lang w:val="en-US"/>
        </w:rPr>
        <w:t xml:space="preserve">relatively low demand projections and electrification rate, </w:t>
      </w:r>
      <w:r w:rsidRPr="00050A06">
        <w:rPr>
          <w:rFonts w:ascii="Calibri" w:eastAsia="Calibri" w:hAnsi="Calibri" w:cs="Calibri"/>
          <w:sz w:val="20"/>
          <w:szCs w:val="20"/>
          <w:lang w:val="en-US"/>
        </w:rPr>
        <w:t>close to 90% of RES is used</w:t>
      </w:r>
      <w:r>
        <w:rPr>
          <w:rFonts w:ascii="Calibri" w:eastAsia="Calibri" w:hAnsi="Calibri" w:cs="Calibri"/>
          <w:sz w:val="20"/>
          <w:szCs w:val="20"/>
          <w:lang w:val="en-US"/>
        </w:rPr>
        <w:t xml:space="preserve">. </w:t>
      </w:r>
      <w:r w:rsidR="009F5A78">
        <w:rPr>
          <w:rFonts w:ascii="Calibri" w:eastAsia="Calibri" w:hAnsi="Calibri" w:cs="Calibri"/>
          <w:sz w:val="20"/>
          <w:szCs w:val="20"/>
          <w:lang w:val="en-US"/>
        </w:rPr>
        <w:t>For National Electrification</w:t>
      </w:r>
      <w:r w:rsidR="00083E43">
        <w:rPr>
          <w:rFonts w:ascii="Calibri" w:eastAsia="Calibri" w:hAnsi="Calibri" w:cs="Calibri"/>
          <w:sz w:val="20"/>
          <w:szCs w:val="20"/>
          <w:lang w:val="en-US"/>
        </w:rPr>
        <w:t>,</w:t>
      </w:r>
      <w:r w:rsidR="009F5A78">
        <w:rPr>
          <w:rFonts w:ascii="Calibri" w:eastAsia="Calibri" w:hAnsi="Calibri" w:cs="Calibri"/>
          <w:sz w:val="20"/>
          <w:szCs w:val="20"/>
          <w:lang w:val="en-US"/>
        </w:rPr>
        <w:t xml:space="preserve"> </w:t>
      </w:r>
      <w:r w:rsidR="00083E43">
        <w:rPr>
          <w:rFonts w:ascii="Calibri" w:eastAsia="Calibri" w:hAnsi="Calibri" w:cs="Calibri"/>
          <w:sz w:val="20"/>
          <w:szCs w:val="20"/>
          <w:lang w:val="en-US"/>
        </w:rPr>
        <w:t>where considerably higher demand needs to be met,</w:t>
      </w:r>
      <w:r w:rsidR="00050A06" w:rsidRPr="00050A06">
        <w:rPr>
          <w:rFonts w:ascii="Calibri" w:eastAsia="Calibri" w:hAnsi="Calibri" w:cs="Calibri"/>
          <w:sz w:val="20"/>
          <w:szCs w:val="20"/>
          <w:lang w:val="en-US"/>
        </w:rPr>
        <w:t xml:space="preserve"> more fossil fuel and </w:t>
      </w:r>
      <w:r w:rsidR="00F029B4">
        <w:rPr>
          <w:rFonts w:ascii="Calibri" w:eastAsia="Calibri" w:hAnsi="Calibri" w:cs="Calibri"/>
          <w:sz w:val="20"/>
          <w:szCs w:val="20"/>
          <w:lang w:val="en-US"/>
        </w:rPr>
        <w:t>biogas c</w:t>
      </w:r>
      <w:r w:rsidR="009F5A78">
        <w:rPr>
          <w:rFonts w:ascii="Calibri" w:eastAsia="Calibri" w:hAnsi="Calibri" w:cs="Calibri"/>
          <w:sz w:val="20"/>
          <w:szCs w:val="20"/>
          <w:lang w:val="en-US"/>
        </w:rPr>
        <w:t>ome</w:t>
      </w:r>
      <w:r w:rsidR="00F029B4">
        <w:rPr>
          <w:rFonts w:ascii="Calibri" w:eastAsia="Calibri" w:hAnsi="Calibri" w:cs="Calibri"/>
          <w:sz w:val="20"/>
          <w:szCs w:val="20"/>
          <w:lang w:val="en-US"/>
        </w:rPr>
        <w:t>s</w:t>
      </w:r>
      <w:r w:rsidR="009F5A78">
        <w:rPr>
          <w:rFonts w:ascii="Calibri" w:eastAsia="Calibri" w:hAnsi="Calibri" w:cs="Calibri"/>
          <w:sz w:val="20"/>
          <w:szCs w:val="20"/>
          <w:lang w:val="en-US"/>
        </w:rPr>
        <w:t xml:space="preserve"> into play, bring</w:t>
      </w:r>
      <w:r w:rsidR="00083E43">
        <w:rPr>
          <w:rFonts w:ascii="Calibri" w:eastAsia="Calibri" w:hAnsi="Calibri" w:cs="Calibri"/>
          <w:sz w:val="20"/>
          <w:szCs w:val="20"/>
          <w:lang w:val="en-US"/>
        </w:rPr>
        <w:t>ing</w:t>
      </w:r>
      <w:r w:rsidR="009F5A78">
        <w:rPr>
          <w:rFonts w:ascii="Calibri" w:eastAsia="Calibri" w:hAnsi="Calibri" w:cs="Calibri"/>
          <w:sz w:val="20"/>
          <w:szCs w:val="20"/>
          <w:lang w:val="en-US"/>
        </w:rPr>
        <w:t xml:space="preserve"> the </w:t>
      </w:r>
      <w:r w:rsidR="00050A06" w:rsidRPr="00050A06">
        <w:rPr>
          <w:rFonts w:ascii="Calibri" w:eastAsia="Calibri" w:hAnsi="Calibri" w:cs="Calibri"/>
          <w:sz w:val="20"/>
          <w:szCs w:val="20"/>
          <w:lang w:val="en-US"/>
        </w:rPr>
        <w:t xml:space="preserve">share of RES </w:t>
      </w:r>
      <w:r w:rsidR="00083E43">
        <w:rPr>
          <w:rFonts w:ascii="Calibri" w:eastAsia="Calibri" w:hAnsi="Calibri" w:cs="Calibri"/>
          <w:sz w:val="20"/>
          <w:szCs w:val="20"/>
          <w:lang w:val="en-US"/>
        </w:rPr>
        <w:t>down to</w:t>
      </w:r>
      <w:r w:rsidR="00050A06" w:rsidRPr="00050A06">
        <w:rPr>
          <w:rFonts w:ascii="Calibri" w:eastAsia="Calibri" w:hAnsi="Calibri" w:cs="Calibri"/>
          <w:sz w:val="20"/>
          <w:szCs w:val="20"/>
          <w:lang w:val="en-US"/>
        </w:rPr>
        <w:t xml:space="preserve"> about 42%</w:t>
      </w:r>
      <w:r w:rsidR="009F5A78">
        <w:rPr>
          <w:rFonts w:ascii="Calibri" w:eastAsia="Calibri" w:hAnsi="Calibri" w:cs="Calibri"/>
          <w:sz w:val="20"/>
          <w:szCs w:val="20"/>
          <w:lang w:val="en-US"/>
        </w:rPr>
        <w:t xml:space="preserve">. </w:t>
      </w:r>
      <w:r w:rsidR="00050A06" w:rsidRPr="00050A06">
        <w:rPr>
          <w:rFonts w:ascii="Calibri" w:eastAsia="Calibri" w:hAnsi="Calibri" w:cs="Calibri"/>
          <w:sz w:val="20"/>
          <w:szCs w:val="20"/>
          <w:lang w:val="en-US"/>
        </w:rPr>
        <w:t xml:space="preserve">If </w:t>
      </w:r>
      <w:r w:rsidR="00083E43">
        <w:rPr>
          <w:rFonts w:ascii="Calibri" w:eastAsia="Calibri" w:hAnsi="Calibri" w:cs="Calibri"/>
          <w:sz w:val="20"/>
          <w:szCs w:val="20"/>
          <w:lang w:val="en-US"/>
        </w:rPr>
        <w:t xml:space="preserve">investments in </w:t>
      </w:r>
      <w:r w:rsidR="00050A06" w:rsidRPr="00050A06">
        <w:rPr>
          <w:rFonts w:ascii="Calibri" w:eastAsia="Calibri" w:hAnsi="Calibri" w:cs="Calibri"/>
          <w:sz w:val="20"/>
          <w:szCs w:val="20"/>
          <w:lang w:val="en-US"/>
        </w:rPr>
        <w:t xml:space="preserve">hydro </w:t>
      </w:r>
      <w:r w:rsidR="00083E43">
        <w:rPr>
          <w:rFonts w:ascii="Calibri" w:eastAsia="Calibri" w:hAnsi="Calibri" w:cs="Calibri"/>
          <w:sz w:val="20"/>
          <w:szCs w:val="20"/>
          <w:lang w:val="en-US"/>
        </w:rPr>
        <w:t>infrastructure are</w:t>
      </w:r>
      <w:r w:rsidR="00050A06" w:rsidRPr="00050A06">
        <w:rPr>
          <w:rFonts w:ascii="Calibri" w:eastAsia="Calibri" w:hAnsi="Calibri" w:cs="Calibri"/>
          <w:sz w:val="20"/>
          <w:szCs w:val="20"/>
          <w:lang w:val="en-US"/>
        </w:rPr>
        <w:t xml:space="preserve"> delayed</w:t>
      </w:r>
      <w:r w:rsidR="00083E43">
        <w:rPr>
          <w:rFonts w:ascii="Calibri" w:eastAsia="Calibri" w:hAnsi="Calibri" w:cs="Calibri"/>
          <w:sz w:val="20"/>
          <w:szCs w:val="20"/>
          <w:lang w:val="en-US"/>
        </w:rPr>
        <w:t>,</w:t>
      </w:r>
      <w:r w:rsidR="00050A06" w:rsidRPr="00050A06">
        <w:rPr>
          <w:rFonts w:ascii="Calibri" w:eastAsia="Calibri" w:hAnsi="Calibri" w:cs="Calibri"/>
          <w:sz w:val="20"/>
          <w:szCs w:val="20"/>
          <w:lang w:val="en-US"/>
        </w:rPr>
        <w:t xml:space="preserve"> there is </w:t>
      </w:r>
      <w:r w:rsidR="009F5A78">
        <w:rPr>
          <w:rFonts w:ascii="Calibri" w:eastAsia="Calibri" w:hAnsi="Calibri" w:cs="Calibri"/>
          <w:sz w:val="20"/>
          <w:szCs w:val="20"/>
          <w:lang w:val="en-US"/>
        </w:rPr>
        <w:t xml:space="preserve">a </w:t>
      </w:r>
      <w:r w:rsidR="00050A06" w:rsidRPr="00050A06">
        <w:rPr>
          <w:rFonts w:ascii="Calibri" w:eastAsia="Calibri" w:hAnsi="Calibri" w:cs="Calibri"/>
          <w:sz w:val="20"/>
          <w:szCs w:val="20"/>
          <w:lang w:val="en-US"/>
        </w:rPr>
        <w:t>further reduction in RES share down to about 32%.</w:t>
      </w:r>
    </w:p>
    <w:p w14:paraId="558D848E" w14:textId="3892DDDD" w:rsidR="00E54BB5" w:rsidRPr="00D67BD2" w:rsidRDefault="00D67BD2">
      <w:pPr>
        <w:spacing w:after="80" w:line="271" w:lineRule="auto"/>
        <w:jc w:val="both"/>
        <w:rPr>
          <w:rFonts w:ascii="Calibri" w:eastAsia="Calibri" w:hAnsi="Calibri" w:cs="Calibri"/>
          <w:sz w:val="20"/>
          <w:szCs w:val="20"/>
          <w:lang w:val="en-US"/>
        </w:rPr>
      </w:pPr>
      <w:r>
        <w:rPr>
          <w:rFonts w:ascii="Calibri" w:eastAsia="Calibri" w:hAnsi="Calibri" w:cs="Calibri"/>
          <w:sz w:val="20"/>
          <w:szCs w:val="20"/>
          <w:lang w:val="en-US"/>
        </w:rPr>
        <w:t>Figure 3</w:t>
      </w:r>
      <w:r w:rsidR="00F029B4">
        <w:rPr>
          <w:rFonts w:ascii="Calibri" w:eastAsia="Calibri" w:hAnsi="Calibri" w:cs="Calibri"/>
          <w:sz w:val="20"/>
          <w:szCs w:val="20"/>
          <w:lang w:val="en-US"/>
        </w:rPr>
        <w:t xml:space="preserve"> compares the </w:t>
      </w:r>
      <w:bookmarkStart w:id="9" w:name="OLE_LINK3"/>
      <w:r w:rsidR="00F029B4">
        <w:rPr>
          <w:rFonts w:ascii="Calibri" w:eastAsia="Calibri" w:hAnsi="Calibri" w:cs="Calibri"/>
          <w:sz w:val="20"/>
          <w:szCs w:val="20"/>
          <w:lang w:val="en-US"/>
        </w:rPr>
        <w:t>total investment for the various scenarios</w:t>
      </w:r>
      <w:bookmarkEnd w:id="9"/>
      <w:r w:rsidR="00F029B4">
        <w:rPr>
          <w:rFonts w:ascii="Calibri" w:eastAsia="Calibri" w:hAnsi="Calibri" w:cs="Calibri"/>
          <w:sz w:val="20"/>
          <w:szCs w:val="20"/>
          <w:lang w:val="en-US"/>
        </w:rPr>
        <w:t>. NE was run over</w:t>
      </w:r>
      <w:r w:rsidR="00F029B4" w:rsidRPr="000131DD">
        <w:rPr>
          <w:rFonts w:ascii="Calibri" w:eastAsia="Calibri" w:hAnsi="Calibri" w:cs="Calibri"/>
          <w:sz w:val="20"/>
          <w:szCs w:val="20"/>
          <w:lang w:val="en-US"/>
        </w:rPr>
        <w:t xml:space="preserve"> two bas</w:t>
      </w:r>
      <w:r w:rsidR="00F029B4">
        <w:rPr>
          <w:rFonts w:ascii="Calibri" w:eastAsia="Calibri" w:hAnsi="Calibri" w:cs="Calibri"/>
          <w:sz w:val="20"/>
          <w:szCs w:val="20"/>
          <w:lang w:val="en-US"/>
        </w:rPr>
        <w:t>e cases, one that implements</w:t>
      </w:r>
      <w:r w:rsidR="00F029B4" w:rsidRPr="000131DD">
        <w:rPr>
          <w:rFonts w:ascii="Calibri" w:eastAsia="Calibri" w:hAnsi="Calibri" w:cs="Calibri"/>
          <w:sz w:val="20"/>
          <w:szCs w:val="20"/>
          <w:lang w:val="en-US"/>
        </w:rPr>
        <w:t xml:space="preserve"> Large Hydro with DAM and </w:t>
      </w:r>
      <w:r w:rsidR="00F029B4">
        <w:rPr>
          <w:rFonts w:ascii="Calibri" w:eastAsia="Calibri" w:hAnsi="Calibri" w:cs="Calibri"/>
          <w:sz w:val="20"/>
          <w:szCs w:val="20"/>
          <w:lang w:val="en-US"/>
        </w:rPr>
        <w:t>the other with</w:t>
      </w:r>
      <w:r w:rsidR="00F029B4" w:rsidRPr="000131DD">
        <w:rPr>
          <w:rFonts w:ascii="Calibri" w:eastAsia="Calibri" w:hAnsi="Calibri" w:cs="Calibri"/>
          <w:sz w:val="20"/>
          <w:szCs w:val="20"/>
          <w:lang w:val="en-US"/>
        </w:rPr>
        <w:t xml:space="preserve"> only run-off river </w:t>
      </w:r>
      <w:r w:rsidR="00F029B4">
        <w:rPr>
          <w:rFonts w:ascii="Calibri" w:eastAsia="Calibri" w:hAnsi="Calibri" w:cs="Calibri"/>
          <w:sz w:val="20"/>
          <w:szCs w:val="20"/>
          <w:lang w:val="en-US"/>
        </w:rPr>
        <w:t>hydro</w:t>
      </w:r>
      <w:r w:rsidR="00F029B4" w:rsidRPr="000131DD">
        <w:rPr>
          <w:rFonts w:ascii="Calibri" w:eastAsia="Calibri" w:hAnsi="Calibri" w:cs="Calibri"/>
          <w:sz w:val="20"/>
          <w:szCs w:val="20"/>
          <w:lang w:val="en-US"/>
        </w:rPr>
        <w:t>.</w:t>
      </w:r>
      <w:r w:rsidR="00F029B4">
        <w:rPr>
          <w:rFonts w:ascii="Calibri" w:eastAsia="Calibri" w:hAnsi="Calibri" w:cs="Calibri"/>
          <w:sz w:val="20"/>
          <w:szCs w:val="20"/>
          <w:lang w:val="en-US"/>
        </w:rPr>
        <w:t xml:space="preserve"> </w:t>
      </w:r>
    </w:p>
    <w:p w14:paraId="1015D98D" w14:textId="70F3BFAA" w:rsidR="009F5A78" w:rsidRDefault="009F5A78">
      <w:pPr>
        <w:spacing w:after="80" w:line="271" w:lineRule="auto"/>
        <w:jc w:val="both"/>
        <w:rPr>
          <w:rFonts w:ascii="Calibri" w:eastAsia="Calibri" w:hAnsi="Calibri" w:cs="Calibri"/>
          <w:sz w:val="20"/>
          <w:szCs w:val="20"/>
        </w:rPr>
      </w:pPr>
      <w:r w:rsidRPr="009F5A78">
        <w:rPr>
          <w:rFonts w:ascii="Calibri" w:eastAsia="Calibri" w:hAnsi="Calibri" w:cs="Calibri"/>
          <w:noProof/>
          <w:sz w:val="20"/>
          <w:szCs w:val="20"/>
          <w:lang w:val="en-US"/>
        </w:rPr>
        <w:drawing>
          <wp:inline distT="0" distB="0" distL="0" distR="0" wp14:anchorId="520CE0DB" wp14:editId="56E6B49F">
            <wp:extent cx="2743200" cy="1573193"/>
            <wp:effectExtent l="0" t="0" r="0" b="19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EC0901" w14:textId="62B70D5E" w:rsidR="008D2E97" w:rsidRPr="0058644D" w:rsidRDefault="008D2E97" w:rsidP="008D2E97">
      <w:pPr>
        <w:pStyle w:val="Caption"/>
        <w:rPr>
          <w:color w:val="auto"/>
          <w:lang w:val="en-GB"/>
        </w:rPr>
      </w:pPr>
      <w:r w:rsidRPr="0058644D">
        <w:rPr>
          <w:color w:val="auto"/>
          <w:lang w:val="en-GB"/>
        </w:rPr>
        <w:t>Figure.</w:t>
      </w:r>
      <w:r w:rsidR="00D67BD2" w:rsidRPr="0058644D">
        <w:rPr>
          <w:color w:val="auto"/>
          <w:lang w:val="en-GB"/>
        </w:rPr>
        <w:t>3</w:t>
      </w:r>
      <w:r w:rsidRPr="0058644D">
        <w:rPr>
          <w:color w:val="auto"/>
          <w:lang w:val="en-GB"/>
        </w:rPr>
        <w:t>: Comparison of total investment for the various scenarios.</w:t>
      </w:r>
    </w:p>
    <w:p w14:paraId="7556343C" w14:textId="77777777" w:rsidR="00D67BD2" w:rsidRPr="00AE25C0" w:rsidRDefault="00D67BD2" w:rsidP="00D67BD2">
      <w:pPr>
        <w:spacing w:after="80" w:line="271" w:lineRule="auto"/>
        <w:jc w:val="both"/>
        <w:rPr>
          <w:rFonts w:ascii="Calibri" w:eastAsia="Calibri" w:hAnsi="Calibri" w:cs="Calibri"/>
          <w:sz w:val="20"/>
          <w:szCs w:val="20"/>
          <w:lang w:val="en-US"/>
        </w:rPr>
      </w:pPr>
      <w:r w:rsidRPr="000131DD">
        <w:rPr>
          <w:rFonts w:ascii="Calibri" w:eastAsia="Calibri" w:hAnsi="Calibri" w:cs="Calibri"/>
          <w:sz w:val="20"/>
          <w:szCs w:val="20"/>
          <w:lang w:val="en-US"/>
        </w:rPr>
        <w:t xml:space="preserve">Result shows Extra </w:t>
      </w:r>
      <w:r w:rsidRPr="000161B5">
        <w:rPr>
          <w:rFonts w:ascii="Calibri" w:eastAsia="Calibri" w:hAnsi="Calibri" w:cs="Calibri"/>
          <w:b/>
          <w:sz w:val="20"/>
          <w:szCs w:val="20"/>
          <w:lang w:val="en-US"/>
        </w:rPr>
        <w:t>2.2 Billion USD</w:t>
      </w:r>
      <w:r w:rsidRPr="000131DD">
        <w:rPr>
          <w:rFonts w:ascii="Calibri" w:eastAsia="Calibri" w:hAnsi="Calibri" w:cs="Calibri"/>
          <w:sz w:val="20"/>
          <w:szCs w:val="20"/>
          <w:lang w:val="en-US"/>
        </w:rPr>
        <w:t xml:space="preserve"> in Total Investment is needed to meet National Electrification Target, 2.4 billion USD with DAM, and another </w:t>
      </w:r>
      <w:r w:rsidRPr="000161B5">
        <w:rPr>
          <w:rFonts w:ascii="Calibri" w:eastAsia="Calibri" w:hAnsi="Calibri" w:cs="Calibri"/>
          <w:b/>
          <w:sz w:val="20"/>
          <w:szCs w:val="20"/>
          <w:lang w:val="en-US"/>
        </w:rPr>
        <w:t>500M USD</w:t>
      </w:r>
      <w:r w:rsidRPr="000131DD">
        <w:rPr>
          <w:rFonts w:ascii="Calibri" w:eastAsia="Calibri" w:hAnsi="Calibri" w:cs="Calibri"/>
          <w:sz w:val="20"/>
          <w:szCs w:val="20"/>
          <w:lang w:val="en-US"/>
        </w:rPr>
        <w:t xml:space="preserve"> to make power production resilien</w:t>
      </w:r>
      <w:r>
        <w:rPr>
          <w:rFonts w:ascii="Calibri" w:eastAsia="Calibri" w:hAnsi="Calibri" w:cs="Calibri"/>
          <w:sz w:val="20"/>
          <w:szCs w:val="20"/>
          <w:lang w:val="en-US"/>
        </w:rPr>
        <w:t>t</w:t>
      </w:r>
      <w:r w:rsidRPr="000131DD">
        <w:rPr>
          <w:rFonts w:ascii="Calibri" w:eastAsia="Calibri" w:hAnsi="Calibri" w:cs="Calibri"/>
          <w:sz w:val="20"/>
          <w:szCs w:val="20"/>
          <w:lang w:val="en-US"/>
        </w:rPr>
        <w:t xml:space="preserve"> to climate change.</w:t>
      </w:r>
    </w:p>
    <w:p w14:paraId="443329F4" w14:textId="7CBAC972" w:rsidR="00D67BD2" w:rsidRDefault="00153EA9" w:rsidP="00D67BD2">
      <w:pPr>
        <w:spacing w:after="80" w:line="271" w:lineRule="auto"/>
        <w:jc w:val="both"/>
        <w:rPr>
          <w:rFonts w:ascii="Calibri" w:eastAsia="Calibri" w:hAnsi="Calibri" w:cs="Calibri"/>
          <w:sz w:val="20"/>
          <w:szCs w:val="20"/>
          <w:lang w:val="en-US"/>
        </w:rPr>
      </w:pPr>
      <w:r w:rsidRPr="00153EA9">
        <w:rPr>
          <w:rFonts w:ascii="Calibri" w:eastAsia="Calibri" w:hAnsi="Calibri" w:cs="Calibri"/>
          <w:sz w:val="20"/>
          <w:szCs w:val="20"/>
          <w:lang w:val="en-US"/>
        </w:rPr>
        <w:t>To analyze the effectiveness of the different scenario</w:t>
      </w:r>
      <w:r w:rsidR="00A65E1E">
        <w:rPr>
          <w:rFonts w:ascii="Calibri" w:eastAsia="Calibri" w:hAnsi="Calibri" w:cs="Calibri"/>
          <w:sz w:val="20"/>
          <w:szCs w:val="20"/>
          <w:lang w:val="en-US"/>
        </w:rPr>
        <w:t>s</w:t>
      </w:r>
      <w:r w:rsidRPr="00153EA9">
        <w:rPr>
          <w:rFonts w:ascii="Calibri" w:eastAsia="Calibri" w:hAnsi="Calibri" w:cs="Calibri"/>
          <w:sz w:val="20"/>
          <w:szCs w:val="20"/>
          <w:lang w:val="en-US"/>
        </w:rPr>
        <w:t xml:space="preserve">, </w:t>
      </w:r>
      <w:r w:rsidR="00083E43">
        <w:rPr>
          <w:rFonts w:ascii="Calibri" w:eastAsia="Calibri" w:hAnsi="Calibri" w:cs="Calibri"/>
          <w:sz w:val="20"/>
          <w:szCs w:val="20"/>
          <w:lang w:val="en-US"/>
        </w:rPr>
        <w:t>the</w:t>
      </w:r>
      <w:r w:rsidRPr="00153EA9">
        <w:rPr>
          <w:rFonts w:ascii="Calibri" w:eastAsia="Calibri" w:hAnsi="Calibri" w:cs="Calibri"/>
          <w:sz w:val="20"/>
          <w:szCs w:val="20"/>
          <w:lang w:val="en-US"/>
        </w:rPr>
        <w:t xml:space="preserve"> Average Supply cost was </w:t>
      </w:r>
      <w:r w:rsidR="00083E43">
        <w:rPr>
          <w:rFonts w:ascii="Calibri" w:eastAsia="Calibri" w:hAnsi="Calibri" w:cs="Calibri"/>
          <w:sz w:val="20"/>
          <w:szCs w:val="20"/>
          <w:lang w:val="en-US"/>
        </w:rPr>
        <w:t>chosen as indicator</w:t>
      </w:r>
      <w:r w:rsidRPr="00153EA9">
        <w:rPr>
          <w:rFonts w:ascii="Calibri" w:eastAsia="Calibri" w:hAnsi="Calibri" w:cs="Calibri"/>
          <w:sz w:val="20"/>
          <w:szCs w:val="20"/>
          <w:lang w:val="en-US"/>
        </w:rPr>
        <w:t>, which is the r</w:t>
      </w:r>
      <w:r w:rsidR="00F029B4">
        <w:rPr>
          <w:rFonts w:ascii="Calibri" w:eastAsia="Calibri" w:hAnsi="Calibri" w:cs="Calibri"/>
          <w:sz w:val="20"/>
          <w:szCs w:val="20"/>
          <w:lang w:val="en-US"/>
        </w:rPr>
        <w:t xml:space="preserve">atio of total annual </w:t>
      </w:r>
      <w:r w:rsidRPr="00153EA9">
        <w:rPr>
          <w:rFonts w:ascii="Calibri" w:eastAsia="Calibri" w:hAnsi="Calibri" w:cs="Calibri"/>
          <w:sz w:val="20"/>
          <w:szCs w:val="20"/>
          <w:lang w:val="en-US"/>
        </w:rPr>
        <w:t xml:space="preserve">cost to Total </w:t>
      </w:r>
      <w:r w:rsidR="00B376BC" w:rsidRPr="00153EA9">
        <w:rPr>
          <w:rFonts w:ascii="Calibri" w:eastAsia="Calibri" w:hAnsi="Calibri" w:cs="Calibri"/>
          <w:sz w:val="20"/>
          <w:szCs w:val="20"/>
          <w:lang w:val="en-US"/>
        </w:rPr>
        <w:t>Annual</w:t>
      </w:r>
      <w:r w:rsidRPr="00153EA9">
        <w:rPr>
          <w:rFonts w:ascii="Calibri" w:eastAsia="Calibri" w:hAnsi="Calibri" w:cs="Calibri"/>
          <w:sz w:val="20"/>
          <w:szCs w:val="20"/>
          <w:lang w:val="en-US"/>
        </w:rPr>
        <w:t xml:space="preserve"> Production</w:t>
      </w:r>
      <w:r w:rsidR="00B376BC">
        <w:rPr>
          <w:rFonts w:ascii="Calibri" w:eastAsia="Calibri" w:hAnsi="Calibri" w:cs="Calibri"/>
          <w:sz w:val="20"/>
          <w:szCs w:val="20"/>
          <w:lang w:val="en-US"/>
        </w:rPr>
        <w:t xml:space="preserve"> </w:t>
      </w:r>
      <w:r w:rsidR="00A65E1E">
        <w:rPr>
          <w:rFonts w:ascii="Calibri" w:eastAsia="Calibri" w:hAnsi="Calibri" w:cs="Calibri"/>
          <w:sz w:val="20"/>
          <w:szCs w:val="20"/>
          <w:lang w:val="en-US"/>
        </w:rPr>
        <w:t>(</w:t>
      </w:r>
      <w:r w:rsidR="004F344D">
        <w:rPr>
          <w:rFonts w:ascii="Calibri" w:eastAsia="Calibri" w:hAnsi="Calibri" w:cs="Calibri"/>
          <w:sz w:val="20"/>
          <w:szCs w:val="20"/>
          <w:lang w:val="en-US"/>
        </w:rPr>
        <w:t>figure 4</w:t>
      </w:r>
      <w:r w:rsidR="00A65E1E">
        <w:rPr>
          <w:rFonts w:ascii="Calibri" w:eastAsia="Calibri" w:hAnsi="Calibri" w:cs="Calibri"/>
          <w:sz w:val="20"/>
          <w:szCs w:val="20"/>
          <w:lang w:val="en-US"/>
        </w:rPr>
        <w:t>)</w:t>
      </w:r>
      <w:r w:rsidR="000D6CD5">
        <w:rPr>
          <w:rFonts w:ascii="Calibri" w:eastAsia="Calibri" w:hAnsi="Calibri" w:cs="Calibri"/>
          <w:sz w:val="20"/>
          <w:szCs w:val="20"/>
          <w:lang w:val="en-US"/>
        </w:rPr>
        <w:t xml:space="preserve">. </w:t>
      </w:r>
      <w:r w:rsidR="00D67BD2">
        <w:rPr>
          <w:rFonts w:ascii="Calibri" w:eastAsia="Calibri" w:hAnsi="Calibri" w:cs="Calibri"/>
          <w:sz w:val="20"/>
          <w:szCs w:val="20"/>
          <w:lang w:val="en-US"/>
        </w:rPr>
        <w:t>The</w:t>
      </w:r>
      <w:r w:rsidR="00D67BD2" w:rsidRPr="00153EA9">
        <w:rPr>
          <w:rFonts w:ascii="Calibri" w:eastAsia="Calibri" w:hAnsi="Calibri" w:cs="Calibri"/>
          <w:sz w:val="20"/>
          <w:szCs w:val="20"/>
          <w:lang w:val="en-US"/>
        </w:rPr>
        <w:t xml:space="preserve"> </w:t>
      </w:r>
      <w:r w:rsidR="00D67BD2">
        <w:rPr>
          <w:rFonts w:ascii="Calibri" w:eastAsia="Calibri" w:hAnsi="Calibri" w:cs="Calibri"/>
          <w:sz w:val="20"/>
          <w:szCs w:val="20"/>
          <w:lang w:val="en-US"/>
        </w:rPr>
        <w:t xml:space="preserve">graphs of the various scenarios </w:t>
      </w:r>
      <w:r w:rsidR="00D67BD2" w:rsidRPr="00153EA9">
        <w:rPr>
          <w:rFonts w:ascii="Calibri" w:eastAsia="Calibri" w:hAnsi="Calibri" w:cs="Calibri"/>
          <w:sz w:val="20"/>
          <w:szCs w:val="20"/>
          <w:lang w:val="en-US"/>
        </w:rPr>
        <w:t>all follow each other throughout the modelling period with base case slightly higher.</w:t>
      </w:r>
    </w:p>
    <w:p w14:paraId="5ABDECC0" w14:textId="472B73C4" w:rsidR="007D6435" w:rsidRPr="00AE25C0" w:rsidRDefault="007D6435">
      <w:pPr>
        <w:spacing w:after="80" w:line="271" w:lineRule="auto"/>
        <w:jc w:val="both"/>
        <w:rPr>
          <w:rFonts w:ascii="Calibri" w:eastAsia="Calibri" w:hAnsi="Calibri" w:cs="Calibri"/>
          <w:sz w:val="20"/>
          <w:szCs w:val="20"/>
          <w:lang w:val="en-US"/>
        </w:rPr>
      </w:pPr>
    </w:p>
    <w:p w14:paraId="7DDEEEFC" w14:textId="738ECE02" w:rsidR="0097408F" w:rsidRDefault="0097408F" w:rsidP="00AE25C0">
      <w:pPr>
        <w:keepNext/>
        <w:spacing w:after="80" w:line="271" w:lineRule="auto"/>
        <w:jc w:val="both"/>
      </w:pPr>
      <w:r w:rsidRPr="0097408F">
        <w:rPr>
          <w:noProof/>
          <w:lang w:val="en-US"/>
        </w:rPr>
        <w:lastRenderedPageBreak/>
        <w:drawing>
          <wp:inline distT="0" distB="0" distL="0" distR="0" wp14:anchorId="48820CE6" wp14:editId="11D6D164">
            <wp:extent cx="2794635" cy="1548765"/>
            <wp:effectExtent l="0" t="0" r="24765" b="635"/>
            <wp:docPr id="17" name="Chart 17">
              <a:extLst xmlns:a="http://schemas.openxmlformats.org/drawingml/2006/main">
                <a:ext uri="{FF2B5EF4-FFF2-40B4-BE49-F238E27FC236}">
                  <a16:creationId xmlns:a16="http://schemas.microsoft.com/office/drawing/2014/main" id="{CB3871AE-A85E-4FC5-8DBF-BED1B7647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73ED5F" w14:textId="1BAD6C34" w:rsidR="00C91643" w:rsidRDefault="00B376BC" w:rsidP="00C91643">
      <w:pPr>
        <w:pStyle w:val="Caption"/>
        <w:rPr>
          <w:lang w:val="en-GB"/>
        </w:rPr>
      </w:pPr>
      <w:r w:rsidRPr="0058644D">
        <w:rPr>
          <w:color w:val="auto"/>
          <w:lang w:val="en-GB"/>
        </w:rPr>
        <w:t>Figure.</w:t>
      </w:r>
      <w:r w:rsidR="00D67BD2" w:rsidRPr="0058644D">
        <w:rPr>
          <w:color w:val="auto"/>
          <w:lang w:val="en-GB"/>
        </w:rPr>
        <w:t>4</w:t>
      </w:r>
      <w:r w:rsidRPr="0058644D">
        <w:rPr>
          <w:color w:val="auto"/>
          <w:lang w:val="en-GB"/>
        </w:rPr>
        <w:t xml:space="preserve">: </w:t>
      </w:r>
      <w:r w:rsidR="00F029B4" w:rsidRPr="0058644D">
        <w:rPr>
          <w:color w:val="auto"/>
          <w:lang w:val="en-GB"/>
        </w:rPr>
        <w:t>C</w:t>
      </w:r>
      <w:r w:rsidRPr="0058644D">
        <w:rPr>
          <w:color w:val="auto"/>
          <w:lang w:val="en-GB"/>
        </w:rPr>
        <w:t xml:space="preserve">ompares the average supply </w:t>
      </w:r>
      <w:r w:rsidR="009239EC" w:rsidRPr="0058644D">
        <w:rPr>
          <w:color w:val="auto"/>
          <w:lang w:val="en-GB"/>
        </w:rPr>
        <w:t>cost for</w:t>
      </w:r>
      <w:r w:rsidRPr="0058644D">
        <w:rPr>
          <w:color w:val="auto"/>
          <w:lang w:val="en-GB"/>
        </w:rPr>
        <w:t xml:space="preserve"> </w:t>
      </w:r>
      <w:r w:rsidR="00D67BD2" w:rsidRPr="0058644D">
        <w:rPr>
          <w:color w:val="auto"/>
          <w:lang w:val="en-GB"/>
        </w:rPr>
        <w:t>the various</w:t>
      </w:r>
      <w:r w:rsidRPr="0058644D">
        <w:rPr>
          <w:color w:val="auto"/>
          <w:lang w:val="en-GB"/>
        </w:rPr>
        <w:t xml:space="preserve"> scenarios.</w:t>
      </w:r>
      <w:r w:rsidR="00C91643" w:rsidRPr="0058644D">
        <w:rPr>
          <w:color w:val="auto"/>
          <w:lang w:val="en-GB"/>
        </w:rPr>
        <w:t xml:space="preserve">  </w:t>
      </w:r>
      <w:r w:rsidR="00C91643">
        <w:rPr>
          <w:lang w:val="en-GB"/>
        </w:rPr>
        <w:t xml:space="preserve">                                                                                                    </w:t>
      </w:r>
    </w:p>
    <w:p w14:paraId="57DE68A3" w14:textId="14010091" w:rsidR="00C91643" w:rsidRPr="0093183C" w:rsidRDefault="004F344D" w:rsidP="0093183C">
      <w:pPr>
        <w:spacing w:after="80" w:line="271" w:lineRule="auto"/>
        <w:jc w:val="both"/>
        <w:rPr>
          <w:rFonts w:ascii="Calibri" w:eastAsia="Calibri" w:hAnsi="Calibri" w:cs="Calibri"/>
          <w:sz w:val="20"/>
          <w:szCs w:val="20"/>
        </w:rPr>
      </w:pPr>
      <w:r>
        <w:rPr>
          <w:rFonts w:ascii="Calibri" w:eastAsia="Calibri" w:hAnsi="Calibri" w:cs="Calibri"/>
          <w:sz w:val="20"/>
          <w:szCs w:val="20"/>
          <w:lang w:val="en-US"/>
        </w:rPr>
        <w:t>Figure 5</w:t>
      </w:r>
      <w:r w:rsidR="00C91643" w:rsidRPr="00AE25C0">
        <w:rPr>
          <w:rFonts w:ascii="Calibri" w:eastAsia="Calibri" w:hAnsi="Calibri" w:cs="Calibri"/>
          <w:sz w:val="20"/>
          <w:szCs w:val="20"/>
          <w:lang w:val="en-US"/>
        </w:rPr>
        <w:t xml:space="preserve"> </w:t>
      </w:r>
      <w:r w:rsidR="005A551A" w:rsidRPr="00AE25C0">
        <w:rPr>
          <w:rFonts w:ascii="Calibri" w:eastAsia="Calibri" w:hAnsi="Calibri" w:cs="Calibri"/>
          <w:sz w:val="20"/>
          <w:szCs w:val="20"/>
          <w:lang w:val="en-US"/>
        </w:rPr>
        <w:t xml:space="preserve">presents </w:t>
      </w:r>
      <w:r w:rsidR="00465361" w:rsidRPr="00AE25C0">
        <w:rPr>
          <w:rFonts w:ascii="Calibri" w:eastAsia="Calibri" w:hAnsi="Calibri" w:cs="Calibri"/>
          <w:sz w:val="20"/>
          <w:szCs w:val="20"/>
          <w:lang w:val="en-US"/>
        </w:rPr>
        <w:t xml:space="preserve">Emission Abatement curve </w:t>
      </w:r>
      <w:r w:rsidR="005A551A" w:rsidRPr="00AE25C0">
        <w:rPr>
          <w:rFonts w:ascii="Calibri" w:eastAsia="Calibri" w:hAnsi="Calibri" w:cs="Calibri"/>
          <w:sz w:val="20"/>
          <w:szCs w:val="20"/>
          <w:lang w:val="en-US"/>
        </w:rPr>
        <w:t>that shows</w:t>
      </w:r>
      <w:r w:rsidR="00465361" w:rsidRPr="00AE25C0">
        <w:rPr>
          <w:rFonts w:ascii="Calibri" w:eastAsia="Calibri" w:hAnsi="Calibri" w:cs="Calibri"/>
          <w:sz w:val="20"/>
          <w:szCs w:val="20"/>
          <w:lang w:val="en-US"/>
        </w:rPr>
        <w:t xml:space="preserve"> the effect restricting the allowable emission</w:t>
      </w:r>
      <w:r w:rsidR="005A551A" w:rsidRPr="00AE25C0">
        <w:rPr>
          <w:rFonts w:ascii="Calibri" w:eastAsia="Calibri" w:hAnsi="Calibri" w:cs="Calibri"/>
          <w:sz w:val="20"/>
          <w:szCs w:val="20"/>
          <w:lang w:val="en-US"/>
        </w:rPr>
        <w:t xml:space="preserve"> has on operational cost. </w:t>
      </w:r>
    </w:p>
    <w:p w14:paraId="706F1EA5" w14:textId="0FD14019" w:rsidR="00C91643" w:rsidRPr="00C91643" w:rsidRDefault="005A551A" w:rsidP="00AE25C0">
      <w:pPr>
        <w:rPr>
          <w:lang w:val="en-GB"/>
        </w:rPr>
      </w:pPr>
      <w:r w:rsidRPr="00F947A7">
        <w:rPr>
          <w:b/>
          <w:noProof/>
          <w:sz w:val="20"/>
          <w:szCs w:val="20"/>
          <w:lang w:val="en-US"/>
        </w:rPr>
        <w:drawing>
          <wp:inline distT="0" distB="0" distL="0" distR="0" wp14:anchorId="6994C37D" wp14:editId="35887076">
            <wp:extent cx="2743200" cy="1631189"/>
            <wp:effectExtent l="0" t="0" r="0" b="203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58DEA8" w14:textId="44D164E3" w:rsidR="00EF5FA3" w:rsidRPr="0058644D" w:rsidRDefault="005A551A" w:rsidP="00AE25C0">
      <w:pPr>
        <w:pStyle w:val="Caption"/>
        <w:rPr>
          <w:color w:val="auto"/>
          <w:lang w:val="en-GB"/>
        </w:rPr>
      </w:pPr>
      <w:r w:rsidRPr="0058644D">
        <w:rPr>
          <w:color w:val="auto"/>
          <w:lang w:val="en-GB"/>
        </w:rPr>
        <w:t>Figure</w:t>
      </w:r>
      <w:r w:rsidR="004F344D" w:rsidRPr="0058644D">
        <w:rPr>
          <w:color w:val="auto"/>
          <w:lang w:val="en-GB"/>
        </w:rPr>
        <w:t xml:space="preserve"> 5</w:t>
      </w:r>
      <w:r w:rsidRPr="0058644D">
        <w:rPr>
          <w:color w:val="auto"/>
          <w:lang w:val="en-GB"/>
        </w:rPr>
        <w:t xml:space="preserve">: </w:t>
      </w:r>
      <w:r w:rsidR="00D67BD2" w:rsidRPr="0058644D">
        <w:rPr>
          <w:color w:val="auto"/>
          <w:lang w:val="en-GB"/>
        </w:rPr>
        <w:t>C</w:t>
      </w:r>
      <w:r w:rsidRPr="0058644D">
        <w:rPr>
          <w:color w:val="auto"/>
          <w:lang w:val="en-GB"/>
        </w:rPr>
        <w:t xml:space="preserve">ompares the average supply </w:t>
      </w:r>
      <w:r w:rsidR="00D67BD2" w:rsidRPr="0058644D">
        <w:rPr>
          <w:color w:val="auto"/>
          <w:lang w:val="en-GB"/>
        </w:rPr>
        <w:t>cost for</w:t>
      </w:r>
      <w:r w:rsidRPr="0058644D">
        <w:rPr>
          <w:color w:val="auto"/>
          <w:lang w:val="en-GB"/>
        </w:rPr>
        <w:t xml:space="preserve"> </w:t>
      </w:r>
      <w:r w:rsidR="00D67BD2" w:rsidRPr="0058644D">
        <w:rPr>
          <w:color w:val="auto"/>
          <w:lang w:val="en-GB"/>
        </w:rPr>
        <w:t>the various</w:t>
      </w:r>
      <w:r w:rsidRPr="0058644D">
        <w:rPr>
          <w:color w:val="auto"/>
          <w:lang w:val="en-GB"/>
        </w:rPr>
        <w:t xml:space="preserve"> scenarios.</w:t>
      </w:r>
    </w:p>
    <w:p w14:paraId="6FE33EE8" w14:textId="18A20226" w:rsidR="009239EC" w:rsidRPr="009239EC" w:rsidRDefault="009239EC" w:rsidP="009239EC">
      <w:pPr>
        <w:spacing w:after="80" w:line="271" w:lineRule="auto"/>
        <w:jc w:val="both"/>
        <w:rPr>
          <w:rFonts w:ascii="Calibri" w:eastAsia="Calibri" w:hAnsi="Calibri" w:cs="Calibri"/>
          <w:sz w:val="20"/>
          <w:szCs w:val="20"/>
        </w:rPr>
      </w:pPr>
      <w:r>
        <w:rPr>
          <w:rFonts w:ascii="Calibri" w:eastAsia="Calibri" w:hAnsi="Calibri" w:cs="Calibri"/>
          <w:sz w:val="20"/>
          <w:szCs w:val="20"/>
          <w:lang w:val="en-US"/>
        </w:rPr>
        <w:t xml:space="preserve">On average, </w:t>
      </w:r>
      <w:r w:rsidRPr="005A551A">
        <w:rPr>
          <w:rFonts w:ascii="Calibri" w:eastAsia="Calibri" w:hAnsi="Calibri" w:cs="Calibri"/>
          <w:bCs/>
          <w:sz w:val="20"/>
          <w:szCs w:val="20"/>
        </w:rPr>
        <w:t>a</w:t>
      </w:r>
      <w:r w:rsidRPr="00AE25C0">
        <w:rPr>
          <w:rFonts w:ascii="Calibri" w:eastAsia="Calibri" w:hAnsi="Calibri" w:cs="Calibri"/>
          <w:bCs/>
          <w:sz w:val="20"/>
          <w:szCs w:val="20"/>
        </w:rPr>
        <w:t xml:space="preserve">ny percentage decrease </w:t>
      </w:r>
      <w:r>
        <w:rPr>
          <w:rFonts w:ascii="Calibri" w:eastAsia="Calibri" w:hAnsi="Calibri" w:cs="Calibri"/>
          <w:bCs/>
          <w:sz w:val="20"/>
          <w:szCs w:val="20"/>
        </w:rPr>
        <w:t>(</w:t>
      </w:r>
      <w:r w:rsidRPr="009C6F9F">
        <w:rPr>
          <w:rFonts w:ascii="Calibri" w:eastAsia="Calibri" w:hAnsi="Calibri" w:cs="Calibri"/>
          <w:bCs/>
          <w:sz w:val="20"/>
          <w:szCs w:val="20"/>
        </w:rPr>
        <w:t>restriction</w:t>
      </w:r>
      <w:r>
        <w:rPr>
          <w:rFonts w:ascii="Calibri" w:eastAsia="Calibri" w:hAnsi="Calibri" w:cs="Calibri"/>
          <w:bCs/>
          <w:sz w:val="20"/>
          <w:szCs w:val="20"/>
        </w:rPr>
        <w:t xml:space="preserve">) in </w:t>
      </w:r>
      <w:r w:rsidRPr="009159CD">
        <w:rPr>
          <w:rFonts w:ascii="Calibri" w:eastAsia="Calibri" w:hAnsi="Calibri" w:cs="Calibri"/>
          <w:bCs/>
          <w:sz w:val="20"/>
          <w:szCs w:val="20"/>
        </w:rPr>
        <w:t>CO2</w:t>
      </w:r>
      <w:r w:rsidRPr="00AE25C0">
        <w:rPr>
          <w:rFonts w:ascii="Calibri" w:eastAsia="Calibri" w:hAnsi="Calibri" w:cs="Calibri"/>
          <w:bCs/>
          <w:sz w:val="20"/>
          <w:szCs w:val="20"/>
        </w:rPr>
        <w:t xml:space="preserve"> Emissions </w:t>
      </w:r>
      <w:r>
        <w:rPr>
          <w:rFonts w:ascii="Calibri" w:eastAsia="Calibri" w:hAnsi="Calibri" w:cs="Calibri"/>
          <w:bCs/>
          <w:sz w:val="20"/>
          <w:szCs w:val="20"/>
        </w:rPr>
        <w:t>will</w:t>
      </w:r>
      <w:r w:rsidRPr="005A551A">
        <w:rPr>
          <w:rFonts w:ascii="Calibri" w:eastAsia="Calibri" w:hAnsi="Calibri" w:cs="Calibri"/>
          <w:bCs/>
          <w:sz w:val="20"/>
          <w:szCs w:val="20"/>
        </w:rPr>
        <w:t xml:space="preserve"> result</w:t>
      </w:r>
      <w:r w:rsidRPr="006E6D7B">
        <w:rPr>
          <w:rFonts w:ascii="Calibri" w:eastAsia="Calibri" w:hAnsi="Calibri" w:cs="Calibri"/>
          <w:bCs/>
          <w:sz w:val="20"/>
          <w:szCs w:val="20"/>
        </w:rPr>
        <w:t xml:space="preserve"> in</w:t>
      </w:r>
      <w:r w:rsidR="001D5462">
        <w:rPr>
          <w:rFonts w:ascii="Calibri" w:eastAsia="Calibri" w:hAnsi="Calibri" w:cs="Calibri"/>
          <w:bCs/>
          <w:sz w:val="20"/>
          <w:szCs w:val="20"/>
        </w:rPr>
        <w:t xml:space="preserve"> 2.7</w:t>
      </w:r>
      <w:r w:rsidRPr="00AE25C0">
        <w:rPr>
          <w:rFonts w:ascii="Calibri" w:eastAsia="Calibri" w:hAnsi="Calibri" w:cs="Calibri"/>
          <w:bCs/>
          <w:sz w:val="20"/>
          <w:szCs w:val="20"/>
        </w:rPr>
        <w:t>% increase in operational cost</w:t>
      </w:r>
      <w:r>
        <w:rPr>
          <w:rFonts w:ascii="Calibri" w:eastAsia="Calibri" w:hAnsi="Calibri" w:cs="Calibri"/>
          <w:sz w:val="20"/>
          <w:szCs w:val="20"/>
        </w:rPr>
        <w:t>.</w:t>
      </w:r>
    </w:p>
    <w:p w14:paraId="4562956B" w14:textId="77777777" w:rsidR="00EF5FA3" w:rsidRDefault="001653F0">
      <w:pPr>
        <w:spacing w:after="80" w:line="271" w:lineRule="auto"/>
        <w:ind w:left="360"/>
        <w:jc w:val="both"/>
        <w:rPr>
          <w:rFonts w:ascii="Calibri" w:eastAsia="Calibri" w:hAnsi="Calibri" w:cs="Calibri"/>
          <w:b/>
          <w:sz w:val="20"/>
          <w:szCs w:val="20"/>
        </w:rPr>
      </w:pPr>
      <w:r>
        <w:rPr>
          <w:rFonts w:ascii="Calibri" w:eastAsia="Calibri" w:hAnsi="Calibri" w:cs="Calibri"/>
          <w:b/>
          <w:sz w:val="20"/>
          <w:szCs w:val="20"/>
        </w:rPr>
        <w:t>5.</w:t>
      </w:r>
      <w:r>
        <w:rPr>
          <w:rFonts w:ascii="Calibri" w:eastAsia="Calibri" w:hAnsi="Calibri" w:cs="Calibri"/>
          <w:b/>
          <w:sz w:val="20"/>
          <w:szCs w:val="20"/>
        </w:rPr>
        <w:tab/>
        <w:t>Limitations</w:t>
      </w:r>
    </w:p>
    <w:p w14:paraId="79E17CBF" w14:textId="252C022B" w:rsidR="00C97A3D" w:rsidRDefault="003747FB">
      <w:pPr>
        <w:spacing w:after="80" w:line="271" w:lineRule="auto"/>
        <w:jc w:val="both"/>
        <w:rPr>
          <w:rFonts w:ascii="Calibri" w:eastAsia="Calibri" w:hAnsi="Calibri" w:cs="Calibri"/>
          <w:sz w:val="20"/>
          <w:szCs w:val="20"/>
        </w:rPr>
      </w:pPr>
      <w:r>
        <w:rPr>
          <w:rFonts w:ascii="Calibri" w:eastAsia="Calibri" w:hAnsi="Calibri" w:cs="Calibri"/>
          <w:sz w:val="20"/>
          <w:szCs w:val="20"/>
        </w:rPr>
        <w:t xml:space="preserve">As </w:t>
      </w:r>
      <w:r w:rsidR="00863F30">
        <w:rPr>
          <w:rFonts w:ascii="Calibri" w:eastAsia="Calibri" w:hAnsi="Calibri" w:cs="Calibri"/>
          <w:sz w:val="20"/>
          <w:szCs w:val="20"/>
        </w:rPr>
        <w:t xml:space="preserve">National Electrification (universal access) is the </w:t>
      </w:r>
      <w:r>
        <w:rPr>
          <w:rFonts w:ascii="Calibri" w:eastAsia="Calibri" w:hAnsi="Calibri" w:cs="Calibri"/>
          <w:sz w:val="20"/>
          <w:szCs w:val="20"/>
        </w:rPr>
        <w:t xml:space="preserve">central theme of this research, </w:t>
      </w:r>
      <w:r w:rsidR="00863F30">
        <w:rPr>
          <w:rFonts w:ascii="Calibri" w:eastAsia="Calibri" w:hAnsi="Calibri" w:cs="Calibri"/>
          <w:sz w:val="20"/>
          <w:szCs w:val="20"/>
        </w:rPr>
        <w:t xml:space="preserve">only the domestic demand projections were utilized, </w:t>
      </w:r>
      <w:proofErr w:type="spellStart"/>
      <w:r w:rsidR="00863F30">
        <w:rPr>
          <w:rFonts w:ascii="Calibri" w:eastAsia="Calibri" w:hAnsi="Calibri" w:cs="Calibri"/>
          <w:sz w:val="20"/>
          <w:szCs w:val="20"/>
        </w:rPr>
        <w:t>i.e</w:t>
      </w:r>
      <w:proofErr w:type="spellEnd"/>
      <w:r w:rsidR="00863F30">
        <w:rPr>
          <w:rFonts w:ascii="Calibri" w:eastAsia="Calibri" w:hAnsi="Calibri" w:cs="Calibri"/>
          <w:sz w:val="20"/>
          <w:szCs w:val="20"/>
        </w:rPr>
        <w:t xml:space="preserve"> mining, industrial and commercial demands were not considered.</w:t>
      </w:r>
      <w:r w:rsidR="009A0CE5">
        <w:rPr>
          <w:rFonts w:ascii="Calibri" w:eastAsia="Calibri" w:hAnsi="Calibri" w:cs="Calibri"/>
          <w:sz w:val="20"/>
          <w:szCs w:val="20"/>
        </w:rPr>
        <w:t xml:space="preserve"> Secondly</w:t>
      </w:r>
      <w:r w:rsidR="00A65E1E">
        <w:rPr>
          <w:rFonts w:ascii="Calibri" w:eastAsia="Calibri" w:hAnsi="Calibri" w:cs="Calibri"/>
          <w:sz w:val="20"/>
          <w:szCs w:val="20"/>
        </w:rPr>
        <w:t>,</w:t>
      </w:r>
      <w:r w:rsidR="009A0CE5">
        <w:rPr>
          <w:rFonts w:ascii="Calibri" w:eastAsia="Calibri" w:hAnsi="Calibri" w:cs="Calibri"/>
          <w:sz w:val="20"/>
          <w:szCs w:val="20"/>
        </w:rPr>
        <w:t xml:space="preserve"> the base case data </w:t>
      </w:r>
      <w:r w:rsidR="007436FD">
        <w:rPr>
          <w:rFonts w:ascii="Calibri" w:eastAsia="Calibri" w:hAnsi="Calibri" w:cs="Calibri"/>
          <w:sz w:val="20"/>
          <w:szCs w:val="20"/>
        </w:rPr>
        <w:t>utilized were informed by the current energy policy</w:t>
      </w:r>
      <w:r w:rsidR="00A65E1E">
        <w:rPr>
          <w:rFonts w:ascii="Calibri" w:eastAsia="Calibri" w:hAnsi="Calibri" w:cs="Calibri"/>
          <w:sz w:val="20"/>
          <w:szCs w:val="20"/>
        </w:rPr>
        <w:t>,</w:t>
      </w:r>
      <w:r w:rsidR="007436FD">
        <w:rPr>
          <w:rFonts w:ascii="Calibri" w:eastAsia="Calibri" w:hAnsi="Calibri" w:cs="Calibri"/>
          <w:sz w:val="20"/>
          <w:szCs w:val="20"/>
        </w:rPr>
        <w:t xml:space="preserve"> </w:t>
      </w:r>
      <w:r w:rsidR="009A0CE5">
        <w:rPr>
          <w:rFonts w:ascii="Calibri" w:eastAsia="Calibri" w:hAnsi="Calibri" w:cs="Calibri"/>
          <w:sz w:val="20"/>
          <w:szCs w:val="20"/>
        </w:rPr>
        <w:t>w</w:t>
      </w:r>
      <w:r w:rsidR="007436FD">
        <w:rPr>
          <w:rFonts w:ascii="Calibri" w:eastAsia="Calibri" w:hAnsi="Calibri" w:cs="Calibri"/>
          <w:sz w:val="20"/>
          <w:szCs w:val="20"/>
        </w:rPr>
        <w:t xml:space="preserve">hich seems </w:t>
      </w:r>
      <w:r w:rsidR="009A0CE5">
        <w:rPr>
          <w:rFonts w:ascii="Calibri" w:eastAsia="Calibri" w:hAnsi="Calibri" w:cs="Calibri"/>
          <w:sz w:val="20"/>
          <w:szCs w:val="20"/>
        </w:rPr>
        <w:t xml:space="preserve">very ambitious </w:t>
      </w:r>
      <w:r w:rsidR="00A90CD7">
        <w:rPr>
          <w:rFonts w:ascii="Calibri" w:eastAsia="Calibri" w:hAnsi="Calibri" w:cs="Calibri"/>
          <w:sz w:val="20"/>
          <w:szCs w:val="20"/>
        </w:rPr>
        <w:t xml:space="preserve">and </w:t>
      </w:r>
      <w:r w:rsidR="00A65E1E">
        <w:rPr>
          <w:rFonts w:ascii="Calibri" w:eastAsia="Calibri" w:hAnsi="Calibri" w:cs="Calibri"/>
          <w:sz w:val="20"/>
          <w:szCs w:val="20"/>
        </w:rPr>
        <w:t xml:space="preserve">may </w:t>
      </w:r>
      <w:r w:rsidR="00A90CD7">
        <w:rPr>
          <w:rFonts w:ascii="Calibri" w:eastAsia="Calibri" w:hAnsi="Calibri" w:cs="Calibri"/>
          <w:sz w:val="20"/>
          <w:szCs w:val="20"/>
        </w:rPr>
        <w:t>need revision</w:t>
      </w:r>
      <w:r w:rsidR="009A0CE5">
        <w:rPr>
          <w:rFonts w:ascii="Calibri" w:eastAsia="Calibri" w:hAnsi="Calibri" w:cs="Calibri"/>
          <w:sz w:val="20"/>
          <w:szCs w:val="20"/>
        </w:rPr>
        <w:t>.</w:t>
      </w:r>
      <w:r w:rsidR="007436FD">
        <w:rPr>
          <w:rFonts w:ascii="Calibri" w:eastAsia="Calibri" w:hAnsi="Calibri" w:cs="Calibri"/>
          <w:sz w:val="20"/>
          <w:szCs w:val="20"/>
        </w:rPr>
        <w:t xml:space="preserve"> </w:t>
      </w:r>
      <w:r w:rsidR="00C97A3D">
        <w:rPr>
          <w:rFonts w:ascii="Calibri" w:eastAsia="Calibri" w:hAnsi="Calibri" w:cs="Calibri"/>
          <w:sz w:val="20"/>
          <w:szCs w:val="20"/>
        </w:rPr>
        <w:t xml:space="preserve">Also </w:t>
      </w:r>
      <w:r w:rsidR="00141C15">
        <w:rPr>
          <w:rFonts w:ascii="Calibri" w:eastAsia="Calibri" w:hAnsi="Calibri" w:cs="Calibri"/>
          <w:sz w:val="20"/>
          <w:szCs w:val="20"/>
        </w:rPr>
        <w:t>other energy sources such and Gas</w:t>
      </w:r>
      <w:r>
        <w:rPr>
          <w:rFonts w:ascii="Calibri" w:eastAsia="Calibri" w:hAnsi="Calibri" w:cs="Calibri"/>
          <w:sz w:val="20"/>
          <w:szCs w:val="20"/>
        </w:rPr>
        <w:t xml:space="preserve">, Coal and </w:t>
      </w:r>
      <w:r w:rsidR="00C97A3D">
        <w:rPr>
          <w:rFonts w:ascii="Calibri" w:eastAsia="Calibri" w:hAnsi="Calibri" w:cs="Calibri"/>
          <w:sz w:val="20"/>
          <w:szCs w:val="20"/>
        </w:rPr>
        <w:t>import of electricity that would be made possible by regional integration (WAPP) w</w:t>
      </w:r>
      <w:r w:rsidR="00A65E1E">
        <w:rPr>
          <w:rFonts w:ascii="Calibri" w:eastAsia="Calibri" w:hAnsi="Calibri" w:cs="Calibri"/>
          <w:sz w:val="20"/>
          <w:szCs w:val="20"/>
        </w:rPr>
        <w:t>ere</w:t>
      </w:r>
      <w:r w:rsidR="00C97A3D">
        <w:rPr>
          <w:rFonts w:ascii="Calibri" w:eastAsia="Calibri" w:hAnsi="Calibri" w:cs="Calibri"/>
          <w:sz w:val="20"/>
          <w:szCs w:val="20"/>
        </w:rPr>
        <w:t xml:space="preserve"> </w:t>
      </w:r>
      <w:r>
        <w:rPr>
          <w:rFonts w:ascii="Calibri" w:eastAsia="Calibri" w:hAnsi="Calibri" w:cs="Calibri"/>
          <w:sz w:val="20"/>
          <w:szCs w:val="20"/>
        </w:rPr>
        <w:t>not</w:t>
      </w:r>
      <w:r w:rsidR="00C97A3D">
        <w:rPr>
          <w:rFonts w:ascii="Calibri" w:eastAsia="Calibri" w:hAnsi="Calibri" w:cs="Calibri"/>
          <w:sz w:val="20"/>
          <w:szCs w:val="20"/>
        </w:rPr>
        <w:t xml:space="preserve"> considered</w:t>
      </w:r>
      <w:r>
        <w:rPr>
          <w:rFonts w:ascii="Calibri" w:eastAsia="Calibri" w:hAnsi="Calibri" w:cs="Calibri"/>
          <w:sz w:val="20"/>
          <w:szCs w:val="20"/>
        </w:rPr>
        <w:t xml:space="preserve">. </w:t>
      </w:r>
      <w:r w:rsidR="00C97A3D">
        <w:rPr>
          <w:rFonts w:ascii="Calibri" w:eastAsia="Calibri" w:hAnsi="Calibri" w:cs="Calibri"/>
          <w:sz w:val="20"/>
          <w:szCs w:val="20"/>
        </w:rPr>
        <w:t>Lastly</w:t>
      </w:r>
      <w:r w:rsidR="00A65E1E">
        <w:rPr>
          <w:rFonts w:ascii="Calibri" w:eastAsia="Calibri" w:hAnsi="Calibri" w:cs="Calibri"/>
          <w:sz w:val="20"/>
          <w:szCs w:val="20"/>
        </w:rPr>
        <w:t>,</w:t>
      </w:r>
      <w:r w:rsidR="00C97A3D">
        <w:rPr>
          <w:rFonts w:ascii="Calibri" w:eastAsia="Calibri" w:hAnsi="Calibri" w:cs="Calibri"/>
          <w:sz w:val="20"/>
          <w:szCs w:val="20"/>
        </w:rPr>
        <w:t xml:space="preserve"> universal access was implemented on the </w:t>
      </w:r>
      <w:r w:rsidR="003E5B29">
        <w:rPr>
          <w:rFonts w:ascii="Calibri" w:eastAsia="Calibri" w:hAnsi="Calibri" w:cs="Calibri"/>
          <w:sz w:val="20"/>
          <w:szCs w:val="20"/>
        </w:rPr>
        <w:t xml:space="preserve">assumption </w:t>
      </w:r>
      <w:r w:rsidR="00C97A3D">
        <w:rPr>
          <w:rFonts w:ascii="Calibri" w:eastAsia="Calibri" w:hAnsi="Calibri" w:cs="Calibri"/>
          <w:sz w:val="20"/>
          <w:szCs w:val="20"/>
        </w:rPr>
        <w:t>that the consumers are will</w:t>
      </w:r>
      <w:r w:rsidR="00141C15">
        <w:rPr>
          <w:rFonts w:ascii="Calibri" w:eastAsia="Calibri" w:hAnsi="Calibri" w:cs="Calibri"/>
          <w:sz w:val="20"/>
          <w:szCs w:val="20"/>
        </w:rPr>
        <w:t>ing</w:t>
      </w:r>
      <w:r w:rsidR="00C97A3D">
        <w:rPr>
          <w:rFonts w:ascii="Calibri" w:eastAsia="Calibri" w:hAnsi="Calibri" w:cs="Calibri"/>
          <w:sz w:val="20"/>
          <w:szCs w:val="20"/>
        </w:rPr>
        <w:t xml:space="preserve"> and capable for paying for the use of electric power.</w:t>
      </w:r>
    </w:p>
    <w:p w14:paraId="2B387330" w14:textId="77777777" w:rsidR="00EF5FA3" w:rsidRDefault="001653F0">
      <w:pPr>
        <w:spacing w:before="80" w:after="80" w:line="268" w:lineRule="auto"/>
        <w:ind w:left="360"/>
        <w:jc w:val="both"/>
        <w:rPr>
          <w:rFonts w:ascii="Calibri" w:eastAsia="Calibri" w:hAnsi="Calibri" w:cs="Calibri"/>
          <w:b/>
          <w:sz w:val="20"/>
          <w:szCs w:val="20"/>
        </w:rPr>
      </w:pPr>
      <w:r>
        <w:rPr>
          <w:rFonts w:ascii="Calibri" w:eastAsia="Calibri" w:hAnsi="Calibri" w:cs="Calibri"/>
          <w:b/>
          <w:sz w:val="20"/>
          <w:szCs w:val="20"/>
        </w:rPr>
        <w:t>6.</w:t>
      </w:r>
      <w:r>
        <w:rPr>
          <w:rFonts w:ascii="Calibri" w:eastAsia="Calibri" w:hAnsi="Calibri" w:cs="Calibri"/>
          <w:sz w:val="20"/>
          <w:szCs w:val="20"/>
        </w:rPr>
        <w:tab/>
      </w:r>
      <w:r>
        <w:rPr>
          <w:rFonts w:ascii="Calibri" w:eastAsia="Calibri" w:hAnsi="Calibri" w:cs="Calibri"/>
          <w:b/>
          <w:sz w:val="20"/>
          <w:szCs w:val="20"/>
        </w:rPr>
        <w:t>Policy implications and recommendations.</w:t>
      </w:r>
    </w:p>
    <w:p w14:paraId="1B2A5182" w14:textId="7D6C0801" w:rsidR="008364BE" w:rsidRPr="00F06716" w:rsidRDefault="008E1F94" w:rsidP="00AE25C0">
      <w:pPr>
        <w:spacing w:after="80" w:line="271" w:lineRule="auto"/>
        <w:jc w:val="both"/>
        <w:rPr>
          <w:rFonts w:ascii="Calibri" w:eastAsia="Calibri" w:hAnsi="Calibri" w:cs="Calibri"/>
          <w:sz w:val="20"/>
          <w:szCs w:val="20"/>
          <w:lang w:val="en-GB"/>
        </w:rPr>
      </w:pPr>
      <w:r w:rsidRPr="00F06716">
        <w:rPr>
          <w:rFonts w:ascii="Calibri" w:eastAsia="Calibri" w:hAnsi="Calibri" w:cs="Calibri"/>
          <w:sz w:val="20"/>
          <w:szCs w:val="20"/>
          <w:lang w:val="en-GB"/>
        </w:rPr>
        <w:t>Based on the modelling results and analysis</w:t>
      </w:r>
      <w:r w:rsidR="00A65E1E">
        <w:rPr>
          <w:rFonts w:ascii="Calibri" w:eastAsia="Calibri" w:hAnsi="Calibri" w:cs="Calibri"/>
          <w:sz w:val="20"/>
          <w:szCs w:val="20"/>
          <w:lang w:val="en-GB"/>
        </w:rPr>
        <w:t>,</w:t>
      </w:r>
      <w:r w:rsidRPr="00F06716">
        <w:rPr>
          <w:rFonts w:ascii="Calibri" w:eastAsia="Calibri" w:hAnsi="Calibri" w:cs="Calibri"/>
          <w:sz w:val="20"/>
          <w:szCs w:val="20"/>
          <w:lang w:val="en-GB"/>
        </w:rPr>
        <w:t xml:space="preserve"> the following policy recommendations are proffered</w:t>
      </w:r>
      <w:r w:rsidR="008364BE" w:rsidRPr="00F06716">
        <w:rPr>
          <w:rFonts w:ascii="Calibri" w:eastAsia="Calibri" w:hAnsi="Calibri" w:cs="Calibri"/>
          <w:sz w:val="20"/>
          <w:szCs w:val="20"/>
          <w:lang w:val="en-GB"/>
        </w:rPr>
        <w:t>.</w:t>
      </w:r>
    </w:p>
    <w:p w14:paraId="04E98938" w14:textId="673D758A" w:rsidR="00776CEA" w:rsidRPr="00227155" w:rsidRDefault="00A43355" w:rsidP="00227155">
      <w:pPr>
        <w:pStyle w:val="ListParagraph"/>
        <w:widowControl w:val="0"/>
        <w:numPr>
          <w:ilvl w:val="0"/>
          <w:numId w:val="10"/>
        </w:numPr>
        <w:autoSpaceDE w:val="0"/>
        <w:autoSpaceDN w:val="0"/>
        <w:adjustRightInd w:val="0"/>
        <w:spacing w:after="240" w:line="340" w:lineRule="atLeast"/>
        <w:jc w:val="both"/>
        <w:rPr>
          <w:rFonts w:ascii="Calibri" w:eastAsia="Calibri" w:hAnsi="Calibri" w:cs="Calibri"/>
          <w:sz w:val="20"/>
          <w:szCs w:val="20"/>
          <w:lang w:val="en-GB"/>
        </w:rPr>
      </w:pPr>
      <w:r w:rsidRPr="00227155">
        <w:rPr>
          <w:rFonts w:ascii="Calibri" w:eastAsia="Calibri" w:hAnsi="Calibri" w:cs="Calibri"/>
          <w:sz w:val="20"/>
          <w:szCs w:val="20"/>
          <w:lang w:val="en-GB"/>
        </w:rPr>
        <w:t>In order to achieve universal access by 2035 as state</w:t>
      </w:r>
      <w:r w:rsidR="007D2D6E" w:rsidRPr="00227155">
        <w:rPr>
          <w:rFonts w:ascii="Calibri" w:eastAsia="Calibri" w:hAnsi="Calibri" w:cs="Calibri"/>
          <w:sz w:val="20"/>
          <w:szCs w:val="20"/>
          <w:lang w:val="en-GB"/>
        </w:rPr>
        <w:t>d</w:t>
      </w:r>
      <w:r w:rsidRPr="00227155">
        <w:rPr>
          <w:rFonts w:ascii="Calibri" w:eastAsia="Calibri" w:hAnsi="Calibri" w:cs="Calibri"/>
          <w:sz w:val="20"/>
          <w:szCs w:val="20"/>
          <w:lang w:val="en-GB"/>
        </w:rPr>
        <w:t xml:space="preserve"> in the </w:t>
      </w:r>
      <w:r w:rsidR="00D45BAE" w:rsidRPr="00227155">
        <w:rPr>
          <w:rFonts w:ascii="Calibri" w:eastAsia="Calibri" w:hAnsi="Calibri" w:cs="Calibri"/>
          <w:sz w:val="20"/>
          <w:szCs w:val="20"/>
          <w:lang w:val="en-GB"/>
        </w:rPr>
        <w:t>Government</w:t>
      </w:r>
      <w:r w:rsidRPr="00227155">
        <w:rPr>
          <w:rFonts w:ascii="Calibri" w:eastAsia="Calibri" w:hAnsi="Calibri" w:cs="Calibri"/>
          <w:sz w:val="20"/>
          <w:szCs w:val="20"/>
          <w:lang w:val="en-GB"/>
        </w:rPr>
        <w:t xml:space="preserve"> energy policy</w:t>
      </w:r>
      <w:r w:rsidR="007D2D6E" w:rsidRPr="00227155">
        <w:rPr>
          <w:rFonts w:ascii="Calibri" w:eastAsia="Calibri" w:hAnsi="Calibri" w:cs="Calibri"/>
          <w:sz w:val="20"/>
          <w:szCs w:val="20"/>
          <w:lang w:val="en-GB"/>
        </w:rPr>
        <w:t>,</w:t>
      </w:r>
      <w:r w:rsidRPr="00227155">
        <w:rPr>
          <w:rFonts w:ascii="Calibri" w:eastAsia="Calibri" w:hAnsi="Calibri" w:cs="Calibri"/>
          <w:sz w:val="20"/>
          <w:szCs w:val="20"/>
          <w:lang w:val="en-GB"/>
        </w:rPr>
        <w:t xml:space="preserve"> huge investment</w:t>
      </w:r>
      <w:r w:rsidR="00A65E1E" w:rsidRPr="00227155">
        <w:rPr>
          <w:rFonts w:ascii="Calibri" w:eastAsia="Calibri" w:hAnsi="Calibri" w:cs="Calibri"/>
          <w:sz w:val="20"/>
          <w:szCs w:val="20"/>
          <w:lang w:val="en-GB"/>
        </w:rPr>
        <w:t>s</w:t>
      </w:r>
      <w:r w:rsidRPr="00227155">
        <w:rPr>
          <w:rFonts w:ascii="Calibri" w:eastAsia="Calibri" w:hAnsi="Calibri" w:cs="Calibri"/>
          <w:sz w:val="20"/>
          <w:szCs w:val="20"/>
          <w:lang w:val="en-GB"/>
        </w:rPr>
        <w:t xml:space="preserve"> </w:t>
      </w:r>
      <w:r w:rsidR="007D2D6E" w:rsidRPr="00227155">
        <w:rPr>
          <w:rFonts w:ascii="Calibri" w:eastAsia="Calibri" w:hAnsi="Calibri" w:cs="Calibri"/>
          <w:sz w:val="20"/>
          <w:szCs w:val="20"/>
          <w:lang w:val="en-GB"/>
        </w:rPr>
        <w:t xml:space="preserve">must be made in the energy sector. </w:t>
      </w:r>
      <w:r w:rsidR="00D45BAE" w:rsidRPr="00227155">
        <w:rPr>
          <w:rFonts w:ascii="Calibri" w:eastAsia="Calibri" w:hAnsi="Calibri" w:cs="Calibri"/>
          <w:sz w:val="20"/>
          <w:szCs w:val="20"/>
          <w:lang w:val="en-GB"/>
        </w:rPr>
        <w:t xml:space="preserve"> </w:t>
      </w:r>
      <w:r w:rsidR="00A65E1E" w:rsidRPr="00227155">
        <w:rPr>
          <w:rFonts w:ascii="Calibri" w:eastAsia="Calibri" w:hAnsi="Calibri" w:cs="Calibri"/>
          <w:sz w:val="20"/>
          <w:szCs w:val="20"/>
          <w:lang w:val="en-GB"/>
        </w:rPr>
        <w:t>The m</w:t>
      </w:r>
      <w:r w:rsidR="007D2D6E" w:rsidRPr="00227155">
        <w:rPr>
          <w:rFonts w:ascii="Calibri" w:eastAsia="Calibri" w:hAnsi="Calibri" w:cs="Calibri"/>
          <w:sz w:val="20"/>
          <w:szCs w:val="20"/>
          <w:lang w:val="en-GB"/>
        </w:rPr>
        <w:t>odelling result</w:t>
      </w:r>
      <w:r w:rsidR="00A65E1E" w:rsidRPr="00227155">
        <w:rPr>
          <w:rFonts w:ascii="Calibri" w:eastAsia="Calibri" w:hAnsi="Calibri" w:cs="Calibri"/>
          <w:sz w:val="20"/>
          <w:szCs w:val="20"/>
          <w:lang w:val="en-GB"/>
        </w:rPr>
        <w:t>s</w:t>
      </w:r>
      <w:r w:rsidR="007D2D6E" w:rsidRPr="00227155">
        <w:rPr>
          <w:rFonts w:ascii="Calibri" w:eastAsia="Calibri" w:hAnsi="Calibri" w:cs="Calibri"/>
          <w:sz w:val="20"/>
          <w:szCs w:val="20"/>
          <w:lang w:val="en-GB"/>
        </w:rPr>
        <w:t xml:space="preserve"> show that extra 2.2 billion dollars </w:t>
      </w:r>
      <w:r w:rsidR="00A65E1E" w:rsidRPr="00227155">
        <w:rPr>
          <w:rFonts w:ascii="Calibri" w:eastAsia="Calibri" w:hAnsi="Calibri" w:cs="Calibri"/>
          <w:sz w:val="20"/>
          <w:szCs w:val="20"/>
          <w:lang w:val="en-GB"/>
        </w:rPr>
        <w:t>is</w:t>
      </w:r>
      <w:r w:rsidR="007D2D6E" w:rsidRPr="00227155">
        <w:rPr>
          <w:rFonts w:ascii="Calibri" w:eastAsia="Calibri" w:hAnsi="Calibri" w:cs="Calibri"/>
          <w:sz w:val="20"/>
          <w:szCs w:val="20"/>
          <w:lang w:val="en-GB"/>
        </w:rPr>
        <w:t xml:space="preserve"> needed over current rate of funding. </w:t>
      </w:r>
      <w:r w:rsidR="00A65E1E" w:rsidRPr="00227155">
        <w:rPr>
          <w:rFonts w:ascii="Calibri" w:eastAsia="Calibri" w:hAnsi="Calibri" w:cs="Calibri"/>
          <w:sz w:val="20"/>
          <w:szCs w:val="20"/>
          <w:lang w:val="en-GB"/>
        </w:rPr>
        <w:t>The d</w:t>
      </w:r>
      <w:r w:rsidR="00781742" w:rsidRPr="00227155">
        <w:rPr>
          <w:rFonts w:ascii="Calibri" w:eastAsia="Calibri" w:hAnsi="Calibri" w:cs="Calibri"/>
          <w:sz w:val="20"/>
          <w:szCs w:val="20"/>
          <w:lang w:val="en-GB"/>
        </w:rPr>
        <w:t>evelopment of Hydro and Large Scale VRES should</w:t>
      </w:r>
      <w:r w:rsidR="00781742" w:rsidRPr="00227155">
        <w:rPr>
          <w:rFonts w:ascii="Calibri" w:eastAsia="Calibri" w:hAnsi="Calibri" w:cs="Calibri"/>
          <w:sz w:val="20"/>
          <w:szCs w:val="20"/>
          <w:lang w:val="en-US"/>
        </w:rPr>
        <w:t xml:space="preserve"> be</w:t>
      </w:r>
      <w:r w:rsidR="007D2D6E" w:rsidRPr="00227155">
        <w:rPr>
          <w:rFonts w:ascii="Calibri" w:eastAsia="Calibri" w:hAnsi="Calibri" w:cs="Calibri"/>
          <w:sz w:val="20"/>
          <w:szCs w:val="20"/>
          <w:lang w:val="en-GB"/>
        </w:rPr>
        <w:t xml:space="preserve"> </w:t>
      </w:r>
      <w:r w:rsidR="00781742" w:rsidRPr="00227155">
        <w:rPr>
          <w:rFonts w:ascii="Calibri" w:eastAsia="Calibri" w:hAnsi="Calibri" w:cs="Calibri"/>
          <w:sz w:val="20"/>
          <w:szCs w:val="20"/>
          <w:lang w:val="en-US"/>
        </w:rPr>
        <w:t xml:space="preserve">accelerated and new </w:t>
      </w:r>
      <w:r w:rsidR="00A65E1E" w:rsidRPr="00227155">
        <w:rPr>
          <w:rFonts w:ascii="Calibri" w:eastAsia="Calibri" w:hAnsi="Calibri" w:cs="Calibri"/>
          <w:sz w:val="20"/>
          <w:szCs w:val="20"/>
          <w:lang w:val="en-US"/>
        </w:rPr>
        <w:t>energy sources</w:t>
      </w:r>
      <w:r w:rsidR="00781742" w:rsidRPr="00227155">
        <w:rPr>
          <w:rFonts w:ascii="Calibri" w:eastAsia="Calibri" w:hAnsi="Calibri" w:cs="Calibri"/>
          <w:sz w:val="20"/>
          <w:szCs w:val="20"/>
          <w:lang w:val="en-US"/>
        </w:rPr>
        <w:t xml:space="preserve"> such </w:t>
      </w:r>
      <w:r w:rsidR="00A65E1E" w:rsidRPr="00227155">
        <w:rPr>
          <w:rFonts w:ascii="Calibri" w:eastAsia="Calibri" w:hAnsi="Calibri" w:cs="Calibri"/>
          <w:sz w:val="20"/>
          <w:szCs w:val="20"/>
          <w:lang w:val="en-US"/>
        </w:rPr>
        <w:t>as</w:t>
      </w:r>
      <w:r w:rsidR="00781742" w:rsidRPr="00227155">
        <w:rPr>
          <w:rFonts w:ascii="Calibri" w:eastAsia="Calibri" w:hAnsi="Calibri" w:cs="Calibri"/>
          <w:sz w:val="20"/>
          <w:szCs w:val="20"/>
          <w:lang w:val="en-US"/>
        </w:rPr>
        <w:t xml:space="preserve"> LNG, imported coal and electricity should be introduced</w:t>
      </w:r>
      <w:r w:rsidR="00A65E1E" w:rsidRPr="00227155">
        <w:rPr>
          <w:rFonts w:ascii="Calibri" w:eastAsia="Calibri" w:hAnsi="Calibri" w:cs="Calibri"/>
          <w:sz w:val="20"/>
          <w:szCs w:val="20"/>
          <w:lang w:val="en-US"/>
        </w:rPr>
        <w:t xml:space="preserve"> in the energy mix</w:t>
      </w:r>
      <w:r w:rsidR="00781742" w:rsidRPr="00227155">
        <w:rPr>
          <w:rFonts w:ascii="Calibri" w:eastAsia="Calibri" w:hAnsi="Calibri" w:cs="Calibri"/>
          <w:sz w:val="20"/>
          <w:szCs w:val="20"/>
          <w:lang w:val="en-US"/>
        </w:rPr>
        <w:t xml:space="preserve">. </w:t>
      </w:r>
      <w:r w:rsidR="007D2D6E" w:rsidRPr="00227155">
        <w:rPr>
          <w:rFonts w:ascii="Calibri" w:eastAsia="Calibri" w:hAnsi="Calibri" w:cs="Calibri"/>
          <w:sz w:val="20"/>
          <w:szCs w:val="20"/>
          <w:lang w:val="en-GB"/>
        </w:rPr>
        <w:t xml:space="preserve"> </w:t>
      </w:r>
      <w:r w:rsidR="00A65E1E" w:rsidRPr="00227155">
        <w:rPr>
          <w:rFonts w:ascii="Calibri" w:eastAsia="Calibri" w:hAnsi="Calibri" w:cs="Calibri"/>
          <w:sz w:val="20"/>
          <w:szCs w:val="20"/>
          <w:lang w:val="en-GB"/>
        </w:rPr>
        <w:t>The f</w:t>
      </w:r>
      <w:r w:rsidR="007D2D6E" w:rsidRPr="00227155">
        <w:rPr>
          <w:rFonts w:ascii="Calibri" w:eastAsia="Calibri" w:hAnsi="Calibri" w:cs="Calibri"/>
          <w:sz w:val="20"/>
          <w:szCs w:val="20"/>
          <w:lang w:val="en-GB"/>
        </w:rPr>
        <w:t>unding</w:t>
      </w:r>
      <w:r w:rsidR="00781742" w:rsidRPr="00227155">
        <w:rPr>
          <w:rFonts w:ascii="Calibri" w:eastAsia="Calibri" w:hAnsi="Calibri" w:cs="Calibri"/>
          <w:sz w:val="20"/>
          <w:szCs w:val="20"/>
          <w:lang w:val="en-GB"/>
        </w:rPr>
        <w:t xml:space="preserve"> </w:t>
      </w:r>
      <w:r w:rsidR="00A65E1E" w:rsidRPr="00227155">
        <w:rPr>
          <w:rFonts w:ascii="Calibri" w:eastAsia="Calibri" w:hAnsi="Calibri" w:cs="Calibri"/>
          <w:sz w:val="20"/>
          <w:szCs w:val="20"/>
          <w:lang w:val="en-GB"/>
        </w:rPr>
        <w:t>p</w:t>
      </w:r>
      <w:r w:rsidR="00781742" w:rsidRPr="00227155">
        <w:rPr>
          <w:rFonts w:ascii="Calibri" w:eastAsia="Calibri" w:hAnsi="Calibri" w:cs="Calibri"/>
          <w:sz w:val="20"/>
          <w:szCs w:val="20"/>
          <w:lang w:val="en-GB"/>
        </w:rPr>
        <w:t xml:space="preserve">lan </w:t>
      </w:r>
      <w:r w:rsidR="007D2D6E" w:rsidRPr="00227155">
        <w:rPr>
          <w:rFonts w:ascii="Calibri" w:eastAsia="Calibri" w:hAnsi="Calibri" w:cs="Calibri"/>
          <w:sz w:val="20"/>
          <w:szCs w:val="20"/>
          <w:lang w:val="en-GB"/>
        </w:rPr>
        <w:t xml:space="preserve">should </w:t>
      </w:r>
      <w:r w:rsidR="00D45BAE" w:rsidRPr="00227155">
        <w:rPr>
          <w:rFonts w:ascii="Calibri" w:eastAsia="Calibri" w:hAnsi="Calibri" w:cs="Calibri"/>
          <w:sz w:val="20"/>
          <w:szCs w:val="20"/>
          <w:lang w:val="en-GB"/>
        </w:rPr>
        <w:t>involve</w:t>
      </w:r>
      <w:r w:rsidR="00227155" w:rsidRPr="00227155">
        <w:rPr>
          <w:rFonts w:ascii="Calibri" w:eastAsia="Calibri" w:hAnsi="Calibri" w:cs="Calibri"/>
          <w:sz w:val="20"/>
          <w:szCs w:val="20"/>
          <w:lang w:val="en-GB"/>
        </w:rPr>
        <w:t xml:space="preserve"> reaching out to donor</w:t>
      </w:r>
      <w:r w:rsidR="00D45BAE" w:rsidRPr="00227155">
        <w:rPr>
          <w:rFonts w:ascii="Calibri" w:eastAsia="Calibri" w:hAnsi="Calibri" w:cs="Calibri"/>
          <w:sz w:val="20"/>
          <w:szCs w:val="20"/>
          <w:lang w:val="en-GB"/>
        </w:rPr>
        <w:t xml:space="preserve"> </w:t>
      </w:r>
      <w:r w:rsidR="00776CEA" w:rsidRPr="00227155">
        <w:rPr>
          <w:rFonts w:ascii="Calibri" w:eastAsia="Calibri" w:hAnsi="Calibri" w:cs="Calibri"/>
          <w:sz w:val="20"/>
          <w:szCs w:val="20"/>
          <w:lang w:val="en-GB"/>
        </w:rPr>
        <w:t>community.</w:t>
      </w:r>
    </w:p>
    <w:p w14:paraId="2203A333" w14:textId="7F47C5F9" w:rsidR="00602041" w:rsidRDefault="00AB102B" w:rsidP="00C70CC9">
      <w:pPr>
        <w:pStyle w:val="ListParagraph"/>
        <w:widowControl w:val="0"/>
        <w:numPr>
          <w:ilvl w:val="0"/>
          <w:numId w:val="8"/>
        </w:numPr>
        <w:autoSpaceDE w:val="0"/>
        <w:autoSpaceDN w:val="0"/>
        <w:adjustRightInd w:val="0"/>
        <w:spacing w:after="240" w:line="340" w:lineRule="atLeast"/>
        <w:jc w:val="both"/>
        <w:rPr>
          <w:rFonts w:ascii="Calibri" w:eastAsia="Calibri" w:hAnsi="Calibri" w:cs="Calibri"/>
          <w:sz w:val="20"/>
          <w:szCs w:val="20"/>
          <w:lang w:val="en-GB"/>
        </w:rPr>
      </w:pPr>
      <w:r>
        <w:rPr>
          <w:rFonts w:ascii="Calibri" w:eastAsia="Calibri" w:hAnsi="Calibri" w:cs="Calibri"/>
          <w:sz w:val="20"/>
          <w:szCs w:val="20"/>
          <w:lang w:val="en-GB"/>
        </w:rPr>
        <w:t>The m</w:t>
      </w:r>
      <w:r w:rsidR="00602041">
        <w:rPr>
          <w:rFonts w:ascii="Calibri" w:eastAsia="Calibri" w:hAnsi="Calibri" w:cs="Calibri"/>
          <w:sz w:val="20"/>
          <w:szCs w:val="20"/>
          <w:lang w:val="en-GB"/>
        </w:rPr>
        <w:t xml:space="preserve">odelling results show that the energy supply in Sierra Leone is heavily reliant on VRES, </w:t>
      </w:r>
      <w:r>
        <w:rPr>
          <w:rFonts w:ascii="Calibri" w:eastAsia="Calibri" w:hAnsi="Calibri" w:cs="Calibri"/>
          <w:sz w:val="20"/>
          <w:szCs w:val="20"/>
          <w:lang w:val="en-GB"/>
        </w:rPr>
        <w:t xml:space="preserve">with </w:t>
      </w:r>
      <w:r w:rsidR="00602041">
        <w:rPr>
          <w:rFonts w:ascii="Calibri" w:eastAsia="Calibri" w:hAnsi="Calibri" w:cs="Calibri"/>
          <w:sz w:val="20"/>
          <w:szCs w:val="20"/>
          <w:lang w:val="en-GB"/>
        </w:rPr>
        <w:t xml:space="preserve">a share of about 90%. </w:t>
      </w:r>
      <w:r w:rsidR="00C70CC9">
        <w:rPr>
          <w:rFonts w:ascii="Calibri" w:eastAsia="Calibri" w:hAnsi="Calibri" w:cs="Calibri"/>
          <w:sz w:val="20"/>
          <w:szCs w:val="20"/>
          <w:lang w:val="en-GB"/>
        </w:rPr>
        <w:t>However</w:t>
      </w:r>
      <w:r>
        <w:rPr>
          <w:rFonts w:ascii="Calibri" w:eastAsia="Calibri" w:hAnsi="Calibri" w:cs="Calibri"/>
          <w:sz w:val="20"/>
          <w:szCs w:val="20"/>
          <w:lang w:val="en-GB"/>
        </w:rPr>
        <w:t>,</w:t>
      </w:r>
      <w:r w:rsidR="00C70CC9">
        <w:rPr>
          <w:rFonts w:ascii="Calibri" w:eastAsia="Calibri" w:hAnsi="Calibri" w:cs="Calibri"/>
          <w:sz w:val="20"/>
          <w:szCs w:val="20"/>
          <w:lang w:val="en-GB"/>
        </w:rPr>
        <w:t xml:space="preserve"> VRES suppl</w:t>
      </w:r>
      <w:r>
        <w:rPr>
          <w:rFonts w:ascii="Calibri" w:eastAsia="Calibri" w:hAnsi="Calibri" w:cs="Calibri"/>
          <w:sz w:val="20"/>
          <w:szCs w:val="20"/>
          <w:lang w:val="en-GB"/>
        </w:rPr>
        <w:t>y</w:t>
      </w:r>
      <w:r w:rsidR="00C70CC9">
        <w:rPr>
          <w:rFonts w:ascii="Calibri" w:eastAsia="Calibri" w:hAnsi="Calibri" w:cs="Calibri"/>
          <w:sz w:val="20"/>
          <w:szCs w:val="20"/>
          <w:lang w:val="en-GB"/>
        </w:rPr>
        <w:t xml:space="preserve"> varies with changes in climatic conditions. To ensure power generation resilience to climate change</w:t>
      </w:r>
      <w:r>
        <w:rPr>
          <w:rFonts w:ascii="Calibri" w:eastAsia="Calibri" w:hAnsi="Calibri" w:cs="Calibri"/>
          <w:sz w:val="20"/>
          <w:szCs w:val="20"/>
          <w:lang w:val="en-GB"/>
        </w:rPr>
        <w:t>,</w:t>
      </w:r>
      <w:r w:rsidR="00C70CC9">
        <w:rPr>
          <w:rFonts w:ascii="Calibri" w:eastAsia="Calibri" w:hAnsi="Calibri" w:cs="Calibri"/>
          <w:sz w:val="20"/>
          <w:szCs w:val="20"/>
          <w:lang w:val="en-GB"/>
        </w:rPr>
        <w:t xml:space="preserve"> extra 500M USD investment should be made on non VRES.  </w:t>
      </w:r>
    </w:p>
    <w:p w14:paraId="75598878" w14:textId="77777777" w:rsidR="00C70CC9" w:rsidRPr="00C70CC9" w:rsidRDefault="00C70CC9" w:rsidP="00C70CC9">
      <w:pPr>
        <w:pStyle w:val="ListParagraph"/>
        <w:widowControl w:val="0"/>
        <w:autoSpaceDE w:val="0"/>
        <w:autoSpaceDN w:val="0"/>
        <w:adjustRightInd w:val="0"/>
        <w:spacing w:after="240" w:line="340" w:lineRule="atLeast"/>
        <w:ind w:left="360"/>
        <w:jc w:val="both"/>
        <w:rPr>
          <w:rFonts w:ascii="Calibri" w:eastAsia="Calibri" w:hAnsi="Calibri" w:cs="Calibri"/>
          <w:sz w:val="20"/>
          <w:szCs w:val="20"/>
          <w:lang w:val="en-GB"/>
        </w:rPr>
      </w:pPr>
    </w:p>
    <w:p w14:paraId="54713147" w14:textId="5A266D01" w:rsidR="00F300D1" w:rsidRDefault="004D0A09" w:rsidP="00F300D1">
      <w:pPr>
        <w:pStyle w:val="ListParagraph"/>
        <w:numPr>
          <w:ilvl w:val="0"/>
          <w:numId w:val="8"/>
        </w:numPr>
        <w:spacing w:after="80" w:line="271" w:lineRule="auto"/>
        <w:jc w:val="both"/>
        <w:rPr>
          <w:rFonts w:ascii="Calibri" w:eastAsia="Calibri" w:hAnsi="Calibri" w:cs="Calibri"/>
          <w:sz w:val="20"/>
          <w:szCs w:val="20"/>
          <w:lang w:val="en-GB"/>
        </w:rPr>
      </w:pPr>
      <w:r w:rsidRPr="00F06716">
        <w:rPr>
          <w:rFonts w:ascii="Calibri" w:eastAsia="Calibri" w:hAnsi="Calibri" w:cs="Calibri"/>
          <w:sz w:val="20"/>
          <w:szCs w:val="20"/>
          <w:lang w:val="en-GB"/>
        </w:rPr>
        <w:t>To meet the increase in demand projection for national electrification</w:t>
      </w:r>
      <w:r w:rsidR="00AB102B">
        <w:rPr>
          <w:rFonts w:ascii="Calibri" w:eastAsia="Calibri" w:hAnsi="Calibri" w:cs="Calibri"/>
          <w:sz w:val="20"/>
          <w:szCs w:val="20"/>
          <w:lang w:val="en-GB"/>
        </w:rPr>
        <w:t>,</w:t>
      </w:r>
      <w:r w:rsidRPr="00F06716">
        <w:rPr>
          <w:rFonts w:ascii="Calibri" w:eastAsia="Calibri" w:hAnsi="Calibri" w:cs="Calibri"/>
          <w:sz w:val="20"/>
          <w:szCs w:val="20"/>
          <w:lang w:val="en-GB"/>
        </w:rPr>
        <w:t xml:space="preserve"> </w:t>
      </w:r>
      <w:r w:rsidR="00AB102B">
        <w:rPr>
          <w:rFonts w:ascii="Calibri" w:eastAsia="Calibri" w:hAnsi="Calibri" w:cs="Calibri"/>
          <w:sz w:val="20"/>
          <w:szCs w:val="20"/>
          <w:lang w:val="en-GB"/>
        </w:rPr>
        <w:t>i</w:t>
      </w:r>
      <w:r w:rsidR="00543774" w:rsidRPr="00F06716">
        <w:rPr>
          <w:rFonts w:ascii="Calibri" w:eastAsia="Calibri" w:hAnsi="Calibri" w:cs="Calibri"/>
          <w:sz w:val="20"/>
          <w:szCs w:val="20"/>
          <w:lang w:val="en-GB"/>
        </w:rPr>
        <w:t>nvesting in VRES including run-</w:t>
      </w:r>
      <w:r w:rsidRPr="00F06716">
        <w:rPr>
          <w:rFonts w:ascii="Calibri" w:eastAsia="Calibri" w:hAnsi="Calibri" w:cs="Calibri"/>
          <w:sz w:val="20"/>
          <w:szCs w:val="20"/>
          <w:lang w:val="en-GB"/>
        </w:rPr>
        <w:t>off hydro provides an eco</w:t>
      </w:r>
      <w:r w:rsidR="003E5B29">
        <w:rPr>
          <w:rFonts w:ascii="Calibri" w:eastAsia="Calibri" w:hAnsi="Calibri" w:cs="Calibri"/>
          <w:sz w:val="20"/>
          <w:szCs w:val="20"/>
          <w:lang w:val="en-GB"/>
        </w:rPr>
        <w:t>n</w:t>
      </w:r>
      <w:r w:rsidRPr="00F06716">
        <w:rPr>
          <w:rFonts w:ascii="Calibri" w:eastAsia="Calibri" w:hAnsi="Calibri" w:cs="Calibri"/>
          <w:sz w:val="20"/>
          <w:szCs w:val="20"/>
          <w:lang w:val="en-GB"/>
        </w:rPr>
        <w:t xml:space="preserve">omical and effective approach.  </w:t>
      </w:r>
    </w:p>
    <w:p w14:paraId="64088D37" w14:textId="197C2DE5" w:rsidR="00C70CC9" w:rsidRDefault="00AB102B" w:rsidP="00C70CC9">
      <w:pPr>
        <w:pStyle w:val="ListParagraph"/>
        <w:numPr>
          <w:ilvl w:val="0"/>
          <w:numId w:val="9"/>
        </w:numPr>
        <w:spacing w:after="80" w:line="271" w:lineRule="auto"/>
        <w:jc w:val="both"/>
        <w:rPr>
          <w:rFonts w:ascii="Calibri" w:eastAsia="Calibri" w:hAnsi="Calibri" w:cs="Calibri"/>
          <w:sz w:val="20"/>
          <w:szCs w:val="20"/>
        </w:rPr>
      </w:pPr>
      <w:r>
        <w:rPr>
          <w:rFonts w:ascii="Calibri" w:eastAsia="Calibri" w:hAnsi="Calibri" w:cs="Calibri"/>
          <w:sz w:val="20"/>
          <w:szCs w:val="20"/>
          <w:lang w:val="en-GB"/>
        </w:rPr>
        <w:t>The m</w:t>
      </w:r>
      <w:r w:rsidR="009F5E62" w:rsidRPr="009F5E62">
        <w:rPr>
          <w:rFonts w:ascii="Calibri" w:eastAsia="Calibri" w:hAnsi="Calibri" w:cs="Calibri"/>
          <w:sz w:val="20"/>
          <w:szCs w:val="20"/>
          <w:lang w:val="en-GB"/>
        </w:rPr>
        <w:t xml:space="preserve">odelling result shows that the CO2 emissions for Sierra Leone energy sector </w:t>
      </w:r>
      <w:r>
        <w:rPr>
          <w:rFonts w:ascii="Calibri" w:eastAsia="Calibri" w:hAnsi="Calibri" w:cs="Calibri"/>
          <w:sz w:val="20"/>
          <w:szCs w:val="20"/>
          <w:lang w:val="en-GB"/>
        </w:rPr>
        <w:t>are</w:t>
      </w:r>
      <w:r w:rsidR="009F5E62" w:rsidRPr="009F5E62">
        <w:rPr>
          <w:rFonts w:ascii="Calibri" w:eastAsia="Calibri" w:hAnsi="Calibri" w:cs="Calibri"/>
          <w:sz w:val="20"/>
          <w:szCs w:val="20"/>
          <w:lang w:val="en-GB"/>
        </w:rPr>
        <w:t xml:space="preserve"> relatively low</w:t>
      </w:r>
      <w:r>
        <w:rPr>
          <w:rFonts w:ascii="Calibri" w:eastAsia="Calibri" w:hAnsi="Calibri" w:cs="Calibri"/>
          <w:sz w:val="20"/>
          <w:szCs w:val="20"/>
          <w:lang w:val="en-GB"/>
        </w:rPr>
        <w:t>, amounting to</w:t>
      </w:r>
      <w:r w:rsidR="009F5E62" w:rsidRPr="009F5E62">
        <w:rPr>
          <w:rFonts w:ascii="Calibri" w:eastAsia="Calibri" w:hAnsi="Calibri" w:cs="Calibri"/>
          <w:sz w:val="20"/>
          <w:szCs w:val="20"/>
          <w:lang w:val="en-GB"/>
        </w:rPr>
        <w:t xml:space="preserve"> about 5%</w:t>
      </w:r>
      <w:r>
        <w:rPr>
          <w:rFonts w:ascii="Calibri" w:eastAsia="Calibri" w:hAnsi="Calibri" w:cs="Calibri"/>
          <w:sz w:val="20"/>
          <w:szCs w:val="20"/>
          <w:lang w:val="en-GB"/>
        </w:rPr>
        <w:t xml:space="preserve"> of the total emissions</w:t>
      </w:r>
      <w:r w:rsidR="009F5E62" w:rsidRPr="009F5E62">
        <w:rPr>
          <w:rFonts w:ascii="Calibri" w:eastAsia="Calibri" w:hAnsi="Calibri" w:cs="Calibri"/>
          <w:sz w:val="20"/>
          <w:szCs w:val="20"/>
          <w:lang w:val="en-GB"/>
        </w:rPr>
        <w:t xml:space="preserve">. Further results show that any percentage decrease (restriction) </w:t>
      </w:r>
      <w:r w:rsidR="009F5E62" w:rsidRPr="009F5E62">
        <w:rPr>
          <w:rFonts w:ascii="Calibri" w:eastAsia="Calibri" w:hAnsi="Calibri" w:cs="Calibri"/>
          <w:bCs/>
          <w:sz w:val="20"/>
          <w:szCs w:val="20"/>
        </w:rPr>
        <w:t>in CO2 Emissions will result in 2.7% increase in operational cost</w:t>
      </w:r>
      <w:r w:rsidR="009F5E62" w:rsidRPr="009F5E62">
        <w:rPr>
          <w:rFonts w:ascii="Calibri" w:eastAsia="Calibri" w:hAnsi="Calibri" w:cs="Calibri"/>
          <w:sz w:val="20"/>
          <w:szCs w:val="20"/>
        </w:rPr>
        <w:t>.</w:t>
      </w:r>
    </w:p>
    <w:p w14:paraId="0EAB205D" w14:textId="77777777" w:rsidR="009F5E62" w:rsidRPr="009F5E62" w:rsidRDefault="009F5E62" w:rsidP="009F5E62">
      <w:pPr>
        <w:pStyle w:val="ListParagraph"/>
        <w:spacing w:after="80" w:line="271" w:lineRule="auto"/>
        <w:ind w:left="360"/>
        <w:jc w:val="both"/>
        <w:rPr>
          <w:rFonts w:ascii="Calibri" w:eastAsia="Calibri" w:hAnsi="Calibri" w:cs="Calibri"/>
          <w:sz w:val="20"/>
          <w:szCs w:val="20"/>
        </w:rPr>
      </w:pPr>
    </w:p>
    <w:p w14:paraId="266729AE" w14:textId="77777777" w:rsidR="00EF5FA3" w:rsidRDefault="001653F0" w:rsidP="009A58F3">
      <w:pPr>
        <w:spacing w:after="80" w:line="271" w:lineRule="auto"/>
        <w:ind w:left="360"/>
        <w:jc w:val="both"/>
        <w:rPr>
          <w:rFonts w:ascii="Calibri" w:eastAsia="Calibri" w:hAnsi="Calibri" w:cs="Calibri"/>
          <w:b/>
          <w:sz w:val="20"/>
          <w:szCs w:val="20"/>
        </w:rPr>
      </w:pPr>
      <w:r>
        <w:rPr>
          <w:rFonts w:ascii="Calibri" w:eastAsia="Calibri" w:hAnsi="Calibri" w:cs="Calibri"/>
          <w:b/>
          <w:sz w:val="20"/>
          <w:szCs w:val="20"/>
        </w:rPr>
        <w:t>7.</w:t>
      </w:r>
      <w:r>
        <w:rPr>
          <w:rFonts w:ascii="Calibri" w:eastAsia="Calibri" w:hAnsi="Calibri" w:cs="Calibri"/>
          <w:b/>
          <w:sz w:val="20"/>
          <w:szCs w:val="20"/>
        </w:rPr>
        <w:tab/>
        <w:t>References</w:t>
      </w:r>
    </w:p>
    <w:p w14:paraId="5088F2BC" w14:textId="6E835378" w:rsidR="005F026B" w:rsidRDefault="00B96481" w:rsidP="005F026B">
      <w:pPr>
        <w:widowControl w:val="0"/>
        <w:autoSpaceDE w:val="0"/>
        <w:autoSpaceDN w:val="0"/>
        <w:adjustRightInd w:val="0"/>
        <w:spacing w:after="240" w:line="260" w:lineRule="atLeast"/>
        <w:contextualSpacing/>
        <w:jc w:val="both"/>
        <w:rPr>
          <w:rFonts w:ascii="Times" w:hAnsi="Times" w:cs="Times"/>
          <w:sz w:val="18"/>
          <w:szCs w:val="18"/>
          <w:lang w:val="en-US"/>
        </w:rPr>
      </w:pPr>
      <w:r>
        <w:rPr>
          <w:rFonts w:ascii="Times" w:hAnsi="Times" w:cs="Times"/>
          <w:sz w:val="18"/>
          <w:szCs w:val="18"/>
          <w:lang w:val="en-US"/>
        </w:rPr>
        <w:t xml:space="preserve"> [1</w:t>
      </w:r>
      <w:r w:rsidR="00CC548D" w:rsidRPr="00CC548D">
        <w:rPr>
          <w:rFonts w:ascii="Times" w:hAnsi="Times" w:cs="Times"/>
          <w:sz w:val="18"/>
          <w:szCs w:val="18"/>
          <w:lang w:val="en-US"/>
        </w:rPr>
        <w:t xml:space="preserve">] </w:t>
      </w:r>
      <w:r w:rsidR="00AD6699">
        <w:rPr>
          <w:rFonts w:ascii="Times" w:hAnsi="Times" w:cs="Times"/>
          <w:sz w:val="18"/>
          <w:szCs w:val="18"/>
          <w:lang w:val="en-US"/>
        </w:rPr>
        <w:t xml:space="preserve">Myanmar </w:t>
      </w:r>
      <w:r w:rsidR="00AD6699" w:rsidRPr="00AD6699">
        <w:rPr>
          <w:rFonts w:ascii="Times" w:hAnsi="Times" w:cs="Times"/>
          <w:sz w:val="18"/>
          <w:szCs w:val="18"/>
          <w:lang w:val="en-US"/>
        </w:rPr>
        <w:t>Transport Sector Policy Note</w:t>
      </w:r>
      <w:r w:rsidR="00AD6699">
        <w:rPr>
          <w:rFonts w:ascii="Times" w:hAnsi="Times" w:cs="Times"/>
          <w:sz w:val="18"/>
          <w:szCs w:val="18"/>
          <w:lang w:val="en-US"/>
        </w:rPr>
        <w:t xml:space="preserve"> summary for decision makers.</w:t>
      </w:r>
      <w:r w:rsidR="005F026B" w:rsidRPr="005F026B">
        <w:rPr>
          <w:rFonts w:ascii="Times" w:hAnsi="Times" w:cs="Times"/>
          <w:sz w:val="18"/>
          <w:szCs w:val="18"/>
          <w:lang w:val="en-US"/>
        </w:rPr>
        <w:t xml:space="preserve"> prepared by ADB sta</w:t>
      </w:r>
      <w:r w:rsidR="005F026B">
        <w:rPr>
          <w:rFonts w:ascii="Times" w:hAnsi="Times" w:cs="Times"/>
          <w:sz w:val="18"/>
          <w:szCs w:val="18"/>
          <w:lang w:val="en-US"/>
        </w:rPr>
        <w:t>ff</w:t>
      </w:r>
      <w:r w:rsidR="005F026B" w:rsidRPr="005F026B">
        <w:rPr>
          <w:rFonts w:ascii="Times" w:hAnsi="Times" w:cs="Times"/>
          <w:sz w:val="18"/>
          <w:szCs w:val="18"/>
          <w:lang w:val="en-US"/>
        </w:rPr>
        <w:t xml:space="preserve"> and consultants in 2014–2015</w:t>
      </w:r>
      <w:r w:rsidR="005F026B">
        <w:rPr>
          <w:rFonts w:ascii="Times" w:hAnsi="Times" w:cs="Times"/>
          <w:sz w:val="18"/>
          <w:szCs w:val="18"/>
          <w:lang w:val="en-US"/>
        </w:rPr>
        <w:t>.</w:t>
      </w:r>
      <w:r w:rsidR="005F026B" w:rsidRPr="005F026B">
        <w:rPr>
          <w:rFonts w:ascii="Times" w:hAnsi="Times" w:cs="Times"/>
          <w:sz w:val="18"/>
          <w:szCs w:val="18"/>
          <w:lang w:val="en-US"/>
        </w:rPr>
        <w:t xml:space="preserve"> </w:t>
      </w:r>
    </w:p>
    <w:p w14:paraId="39E44B4D" w14:textId="319985E5" w:rsidR="005F026B" w:rsidRPr="005F026B" w:rsidRDefault="00B96481" w:rsidP="005F026B">
      <w:pPr>
        <w:widowControl w:val="0"/>
        <w:autoSpaceDE w:val="0"/>
        <w:autoSpaceDN w:val="0"/>
        <w:adjustRightInd w:val="0"/>
        <w:spacing w:after="240" w:line="260" w:lineRule="atLeast"/>
        <w:contextualSpacing/>
        <w:jc w:val="both"/>
        <w:rPr>
          <w:rFonts w:ascii="Times" w:hAnsi="Times" w:cs="Times"/>
          <w:sz w:val="18"/>
          <w:szCs w:val="18"/>
          <w:lang w:val="en-US"/>
        </w:rPr>
      </w:pPr>
      <w:r>
        <w:rPr>
          <w:rFonts w:ascii="Times" w:hAnsi="Times" w:cs="Times"/>
          <w:sz w:val="18"/>
          <w:szCs w:val="18"/>
          <w:lang w:val="en-US"/>
        </w:rPr>
        <w:t>[2</w:t>
      </w:r>
      <w:r w:rsidR="005F026B" w:rsidRPr="00CC548D">
        <w:rPr>
          <w:rFonts w:ascii="Times" w:hAnsi="Times" w:cs="Times"/>
          <w:sz w:val="18"/>
          <w:szCs w:val="18"/>
          <w:lang w:val="en-US"/>
        </w:rPr>
        <w:t xml:space="preserve">] </w:t>
      </w:r>
      <w:r w:rsidR="005F026B" w:rsidRPr="005F026B">
        <w:rPr>
          <w:rFonts w:ascii="Times" w:hAnsi="Times" w:cs="Times"/>
          <w:sz w:val="18"/>
          <w:szCs w:val="18"/>
          <w:lang w:val="en-US"/>
        </w:rPr>
        <w:t>Botswana Policy Brief (UN sustainable development)</w:t>
      </w:r>
    </w:p>
    <w:p w14:paraId="0629A4B0" w14:textId="77777777" w:rsidR="005F026B" w:rsidRDefault="00296468" w:rsidP="005F026B">
      <w:pPr>
        <w:contextualSpacing/>
        <w:jc w:val="both"/>
        <w:rPr>
          <w:rFonts w:ascii="Times" w:hAnsi="Times" w:cs="Times"/>
          <w:sz w:val="18"/>
          <w:szCs w:val="18"/>
          <w:lang w:val="en-US"/>
        </w:rPr>
      </w:pPr>
      <w:hyperlink r:id="rId14">
        <w:r w:rsidR="005F026B" w:rsidRPr="005F026B">
          <w:rPr>
            <w:rFonts w:ascii="Times" w:hAnsi="Times" w:cs="Times"/>
            <w:sz w:val="18"/>
            <w:szCs w:val="18"/>
            <w:lang w:val="en-US"/>
          </w:rPr>
          <w:t>https://sustainabledevelopment.un.org/content/documents/1009National%20Report%20(Energy)%20-%20Botswana.pdf</w:t>
        </w:r>
      </w:hyperlink>
    </w:p>
    <w:p w14:paraId="51CD1E4E" w14:textId="45108022" w:rsidR="00541725" w:rsidRDefault="00B96481" w:rsidP="00541725">
      <w:pPr>
        <w:widowControl w:val="0"/>
        <w:autoSpaceDE w:val="0"/>
        <w:autoSpaceDN w:val="0"/>
        <w:adjustRightInd w:val="0"/>
        <w:spacing w:after="240" w:line="260" w:lineRule="atLeast"/>
        <w:contextualSpacing/>
        <w:rPr>
          <w:rFonts w:ascii="Times" w:hAnsi="Times" w:cs="Times"/>
          <w:sz w:val="18"/>
          <w:szCs w:val="18"/>
          <w:lang w:val="en-US"/>
        </w:rPr>
      </w:pPr>
      <w:r>
        <w:rPr>
          <w:rFonts w:ascii="Times" w:hAnsi="Times" w:cs="Times"/>
          <w:sz w:val="18"/>
          <w:szCs w:val="18"/>
          <w:lang w:val="en-US"/>
        </w:rPr>
        <w:t>[3</w:t>
      </w:r>
      <w:r w:rsidR="000F4F0F" w:rsidRPr="00CC548D">
        <w:rPr>
          <w:rFonts w:ascii="Times" w:hAnsi="Times" w:cs="Times"/>
          <w:sz w:val="18"/>
          <w:szCs w:val="18"/>
          <w:lang w:val="en-US"/>
        </w:rPr>
        <w:t xml:space="preserve">] </w:t>
      </w:r>
      <w:r w:rsidR="000F4F0F" w:rsidRPr="000F4F0F">
        <w:rPr>
          <w:rFonts w:ascii="Times" w:hAnsi="Times" w:cs="Times"/>
          <w:sz w:val="18"/>
          <w:szCs w:val="18"/>
          <w:lang w:val="en-US"/>
        </w:rPr>
        <w:t>World Bank Mozambique Policy note</w:t>
      </w:r>
      <w:r w:rsidR="000F4F0F">
        <w:rPr>
          <w:rFonts w:ascii="Times" w:hAnsi="Times" w:cs="Times"/>
          <w:sz w:val="18"/>
          <w:szCs w:val="18"/>
          <w:lang w:val="en-US"/>
        </w:rPr>
        <w:t xml:space="preserve"> </w:t>
      </w:r>
      <w:hyperlink r:id="rId15">
        <w:r w:rsidR="000F4F0F" w:rsidRPr="000F4F0F">
          <w:rPr>
            <w:rFonts w:ascii="Times" w:hAnsi="Times" w:cs="Times"/>
            <w:sz w:val="18"/>
            <w:szCs w:val="18"/>
            <w:lang w:val="en-US"/>
          </w:rPr>
          <w:t>http://documents.worldbank.org/curated/en/135711468180536987/Mozambique-Energy-sector-policy-note</w:t>
        </w:r>
      </w:hyperlink>
    </w:p>
    <w:p w14:paraId="0155F34C" w14:textId="77777777" w:rsidR="00541725" w:rsidRPr="00F269B3" w:rsidRDefault="00541725" w:rsidP="00541725">
      <w:pPr>
        <w:widowControl w:val="0"/>
        <w:autoSpaceDE w:val="0"/>
        <w:autoSpaceDN w:val="0"/>
        <w:adjustRightInd w:val="0"/>
        <w:spacing w:after="240" w:line="260" w:lineRule="atLeast"/>
        <w:contextualSpacing/>
        <w:jc w:val="both"/>
        <w:rPr>
          <w:rFonts w:ascii="Times" w:hAnsi="Times" w:cs="Times"/>
          <w:sz w:val="18"/>
          <w:szCs w:val="18"/>
          <w:lang w:val="it-IT"/>
        </w:rPr>
      </w:pPr>
      <w:r w:rsidRPr="00F269B3">
        <w:rPr>
          <w:rFonts w:ascii="Times" w:hAnsi="Times" w:cs="Times"/>
          <w:sz w:val="18"/>
          <w:szCs w:val="18"/>
          <w:lang w:val="it-IT"/>
        </w:rPr>
        <w:t>[4] ATILA Data on Sierra Leone</w:t>
      </w:r>
    </w:p>
    <w:p w14:paraId="1D3E68CE" w14:textId="3CDD2FF3" w:rsidR="00541725" w:rsidRPr="00F269B3" w:rsidRDefault="00541725" w:rsidP="00541725">
      <w:pPr>
        <w:widowControl w:val="0"/>
        <w:autoSpaceDE w:val="0"/>
        <w:autoSpaceDN w:val="0"/>
        <w:adjustRightInd w:val="0"/>
        <w:spacing w:after="240" w:line="200" w:lineRule="atLeast"/>
        <w:jc w:val="both"/>
        <w:rPr>
          <w:rFonts w:ascii="Times" w:hAnsi="Times" w:cs="Times"/>
          <w:sz w:val="18"/>
          <w:szCs w:val="18"/>
          <w:lang w:val="it-IT"/>
        </w:rPr>
      </w:pPr>
      <w:r w:rsidRPr="00F269B3">
        <w:rPr>
          <w:rFonts w:ascii="Times" w:hAnsi="Times" w:cs="Times"/>
          <w:sz w:val="18"/>
          <w:szCs w:val="18"/>
          <w:lang w:val="it-IT"/>
        </w:rPr>
        <w:t>[5] Temba Data on Sierra Leone</w:t>
      </w:r>
    </w:p>
    <w:p w14:paraId="42BFEE28" w14:textId="77777777" w:rsidR="00541725" w:rsidRPr="00F269B3" w:rsidRDefault="00541725" w:rsidP="000F4F0F">
      <w:pPr>
        <w:widowControl w:val="0"/>
        <w:autoSpaceDE w:val="0"/>
        <w:autoSpaceDN w:val="0"/>
        <w:adjustRightInd w:val="0"/>
        <w:spacing w:after="240" w:line="260" w:lineRule="atLeast"/>
        <w:contextualSpacing/>
        <w:rPr>
          <w:rFonts w:ascii="Times" w:hAnsi="Times" w:cs="Times"/>
          <w:sz w:val="18"/>
          <w:szCs w:val="18"/>
          <w:lang w:val="it-IT"/>
        </w:rPr>
      </w:pPr>
    </w:p>
    <w:p w14:paraId="56C69912" w14:textId="48523425" w:rsidR="004043B9" w:rsidRPr="004043B9" w:rsidRDefault="004043B9" w:rsidP="008F783A">
      <w:pPr>
        <w:widowControl w:val="0"/>
        <w:autoSpaceDE w:val="0"/>
        <w:autoSpaceDN w:val="0"/>
        <w:adjustRightInd w:val="0"/>
        <w:spacing w:after="240" w:line="240" w:lineRule="auto"/>
        <w:contextualSpacing/>
        <w:jc w:val="both"/>
        <w:rPr>
          <w:rFonts w:ascii="Times" w:hAnsi="Times" w:cs="Times"/>
          <w:sz w:val="18"/>
          <w:szCs w:val="18"/>
          <w:lang w:val="en-US"/>
        </w:rPr>
      </w:pPr>
      <w:r>
        <w:rPr>
          <w:rFonts w:ascii="MS Mincho" w:eastAsia="MS Mincho" w:hAnsi="MS Mincho" w:cs="MS Mincho"/>
          <w:sz w:val="26"/>
          <w:szCs w:val="26"/>
          <w:lang w:val="en-US"/>
        </w:rPr>
        <w:t> </w:t>
      </w:r>
    </w:p>
    <w:p w14:paraId="11588EFD" w14:textId="768A08DE" w:rsidR="00CC548D" w:rsidRPr="00CC548D" w:rsidRDefault="00541725" w:rsidP="00541725">
      <w:pPr>
        <w:widowControl w:val="0"/>
        <w:autoSpaceDE w:val="0"/>
        <w:autoSpaceDN w:val="0"/>
        <w:adjustRightInd w:val="0"/>
        <w:spacing w:after="240" w:line="200" w:lineRule="atLeast"/>
        <w:jc w:val="both"/>
        <w:rPr>
          <w:rFonts w:ascii="Times" w:hAnsi="Times" w:cs="Times"/>
          <w:sz w:val="18"/>
          <w:szCs w:val="18"/>
          <w:lang w:val="en-US"/>
        </w:rPr>
      </w:pPr>
      <w:r w:rsidRPr="00CC548D">
        <w:rPr>
          <w:rFonts w:ascii="Times" w:hAnsi="Times" w:cs="Times"/>
          <w:sz w:val="18"/>
          <w:szCs w:val="18"/>
          <w:lang w:val="en-US"/>
        </w:rPr>
        <w:t xml:space="preserve"> </w:t>
      </w:r>
    </w:p>
    <w:p w14:paraId="1BD40C62" w14:textId="20EFAA2A" w:rsidR="00EF5FA3" w:rsidRDefault="00EF5FA3" w:rsidP="00541725">
      <w:pPr>
        <w:widowControl w:val="0"/>
        <w:tabs>
          <w:tab w:val="left" w:pos="220"/>
          <w:tab w:val="left" w:pos="720"/>
        </w:tabs>
        <w:autoSpaceDE w:val="0"/>
        <w:autoSpaceDN w:val="0"/>
        <w:adjustRightInd w:val="0"/>
        <w:spacing w:after="240" w:line="200" w:lineRule="atLeast"/>
        <w:jc w:val="both"/>
        <w:rPr>
          <w:rFonts w:ascii="Calibri" w:eastAsia="Calibri" w:hAnsi="Calibri" w:cs="Calibri"/>
          <w:sz w:val="20"/>
          <w:szCs w:val="20"/>
        </w:rPr>
        <w:sectPr w:rsidR="00EF5FA3">
          <w:type w:val="continuous"/>
          <w:pgSz w:w="12240" w:h="15840"/>
          <w:pgMar w:top="1440" w:right="1440" w:bottom="1440" w:left="1440" w:header="431" w:footer="431" w:gutter="0"/>
          <w:cols w:num="2" w:space="720" w:equalWidth="0">
            <w:col w:w="4500" w:space="360"/>
            <w:col w:w="4500" w:space="0"/>
          </w:cols>
        </w:sectPr>
      </w:pPr>
    </w:p>
    <w:p w14:paraId="6F2A5112" w14:textId="19167E9C" w:rsidR="00EF5FA3" w:rsidRPr="00541725" w:rsidRDefault="00EF5FA3" w:rsidP="009F5E62">
      <w:pPr>
        <w:rPr>
          <w:sz w:val="20"/>
          <w:szCs w:val="20"/>
        </w:rPr>
      </w:pPr>
    </w:p>
    <w:sectPr w:rsidR="00EF5FA3" w:rsidRPr="00541725">
      <w:type w:val="continuous"/>
      <w:pgSz w:w="12240" w:h="15840"/>
      <w:pgMar w:top="1440" w:right="1440" w:bottom="1440" w:left="144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DA90" w14:textId="77777777" w:rsidR="00296468" w:rsidRDefault="00296468">
      <w:pPr>
        <w:spacing w:line="240" w:lineRule="auto"/>
      </w:pPr>
      <w:r>
        <w:separator/>
      </w:r>
    </w:p>
  </w:endnote>
  <w:endnote w:type="continuationSeparator" w:id="0">
    <w:p w14:paraId="0E91BA36" w14:textId="77777777" w:rsidR="00296468" w:rsidRDefault="0029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7AD0" w14:textId="317FCFCB" w:rsidR="00EF5FA3" w:rsidRDefault="001653F0">
    <w:pPr>
      <w:tabs>
        <w:tab w:val="right" w:pos="9345"/>
      </w:tabs>
      <w:rPr>
        <w:rFonts w:ascii="Calibri" w:eastAsia="Calibri" w:hAnsi="Calibri" w:cs="Calibri"/>
        <w:sz w:val="16"/>
        <w:szCs w:val="16"/>
      </w:rPr>
    </w:pPr>
    <w:r>
      <w:rPr>
        <w:rFonts w:ascii="Calibri" w:eastAsia="Calibri" w:hAnsi="Calibri" w:cs="Calibri"/>
        <w:sz w:val="16"/>
        <w:szCs w:val="16"/>
      </w:rPr>
      <w:t>This policy brief was written as an exercise for the Summer School on Modelling, June 2019.  Results and implications included in this note do not reflect the opinions of the UN or associated organizations  and should not be relied on for policy decisions.</w:t>
    </w:r>
    <w:r>
      <w:rPr>
        <w:rFonts w:ascii="Calibri" w:eastAsia="Calibri" w:hAnsi="Calibri" w:cs="Calibri"/>
        <w:sz w:val="16"/>
        <w:szCs w:val="16"/>
      </w:rPr>
      <w:tab/>
    </w: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sidR="0058644D">
      <w:rPr>
        <w:rFonts w:ascii="Calibri" w:eastAsia="Calibri" w:hAnsi="Calibri" w:cs="Calibri"/>
        <w:noProof/>
        <w:sz w:val="16"/>
        <w:szCs w:val="16"/>
      </w:rPr>
      <w:t>1</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F8D4" w14:textId="77777777" w:rsidR="00296468" w:rsidRDefault="00296468">
      <w:pPr>
        <w:spacing w:line="240" w:lineRule="auto"/>
      </w:pPr>
      <w:r>
        <w:separator/>
      </w:r>
    </w:p>
  </w:footnote>
  <w:footnote w:type="continuationSeparator" w:id="0">
    <w:p w14:paraId="5053F40A" w14:textId="77777777" w:rsidR="00296468" w:rsidRDefault="00296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56BC" w14:textId="314BBA72" w:rsidR="00EF5FA3" w:rsidRDefault="001653F0">
    <w:pPr>
      <w:jc w:val="center"/>
    </w:pPr>
    <w:r>
      <w:rPr>
        <w:b/>
        <w:noProof/>
        <w:sz w:val="24"/>
        <w:szCs w:val="24"/>
        <w:lang w:val="en-US"/>
      </w:rPr>
      <w:drawing>
        <wp:inline distT="114300" distB="114300" distL="114300" distR="114300" wp14:anchorId="5C0E2572" wp14:editId="25BF7E60">
          <wp:extent cx="1366838" cy="38467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6838" cy="384679"/>
                  </a:xfrm>
                  <a:prstGeom prst="rect">
                    <a:avLst/>
                  </a:prstGeom>
                  <a:ln/>
                </pic:spPr>
              </pic:pic>
            </a:graphicData>
          </a:graphic>
        </wp:inline>
      </w:drawing>
    </w:r>
    <w:r w:rsidR="00F269B3">
      <w:t xml:space="preserve"> </w:t>
    </w:r>
    <w:r>
      <w:rPr>
        <w:b/>
        <w:noProof/>
        <w:sz w:val="24"/>
        <w:szCs w:val="24"/>
        <w:lang w:val="en-US"/>
      </w:rPr>
      <w:drawing>
        <wp:inline distT="114300" distB="114300" distL="114300" distR="114300" wp14:anchorId="3E5FFB4C" wp14:editId="033864F6">
          <wp:extent cx="862013" cy="341833"/>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62013" cy="341833"/>
                  </a:xfrm>
                  <a:prstGeom prst="rect">
                    <a:avLst/>
                  </a:prstGeom>
                  <a:ln/>
                </pic:spPr>
              </pic:pic>
            </a:graphicData>
          </a:graphic>
        </wp:inline>
      </w:drawing>
    </w:r>
    <w:r w:rsidR="00F269B3">
      <w:t xml:space="preserve"> </w:t>
    </w:r>
    <w:r>
      <w:rPr>
        <w:b/>
        <w:noProof/>
        <w:sz w:val="24"/>
        <w:szCs w:val="24"/>
        <w:lang w:val="en-US"/>
      </w:rPr>
      <w:drawing>
        <wp:inline distT="114300" distB="114300" distL="114300" distR="114300" wp14:anchorId="2585D662" wp14:editId="1A7E3D1B">
          <wp:extent cx="766763" cy="31456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66763" cy="314569"/>
                  </a:xfrm>
                  <a:prstGeom prst="rect">
                    <a:avLst/>
                  </a:prstGeom>
                  <a:ln/>
                </pic:spPr>
              </pic:pic>
            </a:graphicData>
          </a:graphic>
        </wp:inline>
      </w:drawing>
    </w:r>
    <w:r w:rsidR="00F269B3">
      <w:t xml:space="preserve">  </w:t>
    </w:r>
    <w:r>
      <w:rPr>
        <w:b/>
        <w:noProof/>
        <w:sz w:val="24"/>
        <w:szCs w:val="24"/>
        <w:lang w:val="en-US"/>
      </w:rPr>
      <w:drawing>
        <wp:inline distT="114300" distB="114300" distL="114300" distR="114300" wp14:anchorId="77FAF492" wp14:editId="718574FB">
          <wp:extent cx="1465263" cy="309563"/>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465263" cy="309563"/>
                  </a:xfrm>
                  <a:prstGeom prst="rect">
                    <a:avLst/>
                  </a:prstGeom>
                  <a:ln/>
                </pic:spPr>
              </pic:pic>
            </a:graphicData>
          </a:graphic>
        </wp:inline>
      </w:drawing>
    </w:r>
    <w:r w:rsidR="00F269B3">
      <w:t xml:space="preserve">   </w:t>
    </w:r>
    <w:r>
      <w:rPr>
        <w:b/>
        <w:noProof/>
        <w:sz w:val="24"/>
        <w:szCs w:val="24"/>
        <w:lang w:val="en-US"/>
      </w:rPr>
      <w:drawing>
        <wp:inline distT="114300" distB="114300" distL="114300" distR="114300" wp14:anchorId="27E5A969" wp14:editId="30A0EE19">
          <wp:extent cx="304800" cy="51435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304800" cy="514350"/>
                  </a:xfrm>
                  <a:prstGeom prst="rect">
                    <a:avLst/>
                  </a:prstGeom>
                  <a:ln/>
                </pic:spPr>
              </pic:pic>
            </a:graphicData>
          </a:graphic>
        </wp:inline>
      </w:drawing>
    </w:r>
    <w:r w:rsidR="00F269B3">
      <w:t xml:space="preserve">   </w:t>
    </w:r>
    <w:r>
      <w:rPr>
        <w:b/>
        <w:noProof/>
        <w:sz w:val="24"/>
        <w:szCs w:val="24"/>
        <w:lang w:val="en-US"/>
      </w:rPr>
      <w:drawing>
        <wp:inline distT="114300" distB="114300" distL="114300" distR="114300" wp14:anchorId="28DAFD77" wp14:editId="743A8389">
          <wp:extent cx="385763" cy="417909"/>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85763" cy="417909"/>
                  </a:xfrm>
                  <a:prstGeom prst="rect">
                    <a:avLst/>
                  </a:prstGeom>
                  <a:ln/>
                </pic:spPr>
              </pic:pic>
            </a:graphicData>
          </a:graphic>
        </wp:inline>
      </w:drawing>
    </w:r>
    <w:r w:rsidR="00F269B3">
      <w:rPr>
        <w:b/>
        <w:noProof/>
        <w:sz w:val="24"/>
        <w:szCs w:val="24"/>
        <w:lang w:val="en-US"/>
      </w:rPr>
      <w:t xml:space="preserve"> </w:t>
    </w:r>
    <w:r>
      <w:rPr>
        <w:b/>
        <w:noProof/>
        <w:sz w:val="24"/>
        <w:szCs w:val="24"/>
        <w:lang w:val="en-US"/>
      </w:rPr>
      <w:drawing>
        <wp:inline distT="114300" distB="114300" distL="114300" distR="114300" wp14:anchorId="03D51FA6" wp14:editId="222BE6F8">
          <wp:extent cx="1724025" cy="20955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1724025" cy="209550"/>
                  </a:xfrm>
                  <a:prstGeom prst="rect">
                    <a:avLst/>
                  </a:prstGeom>
                  <a:ln/>
                </pic:spPr>
              </pic:pic>
            </a:graphicData>
          </a:graphic>
        </wp:inline>
      </w:drawing>
    </w:r>
    <w:r w:rsidR="00F269B3">
      <w:rPr>
        <w:b/>
        <w:noProof/>
        <w:sz w:val="24"/>
        <w:szCs w:val="24"/>
        <w:lang w:val="en-US"/>
      </w:rPr>
      <w:t xml:space="preserve">  </w:t>
    </w:r>
    <w:r>
      <w:rPr>
        <w:b/>
        <w:noProof/>
        <w:sz w:val="24"/>
        <w:szCs w:val="24"/>
        <w:lang w:val="en-US"/>
      </w:rPr>
      <w:drawing>
        <wp:inline distT="114300" distB="114300" distL="114300" distR="114300" wp14:anchorId="09486C66" wp14:editId="3A73304A">
          <wp:extent cx="1081088" cy="274306"/>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81088" cy="274306"/>
                  </a:xfrm>
                  <a:prstGeom prst="rect">
                    <a:avLst/>
                  </a:prstGeom>
                  <a:ln/>
                </pic:spPr>
              </pic:pic>
            </a:graphicData>
          </a:graphic>
        </wp:inline>
      </w:drawing>
    </w:r>
    <w:r w:rsidR="00F269B3">
      <w:rPr>
        <w:b/>
        <w:noProof/>
        <w:sz w:val="24"/>
        <w:szCs w:val="24"/>
        <w:lang w:val="en-US"/>
      </w:rPr>
      <w:t xml:space="preserve">  </w:t>
    </w:r>
    <w:r>
      <w:rPr>
        <w:b/>
        <w:noProof/>
        <w:sz w:val="24"/>
        <w:szCs w:val="24"/>
        <w:lang w:val="en-US"/>
      </w:rPr>
      <w:drawing>
        <wp:inline distT="114300" distB="114300" distL="114300" distR="114300" wp14:anchorId="7010594D" wp14:editId="3E3ED7AF">
          <wp:extent cx="1290638" cy="406639"/>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290638" cy="406639"/>
                  </a:xfrm>
                  <a:prstGeom prst="rect">
                    <a:avLst/>
                  </a:prstGeom>
                  <a:ln/>
                </pic:spPr>
              </pic:pic>
            </a:graphicData>
          </a:graphic>
        </wp:inline>
      </w:drawing>
    </w:r>
    <w:r w:rsidR="00F269B3">
      <w:rPr>
        <w:b/>
        <w:noProof/>
        <w:sz w:val="24"/>
        <w:szCs w:val="24"/>
        <w:lang w:val="en-US"/>
      </w:rPr>
      <w:t xml:space="preserve">   </w:t>
    </w:r>
    <w:r>
      <w:rPr>
        <w:b/>
        <w:noProof/>
        <w:sz w:val="24"/>
        <w:szCs w:val="24"/>
        <w:lang w:val="en-US"/>
      </w:rPr>
      <w:drawing>
        <wp:inline distT="114300" distB="114300" distL="114300" distR="114300" wp14:anchorId="0BE52008" wp14:editId="700A8302">
          <wp:extent cx="838200" cy="3429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838200" cy="342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952415"/>
    <w:multiLevelType w:val="hybridMultilevel"/>
    <w:tmpl w:val="CE066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9508B2"/>
    <w:multiLevelType w:val="hybridMultilevel"/>
    <w:tmpl w:val="860615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AC2702B"/>
    <w:multiLevelType w:val="hybridMultilevel"/>
    <w:tmpl w:val="BD84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058E5"/>
    <w:multiLevelType w:val="hybridMultilevel"/>
    <w:tmpl w:val="286E64EC"/>
    <w:lvl w:ilvl="0" w:tplc="2724F662">
      <w:start w:val="1"/>
      <w:numFmt w:val="decimal"/>
      <w:lvlText w:val="%1."/>
      <w:lvlJc w:val="left"/>
      <w:pPr>
        <w:tabs>
          <w:tab w:val="num" w:pos="720"/>
        </w:tabs>
        <w:ind w:left="720" w:hanging="360"/>
      </w:pPr>
    </w:lvl>
    <w:lvl w:ilvl="1" w:tplc="C34E251A" w:tentative="1">
      <w:start w:val="1"/>
      <w:numFmt w:val="decimal"/>
      <w:lvlText w:val="%2."/>
      <w:lvlJc w:val="left"/>
      <w:pPr>
        <w:tabs>
          <w:tab w:val="num" w:pos="1440"/>
        </w:tabs>
        <w:ind w:left="1440" w:hanging="360"/>
      </w:pPr>
    </w:lvl>
    <w:lvl w:ilvl="2" w:tplc="9DCC43BC" w:tentative="1">
      <w:start w:val="1"/>
      <w:numFmt w:val="decimal"/>
      <w:lvlText w:val="%3."/>
      <w:lvlJc w:val="left"/>
      <w:pPr>
        <w:tabs>
          <w:tab w:val="num" w:pos="2160"/>
        </w:tabs>
        <w:ind w:left="2160" w:hanging="360"/>
      </w:pPr>
    </w:lvl>
    <w:lvl w:ilvl="3" w:tplc="12B0458A" w:tentative="1">
      <w:start w:val="1"/>
      <w:numFmt w:val="decimal"/>
      <w:lvlText w:val="%4."/>
      <w:lvlJc w:val="left"/>
      <w:pPr>
        <w:tabs>
          <w:tab w:val="num" w:pos="2880"/>
        </w:tabs>
        <w:ind w:left="2880" w:hanging="360"/>
      </w:pPr>
    </w:lvl>
    <w:lvl w:ilvl="4" w:tplc="54A6CF40" w:tentative="1">
      <w:start w:val="1"/>
      <w:numFmt w:val="decimal"/>
      <w:lvlText w:val="%5."/>
      <w:lvlJc w:val="left"/>
      <w:pPr>
        <w:tabs>
          <w:tab w:val="num" w:pos="3600"/>
        </w:tabs>
        <w:ind w:left="3600" w:hanging="360"/>
      </w:pPr>
    </w:lvl>
    <w:lvl w:ilvl="5" w:tplc="70FC0576" w:tentative="1">
      <w:start w:val="1"/>
      <w:numFmt w:val="decimal"/>
      <w:lvlText w:val="%6."/>
      <w:lvlJc w:val="left"/>
      <w:pPr>
        <w:tabs>
          <w:tab w:val="num" w:pos="4320"/>
        </w:tabs>
        <w:ind w:left="4320" w:hanging="360"/>
      </w:pPr>
    </w:lvl>
    <w:lvl w:ilvl="6" w:tplc="C8FE2AD2" w:tentative="1">
      <w:start w:val="1"/>
      <w:numFmt w:val="decimal"/>
      <w:lvlText w:val="%7."/>
      <w:lvlJc w:val="left"/>
      <w:pPr>
        <w:tabs>
          <w:tab w:val="num" w:pos="5040"/>
        </w:tabs>
        <w:ind w:left="5040" w:hanging="360"/>
      </w:pPr>
    </w:lvl>
    <w:lvl w:ilvl="7" w:tplc="1CD807AE" w:tentative="1">
      <w:start w:val="1"/>
      <w:numFmt w:val="decimal"/>
      <w:lvlText w:val="%8."/>
      <w:lvlJc w:val="left"/>
      <w:pPr>
        <w:tabs>
          <w:tab w:val="num" w:pos="5760"/>
        </w:tabs>
        <w:ind w:left="5760" w:hanging="360"/>
      </w:pPr>
    </w:lvl>
    <w:lvl w:ilvl="8" w:tplc="0254BBCC" w:tentative="1">
      <w:start w:val="1"/>
      <w:numFmt w:val="decimal"/>
      <w:lvlText w:val="%9."/>
      <w:lvlJc w:val="left"/>
      <w:pPr>
        <w:tabs>
          <w:tab w:val="num" w:pos="6480"/>
        </w:tabs>
        <w:ind w:left="6480" w:hanging="360"/>
      </w:pPr>
    </w:lvl>
  </w:abstractNum>
  <w:abstractNum w:abstractNumId="5" w15:restartNumberingAfterBreak="0">
    <w:nsid w:val="58DA65EE"/>
    <w:multiLevelType w:val="hybridMultilevel"/>
    <w:tmpl w:val="6F1AC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33B43"/>
    <w:multiLevelType w:val="hybridMultilevel"/>
    <w:tmpl w:val="7EDC4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524FE2"/>
    <w:multiLevelType w:val="hybridMultilevel"/>
    <w:tmpl w:val="B4E8BE54"/>
    <w:lvl w:ilvl="0" w:tplc="1DF46A2E">
      <w:start w:val="3"/>
      <w:numFmt w:val="decimal"/>
      <w:lvlText w:val="%1."/>
      <w:lvlJc w:val="left"/>
      <w:pPr>
        <w:tabs>
          <w:tab w:val="num" w:pos="720"/>
        </w:tabs>
        <w:ind w:left="720" w:hanging="360"/>
      </w:pPr>
    </w:lvl>
    <w:lvl w:ilvl="1" w:tplc="D5FA8F16" w:tentative="1">
      <w:start w:val="1"/>
      <w:numFmt w:val="decimal"/>
      <w:lvlText w:val="%2."/>
      <w:lvlJc w:val="left"/>
      <w:pPr>
        <w:tabs>
          <w:tab w:val="num" w:pos="1440"/>
        </w:tabs>
        <w:ind w:left="1440" w:hanging="360"/>
      </w:pPr>
    </w:lvl>
    <w:lvl w:ilvl="2" w:tplc="B6428FA2" w:tentative="1">
      <w:start w:val="1"/>
      <w:numFmt w:val="decimal"/>
      <w:lvlText w:val="%3."/>
      <w:lvlJc w:val="left"/>
      <w:pPr>
        <w:tabs>
          <w:tab w:val="num" w:pos="2160"/>
        </w:tabs>
        <w:ind w:left="2160" w:hanging="360"/>
      </w:pPr>
    </w:lvl>
    <w:lvl w:ilvl="3" w:tplc="C5969498" w:tentative="1">
      <w:start w:val="1"/>
      <w:numFmt w:val="decimal"/>
      <w:lvlText w:val="%4."/>
      <w:lvlJc w:val="left"/>
      <w:pPr>
        <w:tabs>
          <w:tab w:val="num" w:pos="2880"/>
        </w:tabs>
        <w:ind w:left="2880" w:hanging="360"/>
      </w:pPr>
    </w:lvl>
    <w:lvl w:ilvl="4" w:tplc="0360D874" w:tentative="1">
      <w:start w:val="1"/>
      <w:numFmt w:val="decimal"/>
      <w:lvlText w:val="%5."/>
      <w:lvlJc w:val="left"/>
      <w:pPr>
        <w:tabs>
          <w:tab w:val="num" w:pos="3600"/>
        </w:tabs>
        <w:ind w:left="3600" w:hanging="360"/>
      </w:pPr>
    </w:lvl>
    <w:lvl w:ilvl="5" w:tplc="56322E4A" w:tentative="1">
      <w:start w:val="1"/>
      <w:numFmt w:val="decimal"/>
      <w:lvlText w:val="%6."/>
      <w:lvlJc w:val="left"/>
      <w:pPr>
        <w:tabs>
          <w:tab w:val="num" w:pos="4320"/>
        </w:tabs>
        <w:ind w:left="4320" w:hanging="360"/>
      </w:pPr>
    </w:lvl>
    <w:lvl w:ilvl="6" w:tplc="52CCB836" w:tentative="1">
      <w:start w:val="1"/>
      <w:numFmt w:val="decimal"/>
      <w:lvlText w:val="%7."/>
      <w:lvlJc w:val="left"/>
      <w:pPr>
        <w:tabs>
          <w:tab w:val="num" w:pos="5040"/>
        </w:tabs>
        <w:ind w:left="5040" w:hanging="360"/>
      </w:pPr>
    </w:lvl>
    <w:lvl w:ilvl="7" w:tplc="7B3E6526" w:tentative="1">
      <w:start w:val="1"/>
      <w:numFmt w:val="decimal"/>
      <w:lvlText w:val="%8."/>
      <w:lvlJc w:val="left"/>
      <w:pPr>
        <w:tabs>
          <w:tab w:val="num" w:pos="5760"/>
        </w:tabs>
        <w:ind w:left="5760" w:hanging="360"/>
      </w:pPr>
    </w:lvl>
    <w:lvl w:ilvl="8" w:tplc="D7463B26" w:tentative="1">
      <w:start w:val="1"/>
      <w:numFmt w:val="decimal"/>
      <w:lvlText w:val="%9."/>
      <w:lvlJc w:val="left"/>
      <w:pPr>
        <w:tabs>
          <w:tab w:val="num" w:pos="6480"/>
        </w:tabs>
        <w:ind w:left="6480" w:hanging="360"/>
      </w:pPr>
    </w:lvl>
  </w:abstractNum>
  <w:abstractNum w:abstractNumId="8" w15:restartNumberingAfterBreak="0">
    <w:nsid w:val="6BB6610F"/>
    <w:multiLevelType w:val="hybridMultilevel"/>
    <w:tmpl w:val="168A1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B8566B"/>
    <w:multiLevelType w:val="hybridMultilevel"/>
    <w:tmpl w:val="0962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A3"/>
    <w:rsid w:val="000038F4"/>
    <w:rsid w:val="000131DD"/>
    <w:rsid w:val="000161B5"/>
    <w:rsid w:val="00020026"/>
    <w:rsid w:val="0002630B"/>
    <w:rsid w:val="00035A25"/>
    <w:rsid w:val="00050A06"/>
    <w:rsid w:val="000576F8"/>
    <w:rsid w:val="000636F3"/>
    <w:rsid w:val="00071E8F"/>
    <w:rsid w:val="00083E43"/>
    <w:rsid w:val="000A41A5"/>
    <w:rsid w:val="000A629F"/>
    <w:rsid w:val="000C489B"/>
    <w:rsid w:val="000C58A2"/>
    <w:rsid w:val="000D3D18"/>
    <w:rsid w:val="000D6CD5"/>
    <w:rsid w:val="000F4F0F"/>
    <w:rsid w:val="0010171A"/>
    <w:rsid w:val="00110D23"/>
    <w:rsid w:val="00115C82"/>
    <w:rsid w:val="00117E8C"/>
    <w:rsid w:val="00132884"/>
    <w:rsid w:val="00141C15"/>
    <w:rsid w:val="00143440"/>
    <w:rsid w:val="00153EA9"/>
    <w:rsid w:val="001541BA"/>
    <w:rsid w:val="001653F0"/>
    <w:rsid w:val="00196419"/>
    <w:rsid w:val="001D36B8"/>
    <w:rsid w:val="001D5462"/>
    <w:rsid w:val="001D79A5"/>
    <w:rsid w:val="001E59F6"/>
    <w:rsid w:val="001F195C"/>
    <w:rsid w:val="00227155"/>
    <w:rsid w:val="002745D9"/>
    <w:rsid w:val="0028647D"/>
    <w:rsid w:val="00296468"/>
    <w:rsid w:val="002D1B79"/>
    <w:rsid w:val="003135AF"/>
    <w:rsid w:val="00325CD4"/>
    <w:rsid w:val="00331447"/>
    <w:rsid w:val="00335C9F"/>
    <w:rsid w:val="00357B8D"/>
    <w:rsid w:val="003747FB"/>
    <w:rsid w:val="003C747E"/>
    <w:rsid w:val="003D480E"/>
    <w:rsid w:val="003E5B29"/>
    <w:rsid w:val="004043B9"/>
    <w:rsid w:val="004121B2"/>
    <w:rsid w:val="00415B89"/>
    <w:rsid w:val="00441652"/>
    <w:rsid w:val="00463F3F"/>
    <w:rsid w:val="00465361"/>
    <w:rsid w:val="0047013E"/>
    <w:rsid w:val="00476727"/>
    <w:rsid w:val="00482D5D"/>
    <w:rsid w:val="00483BCF"/>
    <w:rsid w:val="004850AF"/>
    <w:rsid w:val="004968A9"/>
    <w:rsid w:val="004A2D1F"/>
    <w:rsid w:val="004B435E"/>
    <w:rsid w:val="004D0A09"/>
    <w:rsid w:val="004F344D"/>
    <w:rsid w:val="004F3CD2"/>
    <w:rsid w:val="00503703"/>
    <w:rsid w:val="005353A7"/>
    <w:rsid w:val="00541725"/>
    <w:rsid w:val="00543774"/>
    <w:rsid w:val="00566244"/>
    <w:rsid w:val="00582A04"/>
    <w:rsid w:val="0058644D"/>
    <w:rsid w:val="005A551A"/>
    <w:rsid w:val="005C21DF"/>
    <w:rsid w:val="005F026B"/>
    <w:rsid w:val="00602041"/>
    <w:rsid w:val="0064472C"/>
    <w:rsid w:val="00665739"/>
    <w:rsid w:val="006954DD"/>
    <w:rsid w:val="006D16FE"/>
    <w:rsid w:val="006E448E"/>
    <w:rsid w:val="006E6D7B"/>
    <w:rsid w:val="006F3CA0"/>
    <w:rsid w:val="007074F3"/>
    <w:rsid w:val="007145B5"/>
    <w:rsid w:val="007436FD"/>
    <w:rsid w:val="00754580"/>
    <w:rsid w:val="00776CEA"/>
    <w:rsid w:val="00781742"/>
    <w:rsid w:val="007933A0"/>
    <w:rsid w:val="007B220B"/>
    <w:rsid w:val="007B3428"/>
    <w:rsid w:val="007B52D4"/>
    <w:rsid w:val="007C24F1"/>
    <w:rsid w:val="007D2D6E"/>
    <w:rsid w:val="007D6435"/>
    <w:rsid w:val="00802DC4"/>
    <w:rsid w:val="008344EE"/>
    <w:rsid w:val="008364BE"/>
    <w:rsid w:val="008447B0"/>
    <w:rsid w:val="00857898"/>
    <w:rsid w:val="0086342E"/>
    <w:rsid w:val="00863F30"/>
    <w:rsid w:val="008702C9"/>
    <w:rsid w:val="00870711"/>
    <w:rsid w:val="00887321"/>
    <w:rsid w:val="008A5266"/>
    <w:rsid w:val="008A5BC4"/>
    <w:rsid w:val="008A7CF9"/>
    <w:rsid w:val="008C1609"/>
    <w:rsid w:val="008C3EA8"/>
    <w:rsid w:val="008D2E97"/>
    <w:rsid w:val="008E1F94"/>
    <w:rsid w:val="008F783A"/>
    <w:rsid w:val="00901B2A"/>
    <w:rsid w:val="00913344"/>
    <w:rsid w:val="00917B29"/>
    <w:rsid w:val="009239EC"/>
    <w:rsid w:val="00923BE8"/>
    <w:rsid w:val="00926DC2"/>
    <w:rsid w:val="0093183C"/>
    <w:rsid w:val="0094414C"/>
    <w:rsid w:val="009464B6"/>
    <w:rsid w:val="00960B5F"/>
    <w:rsid w:val="00965486"/>
    <w:rsid w:val="0097408F"/>
    <w:rsid w:val="009819B3"/>
    <w:rsid w:val="009856FA"/>
    <w:rsid w:val="009A0BB9"/>
    <w:rsid w:val="009A0CE5"/>
    <w:rsid w:val="009A58F3"/>
    <w:rsid w:val="009F5A78"/>
    <w:rsid w:val="009F5E62"/>
    <w:rsid w:val="00A105F5"/>
    <w:rsid w:val="00A22262"/>
    <w:rsid w:val="00A23ED6"/>
    <w:rsid w:val="00A43355"/>
    <w:rsid w:val="00A609FF"/>
    <w:rsid w:val="00A65E1E"/>
    <w:rsid w:val="00A66A44"/>
    <w:rsid w:val="00A8706B"/>
    <w:rsid w:val="00A90CD7"/>
    <w:rsid w:val="00AA1D22"/>
    <w:rsid w:val="00AA212B"/>
    <w:rsid w:val="00AB102B"/>
    <w:rsid w:val="00AB4D60"/>
    <w:rsid w:val="00AC4359"/>
    <w:rsid w:val="00AD6699"/>
    <w:rsid w:val="00AE25C0"/>
    <w:rsid w:val="00B03717"/>
    <w:rsid w:val="00B376BC"/>
    <w:rsid w:val="00B933A7"/>
    <w:rsid w:val="00B96481"/>
    <w:rsid w:val="00B9715F"/>
    <w:rsid w:val="00BB7627"/>
    <w:rsid w:val="00BE7A8F"/>
    <w:rsid w:val="00C40561"/>
    <w:rsid w:val="00C61A41"/>
    <w:rsid w:val="00C70CC9"/>
    <w:rsid w:val="00C7647D"/>
    <w:rsid w:val="00C81005"/>
    <w:rsid w:val="00C91643"/>
    <w:rsid w:val="00C97A3D"/>
    <w:rsid w:val="00CA2DA3"/>
    <w:rsid w:val="00CB717A"/>
    <w:rsid w:val="00CC548D"/>
    <w:rsid w:val="00CE59F9"/>
    <w:rsid w:val="00D029D2"/>
    <w:rsid w:val="00D26893"/>
    <w:rsid w:val="00D42F5E"/>
    <w:rsid w:val="00D45BAE"/>
    <w:rsid w:val="00D67BD2"/>
    <w:rsid w:val="00D82228"/>
    <w:rsid w:val="00D83899"/>
    <w:rsid w:val="00DC2D5C"/>
    <w:rsid w:val="00E1682C"/>
    <w:rsid w:val="00E22D41"/>
    <w:rsid w:val="00E32CCC"/>
    <w:rsid w:val="00E36CE8"/>
    <w:rsid w:val="00E54BB5"/>
    <w:rsid w:val="00E63420"/>
    <w:rsid w:val="00E65D5E"/>
    <w:rsid w:val="00E7314E"/>
    <w:rsid w:val="00E812BA"/>
    <w:rsid w:val="00E877A7"/>
    <w:rsid w:val="00EA5062"/>
    <w:rsid w:val="00EB5304"/>
    <w:rsid w:val="00EC3BA4"/>
    <w:rsid w:val="00EF5FA3"/>
    <w:rsid w:val="00F029B4"/>
    <w:rsid w:val="00F02DAB"/>
    <w:rsid w:val="00F06716"/>
    <w:rsid w:val="00F269B3"/>
    <w:rsid w:val="00F300D1"/>
    <w:rsid w:val="00F3327D"/>
    <w:rsid w:val="00F35FB4"/>
    <w:rsid w:val="00F37210"/>
    <w:rsid w:val="00F55208"/>
    <w:rsid w:val="00F84B2E"/>
    <w:rsid w:val="00F947A7"/>
    <w:rsid w:val="00FD6D19"/>
    <w:rsid w:val="00FE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CCD0"/>
  <w15:docId w15:val="{B3CE9239-8ABF-42F9-A972-AE2FC03F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5FB4"/>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B933A7"/>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BB7627"/>
    <w:pPr>
      <w:ind w:left="720"/>
      <w:contextualSpacing/>
    </w:pPr>
  </w:style>
  <w:style w:type="paragraph" w:styleId="Revision">
    <w:name w:val="Revision"/>
    <w:hidden/>
    <w:uiPriority w:val="99"/>
    <w:semiHidden/>
    <w:rsid w:val="001E59F6"/>
    <w:pPr>
      <w:spacing w:line="240" w:lineRule="auto"/>
    </w:pPr>
  </w:style>
  <w:style w:type="paragraph" w:styleId="BalloonText">
    <w:name w:val="Balloon Text"/>
    <w:basedOn w:val="Normal"/>
    <w:link w:val="BalloonTextChar"/>
    <w:uiPriority w:val="99"/>
    <w:semiHidden/>
    <w:unhideWhenUsed/>
    <w:rsid w:val="001E59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9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59F6"/>
    <w:rPr>
      <w:sz w:val="18"/>
      <w:szCs w:val="18"/>
    </w:rPr>
  </w:style>
  <w:style w:type="paragraph" w:styleId="CommentText">
    <w:name w:val="annotation text"/>
    <w:basedOn w:val="Normal"/>
    <w:link w:val="CommentTextChar"/>
    <w:uiPriority w:val="99"/>
    <w:semiHidden/>
    <w:unhideWhenUsed/>
    <w:rsid w:val="001E59F6"/>
    <w:pPr>
      <w:spacing w:line="240" w:lineRule="auto"/>
    </w:pPr>
    <w:rPr>
      <w:sz w:val="24"/>
      <w:szCs w:val="24"/>
    </w:rPr>
  </w:style>
  <w:style w:type="character" w:customStyle="1" w:styleId="CommentTextChar">
    <w:name w:val="Comment Text Char"/>
    <w:basedOn w:val="DefaultParagraphFont"/>
    <w:link w:val="CommentText"/>
    <w:uiPriority w:val="99"/>
    <w:semiHidden/>
    <w:rsid w:val="001E59F6"/>
    <w:rPr>
      <w:sz w:val="24"/>
      <w:szCs w:val="24"/>
    </w:rPr>
  </w:style>
  <w:style w:type="paragraph" w:styleId="CommentSubject">
    <w:name w:val="annotation subject"/>
    <w:basedOn w:val="CommentText"/>
    <w:next w:val="CommentText"/>
    <w:link w:val="CommentSubjectChar"/>
    <w:uiPriority w:val="99"/>
    <w:semiHidden/>
    <w:unhideWhenUsed/>
    <w:rsid w:val="001E59F6"/>
    <w:rPr>
      <w:b/>
      <w:bCs/>
      <w:sz w:val="20"/>
      <w:szCs w:val="20"/>
    </w:rPr>
  </w:style>
  <w:style w:type="character" w:customStyle="1" w:styleId="CommentSubjectChar">
    <w:name w:val="Comment Subject Char"/>
    <w:basedOn w:val="CommentTextChar"/>
    <w:link w:val="CommentSubject"/>
    <w:uiPriority w:val="99"/>
    <w:semiHidden/>
    <w:rsid w:val="001E59F6"/>
    <w:rPr>
      <w:b/>
      <w:bCs/>
      <w:sz w:val="20"/>
      <w:szCs w:val="20"/>
    </w:rPr>
  </w:style>
  <w:style w:type="paragraph" w:styleId="Caption">
    <w:name w:val="caption"/>
    <w:basedOn w:val="Normal"/>
    <w:next w:val="Normal"/>
    <w:uiPriority w:val="35"/>
    <w:unhideWhenUsed/>
    <w:qFormat/>
    <w:rsid w:val="00E65D5E"/>
    <w:pPr>
      <w:spacing w:after="200" w:line="240" w:lineRule="auto"/>
    </w:pPr>
    <w:rPr>
      <w:rFonts w:asciiTheme="minorHAnsi" w:eastAsiaTheme="minorHAnsi" w:hAnsiTheme="minorHAnsi" w:cstheme="minorBidi"/>
      <w:i/>
      <w:iCs/>
      <w:color w:val="1F497D" w:themeColor="text2"/>
      <w:sz w:val="18"/>
      <w:szCs w:val="18"/>
      <w:lang w:val="hr-HR"/>
    </w:rPr>
  </w:style>
  <w:style w:type="character" w:styleId="Hyperlink">
    <w:name w:val="Hyperlink"/>
    <w:basedOn w:val="DefaultParagraphFont"/>
    <w:uiPriority w:val="99"/>
    <w:unhideWhenUsed/>
    <w:rsid w:val="008F783A"/>
    <w:rPr>
      <w:color w:val="0000FF" w:themeColor="hyperlink"/>
      <w:u w:val="single"/>
    </w:rPr>
  </w:style>
  <w:style w:type="paragraph" w:styleId="Header">
    <w:name w:val="header"/>
    <w:basedOn w:val="Normal"/>
    <w:link w:val="HeaderChar"/>
    <w:uiPriority w:val="99"/>
    <w:unhideWhenUsed/>
    <w:rsid w:val="00F269B3"/>
    <w:pPr>
      <w:tabs>
        <w:tab w:val="center" w:pos="4513"/>
        <w:tab w:val="right" w:pos="9026"/>
      </w:tabs>
      <w:spacing w:line="240" w:lineRule="auto"/>
    </w:pPr>
  </w:style>
  <w:style w:type="character" w:customStyle="1" w:styleId="HeaderChar">
    <w:name w:val="Header Char"/>
    <w:basedOn w:val="DefaultParagraphFont"/>
    <w:link w:val="Header"/>
    <w:uiPriority w:val="99"/>
    <w:rsid w:val="00F269B3"/>
  </w:style>
  <w:style w:type="paragraph" w:styleId="Footer">
    <w:name w:val="footer"/>
    <w:basedOn w:val="Normal"/>
    <w:link w:val="FooterChar"/>
    <w:uiPriority w:val="99"/>
    <w:unhideWhenUsed/>
    <w:rsid w:val="00F269B3"/>
    <w:pPr>
      <w:tabs>
        <w:tab w:val="center" w:pos="4513"/>
        <w:tab w:val="right" w:pos="9026"/>
      </w:tabs>
      <w:spacing w:line="240" w:lineRule="auto"/>
    </w:pPr>
  </w:style>
  <w:style w:type="character" w:customStyle="1" w:styleId="FooterChar">
    <w:name w:val="Footer Char"/>
    <w:basedOn w:val="DefaultParagraphFont"/>
    <w:link w:val="Footer"/>
    <w:uiPriority w:val="99"/>
    <w:rsid w:val="00F2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144">
      <w:bodyDiv w:val="1"/>
      <w:marLeft w:val="0"/>
      <w:marRight w:val="0"/>
      <w:marTop w:val="0"/>
      <w:marBottom w:val="0"/>
      <w:divBdr>
        <w:top w:val="none" w:sz="0" w:space="0" w:color="auto"/>
        <w:left w:val="none" w:sz="0" w:space="0" w:color="auto"/>
        <w:bottom w:val="none" w:sz="0" w:space="0" w:color="auto"/>
        <w:right w:val="none" w:sz="0" w:space="0" w:color="auto"/>
      </w:divBdr>
    </w:div>
    <w:div w:id="268464786">
      <w:bodyDiv w:val="1"/>
      <w:marLeft w:val="0"/>
      <w:marRight w:val="0"/>
      <w:marTop w:val="0"/>
      <w:marBottom w:val="0"/>
      <w:divBdr>
        <w:top w:val="none" w:sz="0" w:space="0" w:color="auto"/>
        <w:left w:val="none" w:sz="0" w:space="0" w:color="auto"/>
        <w:bottom w:val="none" w:sz="0" w:space="0" w:color="auto"/>
        <w:right w:val="none" w:sz="0" w:space="0" w:color="auto"/>
      </w:divBdr>
    </w:div>
    <w:div w:id="297348040">
      <w:bodyDiv w:val="1"/>
      <w:marLeft w:val="0"/>
      <w:marRight w:val="0"/>
      <w:marTop w:val="0"/>
      <w:marBottom w:val="0"/>
      <w:divBdr>
        <w:top w:val="none" w:sz="0" w:space="0" w:color="auto"/>
        <w:left w:val="none" w:sz="0" w:space="0" w:color="auto"/>
        <w:bottom w:val="none" w:sz="0" w:space="0" w:color="auto"/>
        <w:right w:val="none" w:sz="0" w:space="0" w:color="auto"/>
      </w:divBdr>
    </w:div>
    <w:div w:id="471018838">
      <w:bodyDiv w:val="1"/>
      <w:marLeft w:val="0"/>
      <w:marRight w:val="0"/>
      <w:marTop w:val="0"/>
      <w:marBottom w:val="0"/>
      <w:divBdr>
        <w:top w:val="none" w:sz="0" w:space="0" w:color="auto"/>
        <w:left w:val="none" w:sz="0" w:space="0" w:color="auto"/>
        <w:bottom w:val="none" w:sz="0" w:space="0" w:color="auto"/>
        <w:right w:val="none" w:sz="0" w:space="0" w:color="auto"/>
      </w:divBdr>
    </w:div>
    <w:div w:id="638730309">
      <w:bodyDiv w:val="1"/>
      <w:marLeft w:val="0"/>
      <w:marRight w:val="0"/>
      <w:marTop w:val="0"/>
      <w:marBottom w:val="0"/>
      <w:divBdr>
        <w:top w:val="none" w:sz="0" w:space="0" w:color="auto"/>
        <w:left w:val="none" w:sz="0" w:space="0" w:color="auto"/>
        <w:bottom w:val="none" w:sz="0" w:space="0" w:color="auto"/>
        <w:right w:val="none" w:sz="0" w:space="0" w:color="auto"/>
      </w:divBdr>
    </w:div>
    <w:div w:id="677344187">
      <w:bodyDiv w:val="1"/>
      <w:marLeft w:val="0"/>
      <w:marRight w:val="0"/>
      <w:marTop w:val="0"/>
      <w:marBottom w:val="0"/>
      <w:divBdr>
        <w:top w:val="none" w:sz="0" w:space="0" w:color="auto"/>
        <w:left w:val="none" w:sz="0" w:space="0" w:color="auto"/>
        <w:bottom w:val="none" w:sz="0" w:space="0" w:color="auto"/>
        <w:right w:val="none" w:sz="0" w:space="0" w:color="auto"/>
      </w:divBdr>
      <w:divsChild>
        <w:div w:id="950820123">
          <w:marLeft w:val="720"/>
          <w:marRight w:val="0"/>
          <w:marTop w:val="0"/>
          <w:marBottom w:val="0"/>
          <w:divBdr>
            <w:top w:val="none" w:sz="0" w:space="0" w:color="auto"/>
            <w:left w:val="none" w:sz="0" w:space="0" w:color="auto"/>
            <w:bottom w:val="none" w:sz="0" w:space="0" w:color="auto"/>
            <w:right w:val="none" w:sz="0" w:space="0" w:color="auto"/>
          </w:divBdr>
        </w:div>
        <w:div w:id="524101139">
          <w:marLeft w:val="720"/>
          <w:marRight w:val="0"/>
          <w:marTop w:val="0"/>
          <w:marBottom w:val="0"/>
          <w:divBdr>
            <w:top w:val="none" w:sz="0" w:space="0" w:color="auto"/>
            <w:left w:val="none" w:sz="0" w:space="0" w:color="auto"/>
            <w:bottom w:val="none" w:sz="0" w:space="0" w:color="auto"/>
            <w:right w:val="none" w:sz="0" w:space="0" w:color="auto"/>
          </w:divBdr>
        </w:div>
      </w:divsChild>
    </w:div>
    <w:div w:id="931663153">
      <w:bodyDiv w:val="1"/>
      <w:marLeft w:val="0"/>
      <w:marRight w:val="0"/>
      <w:marTop w:val="0"/>
      <w:marBottom w:val="0"/>
      <w:divBdr>
        <w:top w:val="none" w:sz="0" w:space="0" w:color="auto"/>
        <w:left w:val="none" w:sz="0" w:space="0" w:color="auto"/>
        <w:bottom w:val="none" w:sz="0" w:space="0" w:color="auto"/>
        <w:right w:val="none" w:sz="0" w:space="0" w:color="auto"/>
      </w:divBdr>
    </w:div>
    <w:div w:id="938104843">
      <w:bodyDiv w:val="1"/>
      <w:marLeft w:val="0"/>
      <w:marRight w:val="0"/>
      <w:marTop w:val="0"/>
      <w:marBottom w:val="0"/>
      <w:divBdr>
        <w:top w:val="none" w:sz="0" w:space="0" w:color="auto"/>
        <w:left w:val="none" w:sz="0" w:space="0" w:color="auto"/>
        <w:bottom w:val="none" w:sz="0" w:space="0" w:color="auto"/>
        <w:right w:val="none" w:sz="0" w:space="0" w:color="auto"/>
      </w:divBdr>
    </w:div>
    <w:div w:id="945430527">
      <w:bodyDiv w:val="1"/>
      <w:marLeft w:val="0"/>
      <w:marRight w:val="0"/>
      <w:marTop w:val="0"/>
      <w:marBottom w:val="0"/>
      <w:divBdr>
        <w:top w:val="none" w:sz="0" w:space="0" w:color="auto"/>
        <w:left w:val="none" w:sz="0" w:space="0" w:color="auto"/>
        <w:bottom w:val="none" w:sz="0" w:space="0" w:color="auto"/>
        <w:right w:val="none" w:sz="0" w:space="0" w:color="auto"/>
      </w:divBdr>
    </w:div>
    <w:div w:id="965433536">
      <w:bodyDiv w:val="1"/>
      <w:marLeft w:val="0"/>
      <w:marRight w:val="0"/>
      <w:marTop w:val="0"/>
      <w:marBottom w:val="0"/>
      <w:divBdr>
        <w:top w:val="none" w:sz="0" w:space="0" w:color="auto"/>
        <w:left w:val="none" w:sz="0" w:space="0" w:color="auto"/>
        <w:bottom w:val="none" w:sz="0" w:space="0" w:color="auto"/>
        <w:right w:val="none" w:sz="0" w:space="0" w:color="auto"/>
      </w:divBdr>
    </w:div>
    <w:div w:id="1075860780">
      <w:bodyDiv w:val="1"/>
      <w:marLeft w:val="0"/>
      <w:marRight w:val="0"/>
      <w:marTop w:val="0"/>
      <w:marBottom w:val="0"/>
      <w:divBdr>
        <w:top w:val="none" w:sz="0" w:space="0" w:color="auto"/>
        <w:left w:val="none" w:sz="0" w:space="0" w:color="auto"/>
        <w:bottom w:val="none" w:sz="0" w:space="0" w:color="auto"/>
        <w:right w:val="none" w:sz="0" w:space="0" w:color="auto"/>
      </w:divBdr>
    </w:div>
    <w:div w:id="1252741223">
      <w:bodyDiv w:val="1"/>
      <w:marLeft w:val="0"/>
      <w:marRight w:val="0"/>
      <w:marTop w:val="0"/>
      <w:marBottom w:val="0"/>
      <w:divBdr>
        <w:top w:val="none" w:sz="0" w:space="0" w:color="auto"/>
        <w:left w:val="none" w:sz="0" w:space="0" w:color="auto"/>
        <w:bottom w:val="none" w:sz="0" w:space="0" w:color="auto"/>
        <w:right w:val="none" w:sz="0" w:space="0" w:color="auto"/>
      </w:divBdr>
    </w:div>
    <w:div w:id="1303005299">
      <w:bodyDiv w:val="1"/>
      <w:marLeft w:val="0"/>
      <w:marRight w:val="0"/>
      <w:marTop w:val="0"/>
      <w:marBottom w:val="0"/>
      <w:divBdr>
        <w:top w:val="none" w:sz="0" w:space="0" w:color="auto"/>
        <w:left w:val="none" w:sz="0" w:space="0" w:color="auto"/>
        <w:bottom w:val="none" w:sz="0" w:space="0" w:color="auto"/>
        <w:right w:val="none" w:sz="0" w:space="0" w:color="auto"/>
      </w:divBdr>
    </w:div>
    <w:div w:id="1452481707">
      <w:bodyDiv w:val="1"/>
      <w:marLeft w:val="0"/>
      <w:marRight w:val="0"/>
      <w:marTop w:val="0"/>
      <w:marBottom w:val="0"/>
      <w:divBdr>
        <w:top w:val="none" w:sz="0" w:space="0" w:color="auto"/>
        <w:left w:val="none" w:sz="0" w:space="0" w:color="auto"/>
        <w:bottom w:val="none" w:sz="0" w:space="0" w:color="auto"/>
        <w:right w:val="none" w:sz="0" w:space="0" w:color="auto"/>
      </w:divBdr>
    </w:div>
    <w:div w:id="1456674899">
      <w:bodyDiv w:val="1"/>
      <w:marLeft w:val="0"/>
      <w:marRight w:val="0"/>
      <w:marTop w:val="0"/>
      <w:marBottom w:val="0"/>
      <w:divBdr>
        <w:top w:val="none" w:sz="0" w:space="0" w:color="auto"/>
        <w:left w:val="none" w:sz="0" w:space="0" w:color="auto"/>
        <w:bottom w:val="none" w:sz="0" w:space="0" w:color="auto"/>
        <w:right w:val="none" w:sz="0" w:space="0" w:color="auto"/>
      </w:divBdr>
    </w:div>
    <w:div w:id="1469858891">
      <w:bodyDiv w:val="1"/>
      <w:marLeft w:val="0"/>
      <w:marRight w:val="0"/>
      <w:marTop w:val="0"/>
      <w:marBottom w:val="0"/>
      <w:divBdr>
        <w:top w:val="none" w:sz="0" w:space="0" w:color="auto"/>
        <w:left w:val="none" w:sz="0" w:space="0" w:color="auto"/>
        <w:bottom w:val="none" w:sz="0" w:space="0" w:color="auto"/>
        <w:right w:val="none" w:sz="0" w:space="0" w:color="auto"/>
      </w:divBdr>
    </w:div>
    <w:div w:id="1550678922">
      <w:bodyDiv w:val="1"/>
      <w:marLeft w:val="0"/>
      <w:marRight w:val="0"/>
      <w:marTop w:val="0"/>
      <w:marBottom w:val="0"/>
      <w:divBdr>
        <w:top w:val="none" w:sz="0" w:space="0" w:color="auto"/>
        <w:left w:val="none" w:sz="0" w:space="0" w:color="auto"/>
        <w:bottom w:val="none" w:sz="0" w:space="0" w:color="auto"/>
        <w:right w:val="none" w:sz="0" w:space="0" w:color="auto"/>
      </w:divBdr>
    </w:div>
    <w:div w:id="1592541017">
      <w:bodyDiv w:val="1"/>
      <w:marLeft w:val="0"/>
      <w:marRight w:val="0"/>
      <w:marTop w:val="0"/>
      <w:marBottom w:val="0"/>
      <w:divBdr>
        <w:top w:val="none" w:sz="0" w:space="0" w:color="auto"/>
        <w:left w:val="none" w:sz="0" w:space="0" w:color="auto"/>
        <w:bottom w:val="none" w:sz="0" w:space="0" w:color="auto"/>
        <w:right w:val="none" w:sz="0" w:space="0" w:color="auto"/>
      </w:divBdr>
    </w:div>
    <w:div w:id="1908147797">
      <w:bodyDiv w:val="1"/>
      <w:marLeft w:val="0"/>
      <w:marRight w:val="0"/>
      <w:marTop w:val="0"/>
      <w:marBottom w:val="0"/>
      <w:divBdr>
        <w:top w:val="none" w:sz="0" w:space="0" w:color="auto"/>
        <w:left w:val="none" w:sz="0" w:space="0" w:color="auto"/>
        <w:bottom w:val="none" w:sz="0" w:space="0" w:color="auto"/>
        <w:right w:val="none" w:sz="0" w:space="0" w:color="auto"/>
      </w:divBdr>
    </w:div>
    <w:div w:id="199884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documents.worldbank.org/curated/en/135711468180536987/Mozambique-Energy-sector-policy-note"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ustainabledevelopment.un.org/content/documents/1009National%20Report%20(Energy)%20-%20Botswana.pdf"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R%20SAMBA\Desktop\OSeMOSYS\SL%20COUNTRY%20MODEL\TESTS\National%20Electrification\results\All%20results%20for%20national%20electrific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20SAMBA\AppData\Roaming\Microsoft\Excel\New%20Trieste%20Results%20(version%202).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SAMBA\AppData\Roaming\Microsoft\Excel\New%20Trieste%20Results%20(version%202).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20SAMBA\AppData\Roaming\Microsoft\Excel\Results_Master_Plan_Indicators_Comparison%20(version%202).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SAMBA\Desktop\Final%20Emission%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'National Electrification\[Results_Master_Plan_Indicators_Comparison.xls]Sheet1'!$L$6</c:f>
          <c:strCache>
            <c:ptCount val="1"/>
            <c:pt idx="0">
              <c:v>Electricity Access, % of total population</c:v>
            </c:pt>
          </c:strCache>
        </c:strRef>
      </c:tx>
      <c:layout>
        <c:manualLayout>
          <c:xMode val="edge"/>
          <c:yMode val="edge"/>
          <c:x val="0.18670202682997999"/>
          <c:y val="5.481392598310549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174248157631"/>
          <c:y val="0.194548680774698"/>
          <c:w val="0.85525492232809297"/>
          <c:h val="0.54296412970347696"/>
        </c:manualLayout>
      </c:layout>
      <c:lineChart>
        <c:grouping val="standard"/>
        <c:varyColors val="0"/>
        <c:ser>
          <c:idx val="1"/>
          <c:order val="1"/>
          <c:tx>
            <c:strRef>
              <c:f>'NATIONAL ELEC'!$M$7</c:f>
              <c:strCache>
                <c:ptCount val="1"/>
                <c:pt idx="0">
                  <c:v>Base</c:v>
                </c:pt>
              </c:strCache>
            </c:strRef>
          </c:tx>
          <c:spPr>
            <a:ln w="34925" cap="rnd">
              <a:solidFill>
                <a:srgbClr val="FF0000"/>
              </a:solidFill>
              <a:round/>
            </a:ln>
            <a:effectLst>
              <a:outerShdw blurRad="57150" dist="19050" dir="5400000" algn="ctr" rotWithShape="0">
                <a:srgbClr val="000000">
                  <a:alpha val="63000"/>
                </a:srgbClr>
              </a:outerShdw>
            </a:effectLst>
          </c:spPr>
          <c:marker>
            <c:symbol val="none"/>
          </c:marker>
          <c:cat>
            <c:numRef>
              <c:f>'NATIONAL ELEC'!$K$8:$K$43</c:f>
              <c:numCache>
                <c:formatCode>General</c:formatCode>
                <c:ptCount val="8"/>
                <c:pt idx="0">
                  <c:v>2015</c:v>
                </c:pt>
                <c:pt idx="1">
                  <c:v>2020</c:v>
                </c:pt>
                <c:pt idx="2">
                  <c:v>2025</c:v>
                </c:pt>
                <c:pt idx="3">
                  <c:v>2030</c:v>
                </c:pt>
                <c:pt idx="4">
                  <c:v>2035</c:v>
                </c:pt>
                <c:pt idx="5">
                  <c:v>2040</c:v>
                </c:pt>
                <c:pt idx="6">
                  <c:v>2045</c:v>
                </c:pt>
                <c:pt idx="7">
                  <c:v>2050</c:v>
                </c:pt>
              </c:numCache>
            </c:numRef>
          </c:cat>
          <c:val>
            <c:numRef>
              <c:f>'NATIONAL ELEC'!$M$8:$M$43</c:f>
              <c:numCache>
                <c:formatCode>0%</c:formatCode>
                <c:ptCount val="8"/>
                <c:pt idx="0">
                  <c:v>0.17799999999999999</c:v>
                </c:pt>
                <c:pt idx="1">
                  <c:v>0.23499999999999999</c:v>
                </c:pt>
                <c:pt idx="2">
                  <c:v>0.29199999999999998</c:v>
                </c:pt>
                <c:pt idx="3">
                  <c:v>0.34899999999999998</c:v>
                </c:pt>
                <c:pt idx="4">
                  <c:v>0.40600000000000003</c:v>
                </c:pt>
                <c:pt idx="5">
                  <c:v>0.46300000000000002</c:v>
                </c:pt>
                <c:pt idx="6">
                  <c:v>0.52</c:v>
                </c:pt>
                <c:pt idx="7">
                  <c:v>0.57699999999999996</c:v>
                </c:pt>
              </c:numCache>
            </c:numRef>
          </c:val>
          <c:smooth val="0"/>
          <c:extLst>
            <c:ext xmlns:c16="http://schemas.microsoft.com/office/drawing/2014/chart" uri="{C3380CC4-5D6E-409C-BE32-E72D297353CC}">
              <c16:uniqueId val="{00000000-A5BE-FB4A-8CAA-63844860C1B3}"/>
            </c:ext>
          </c:extLst>
        </c:ser>
        <c:ser>
          <c:idx val="2"/>
          <c:order val="2"/>
          <c:tx>
            <c:strRef>
              <c:f>'NATIONAL ELEC'!$N$7</c:f>
              <c:strCache>
                <c:ptCount val="1"/>
                <c:pt idx="0">
                  <c:v>National electrification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'NATIONAL ELEC'!$K$8:$K$43</c:f>
              <c:numCache>
                <c:formatCode>General</c:formatCode>
                <c:ptCount val="8"/>
                <c:pt idx="0">
                  <c:v>2015</c:v>
                </c:pt>
                <c:pt idx="1">
                  <c:v>2020</c:v>
                </c:pt>
                <c:pt idx="2">
                  <c:v>2025</c:v>
                </c:pt>
                <c:pt idx="3">
                  <c:v>2030</c:v>
                </c:pt>
                <c:pt idx="4">
                  <c:v>2035</c:v>
                </c:pt>
                <c:pt idx="5">
                  <c:v>2040</c:v>
                </c:pt>
                <c:pt idx="6">
                  <c:v>2045</c:v>
                </c:pt>
                <c:pt idx="7">
                  <c:v>2050</c:v>
                </c:pt>
              </c:numCache>
            </c:numRef>
          </c:cat>
          <c:val>
            <c:numRef>
              <c:f>'NATIONAL ELEC'!$N$8:$N$43</c:f>
              <c:numCache>
                <c:formatCode>0%</c:formatCode>
                <c:ptCount val="8"/>
                <c:pt idx="0">
                  <c:v>0.18</c:v>
                </c:pt>
                <c:pt idx="1">
                  <c:v>0.300465104193606</c:v>
                </c:pt>
                <c:pt idx="2">
                  <c:v>0.59614290093016997</c:v>
                </c:pt>
                <c:pt idx="3">
                  <c:v>0.89195545938380305</c:v>
                </c:pt>
                <c:pt idx="4">
                  <c:v>1</c:v>
                </c:pt>
                <c:pt idx="5">
                  <c:v>1</c:v>
                </c:pt>
                <c:pt idx="6">
                  <c:v>1</c:v>
                </c:pt>
                <c:pt idx="7">
                  <c:v>1</c:v>
                </c:pt>
              </c:numCache>
            </c:numRef>
          </c:val>
          <c:smooth val="0"/>
          <c:extLst>
            <c:ext xmlns:c16="http://schemas.microsoft.com/office/drawing/2014/chart" uri="{C3380CC4-5D6E-409C-BE32-E72D297353CC}">
              <c16:uniqueId val="{00000001-A5BE-FB4A-8CAA-63844860C1B3}"/>
            </c:ext>
          </c:extLst>
        </c:ser>
        <c:dLbls>
          <c:showLegendKey val="0"/>
          <c:showVal val="0"/>
          <c:showCatName val="0"/>
          <c:showSerName val="0"/>
          <c:showPercent val="0"/>
          <c:showBubbleSize val="0"/>
        </c:dLbls>
        <c:smooth val="0"/>
        <c:axId val="205682176"/>
        <c:axId val="205683712"/>
        <c:extLst>
          <c:ext xmlns:c15="http://schemas.microsoft.com/office/drawing/2012/chart" uri="{02D57815-91ED-43cb-92C2-25804820EDAC}">
            <c15:filteredLineSeries>
              <c15:ser>
                <c:idx val="0"/>
                <c:order val="0"/>
                <c:tx>
                  <c:strRef>
                    <c:extLst>
                      <c:ext uri="{02D57815-91ED-43cb-92C2-25804820EDAC}">
                        <c15:formulaRef>
                          <c15:sqref>'NATIONAL ELEC'!$L$7</c15:sqref>
                        </c15:formulaRef>
                      </c:ext>
                    </c:extLst>
                    <c:strCache>
                      <c:ptCount val="1"/>
                      <c:pt idx="0">
                        <c:v>Base</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extLst>
                      <c:ext uri="{02D57815-91ED-43cb-92C2-25804820EDAC}">
                        <c15:formulaRef>
                          <c15:sqref>'NATIONAL ELEC'!$K$8:$K$43</c15:sqref>
                        </c15:formulaRef>
                      </c:ext>
                    </c:extLst>
                    <c:numCache>
                      <c:formatCode>General</c:formatCode>
                      <c:ptCount val="8"/>
                      <c:pt idx="0">
                        <c:v>2015</c:v>
                      </c:pt>
                      <c:pt idx="1">
                        <c:v>2020</c:v>
                      </c:pt>
                      <c:pt idx="2">
                        <c:v>2025</c:v>
                      </c:pt>
                      <c:pt idx="3">
                        <c:v>2030</c:v>
                      </c:pt>
                      <c:pt idx="4">
                        <c:v>2035</c:v>
                      </c:pt>
                      <c:pt idx="5">
                        <c:v>2040</c:v>
                      </c:pt>
                      <c:pt idx="6">
                        <c:v>2045</c:v>
                      </c:pt>
                      <c:pt idx="7">
                        <c:v>2050</c:v>
                      </c:pt>
                    </c:numCache>
                  </c:numRef>
                </c:cat>
                <c:val>
                  <c:numRef>
                    <c:extLst>
                      <c:ext uri="{02D57815-91ED-43cb-92C2-25804820EDAC}">
                        <c15:formulaRef>
                          <c15:sqref>'NATIONAL ELEC'!$L$8:$L$43</c15:sqref>
                        </c15:formulaRef>
                      </c:ext>
                    </c:extLst>
                    <c:numCache>
                      <c:formatCode>0.0%</c:formatCode>
                      <c:ptCount val="8"/>
                      <c:pt idx="0">
                        <c:v>0.178235245774686</c:v>
                      </c:pt>
                      <c:pt idx="1">
                        <c:v>0.28208642421543201</c:v>
                      </c:pt>
                      <c:pt idx="2">
                        <c:v>0.535841536976985</c:v>
                      </c:pt>
                      <c:pt idx="3">
                        <c:v>0.79591586772496004</c:v>
                      </c:pt>
                      <c:pt idx="4">
                        <c:v>0.87476920309858197</c:v>
                      </c:pt>
                      <c:pt idx="5">
                        <c:v>0.942893106677274</c:v>
                      </c:pt>
                      <c:pt idx="6">
                        <c:v>1</c:v>
                      </c:pt>
                      <c:pt idx="7">
                        <c:v>1</c:v>
                      </c:pt>
                    </c:numCache>
                  </c:numRef>
                </c:val>
                <c:smooth val="0"/>
                <c:extLst>
                  <c:ext xmlns:c16="http://schemas.microsoft.com/office/drawing/2014/chart" uri="{C3380CC4-5D6E-409C-BE32-E72D297353CC}">
                    <c16:uniqueId val="{00000002-A5BE-FB4A-8CAA-63844860C1B3}"/>
                  </c:ext>
                </c:extLst>
              </c15:ser>
            </c15:filteredLineSeries>
          </c:ext>
        </c:extLst>
      </c:lineChart>
      <c:catAx>
        <c:axId val="205682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05683712"/>
        <c:crosses val="autoZero"/>
        <c:auto val="1"/>
        <c:lblAlgn val="ctr"/>
        <c:lblOffset val="100"/>
        <c:noMultiLvlLbl val="0"/>
      </c:catAx>
      <c:valAx>
        <c:axId val="20568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495" b="1" i="0" u="none" strike="noStrike" kern="1200" baseline="0">
                <a:solidFill>
                  <a:schemeClr val="tx1">
                    <a:lumMod val="65000"/>
                    <a:lumOff val="35000"/>
                  </a:schemeClr>
                </a:solidFill>
                <a:latin typeface="+mn-lt"/>
                <a:ea typeface="+mn-ea"/>
                <a:cs typeface="+mn-cs"/>
              </a:defRPr>
            </a:pPr>
            <a:endParaRPr lang="en-US"/>
          </a:p>
        </c:txPr>
        <c:crossAx val="2056821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219936413878735"/>
          <c:y val="0.82990563279462004"/>
          <c:w val="0.59648254602121598"/>
          <c:h val="8.6867734682972597E-2"/>
        </c:manualLayout>
      </c:layout>
      <c:overlay val="0"/>
      <c:spPr>
        <a:noFill/>
        <a:ln>
          <a:noFill/>
        </a:ln>
        <a:effectLst/>
      </c:spPr>
      <c:txPr>
        <a:bodyPr rot="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576" b="1" i="0" u="none" strike="noStrike" kern="1200" spc="0" baseline="0">
                <a:solidFill>
                  <a:schemeClr val="tx1">
                    <a:lumMod val="65000"/>
                    <a:lumOff val="35000"/>
                  </a:schemeClr>
                </a:solidFill>
                <a:latin typeface="+mn-lt"/>
                <a:ea typeface="+mn-ea"/>
                <a:cs typeface="+mn-cs"/>
              </a:defRPr>
            </a:pPr>
            <a:r>
              <a:rPr lang="en-US"/>
              <a:t>Share of RES Power Generation %</a:t>
            </a:r>
          </a:p>
        </c:rich>
      </c:tx>
      <c:layout>
        <c:manualLayout>
          <c:xMode val="edge"/>
          <c:yMode val="edge"/>
          <c:x val="0.262941191726701"/>
          <c:y val="3.2238780206404402E-2"/>
        </c:manualLayout>
      </c:layout>
      <c:overlay val="0"/>
      <c:spPr>
        <a:noFill/>
        <a:ln>
          <a:noFill/>
        </a:ln>
        <a:effectLst/>
      </c:spPr>
    </c:title>
    <c:autoTitleDeleted val="0"/>
    <c:plotArea>
      <c:layout>
        <c:manualLayout>
          <c:layoutTarget val="inner"/>
          <c:xMode val="edge"/>
          <c:yMode val="edge"/>
          <c:x val="7.7539237896855101E-2"/>
          <c:y val="1.07294555443223E-2"/>
          <c:w val="0.92246076210314498"/>
          <c:h val="0.87781043568348305"/>
        </c:manualLayout>
      </c:layout>
      <c:barChart>
        <c:barDir val="col"/>
        <c:grouping val="clustered"/>
        <c:varyColors val="0"/>
        <c:ser>
          <c:idx val="0"/>
          <c:order val="0"/>
          <c:spPr>
            <a:solidFill>
              <a:srgbClr val="00B050"/>
            </a:solidFill>
            <a:ln>
              <a:noFill/>
            </a:ln>
            <a:effectLst/>
          </c:spPr>
          <c:invertIfNegative val="0"/>
          <c:dPt>
            <c:idx val="1"/>
            <c:invertIfNegative val="0"/>
            <c:bubble3D val="0"/>
            <c:spPr>
              <a:solidFill>
                <a:srgbClr val="0070C0"/>
              </a:solidFill>
              <a:ln>
                <a:noFill/>
              </a:ln>
              <a:effectLst/>
            </c:spPr>
            <c:extLst>
              <c:ext xmlns:c16="http://schemas.microsoft.com/office/drawing/2014/chart" uri="{C3380CC4-5D6E-409C-BE32-E72D297353CC}">
                <c16:uniqueId val="{00000001-D2B2-4362-A230-092620D8528D}"/>
              </c:ext>
            </c:extLst>
          </c:dPt>
          <c:dPt>
            <c:idx val="2"/>
            <c:invertIfNegative val="0"/>
            <c:bubble3D val="0"/>
            <c:spPr>
              <a:solidFill>
                <a:srgbClr val="FFC000"/>
              </a:solidFill>
              <a:ln>
                <a:noFill/>
              </a:ln>
              <a:effectLst/>
            </c:spPr>
            <c:extLst>
              <c:ext xmlns:c16="http://schemas.microsoft.com/office/drawing/2014/chart" uri="{C3380CC4-5D6E-409C-BE32-E72D297353CC}">
                <c16:uniqueId val="{00000003-D2B2-4362-A230-092620D8528D}"/>
              </c:ext>
            </c:extLst>
          </c:dPt>
          <c:dPt>
            <c:idx val="3"/>
            <c:invertIfNegative val="0"/>
            <c:bubble3D val="0"/>
            <c:spPr>
              <a:solidFill>
                <a:srgbClr val="FF0000"/>
              </a:solidFill>
              <a:ln>
                <a:noFill/>
              </a:ln>
              <a:effectLst/>
            </c:spPr>
            <c:extLst>
              <c:ext xmlns:c16="http://schemas.microsoft.com/office/drawing/2014/chart" uri="{C3380CC4-5D6E-409C-BE32-E72D297353CC}">
                <c16:uniqueId val="{00000005-D2B2-4362-A230-092620D8528D}"/>
              </c:ext>
            </c:extLst>
          </c:dPt>
          <c:cat>
            <c:strRef>
              <c:f>'BASE UseByTechnologyAnnual'!$AQ$8:$AT$8</c:f>
              <c:strCache>
                <c:ptCount val="4"/>
                <c:pt idx="0">
                  <c:v>Base Case</c:v>
                </c:pt>
                <c:pt idx="1">
                  <c:v>National Electrification</c:v>
                </c:pt>
                <c:pt idx="2">
                  <c:v>Delay Hydro</c:v>
                </c:pt>
                <c:pt idx="3">
                  <c:v>Climate Resilent</c:v>
                </c:pt>
              </c:strCache>
            </c:strRef>
          </c:cat>
          <c:val>
            <c:numRef>
              <c:f>'BASE UseByTechnologyAnnual'!$AQ$9:$AT$9</c:f>
              <c:numCache>
                <c:formatCode>General</c:formatCode>
                <c:ptCount val="4"/>
                <c:pt idx="0">
                  <c:v>89.690526250304032</c:v>
                </c:pt>
                <c:pt idx="1">
                  <c:v>42.296647504843449</c:v>
                </c:pt>
                <c:pt idx="2">
                  <c:v>32.880151126725011</c:v>
                </c:pt>
                <c:pt idx="3">
                  <c:v>32.098003391276038</c:v>
                </c:pt>
              </c:numCache>
            </c:numRef>
          </c:val>
          <c:extLst>
            <c:ext xmlns:c16="http://schemas.microsoft.com/office/drawing/2014/chart" uri="{C3380CC4-5D6E-409C-BE32-E72D297353CC}">
              <c16:uniqueId val="{00000006-D2B2-4362-A230-092620D8528D}"/>
            </c:ext>
          </c:extLst>
        </c:ser>
        <c:dLbls>
          <c:showLegendKey val="0"/>
          <c:showVal val="0"/>
          <c:showCatName val="0"/>
          <c:showSerName val="0"/>
          <c:showPercent val="0"/>
          <c:showBubbleSize val="0"/>
        </c:dLbls>
        <c:gapWidth val="150"/>
        <c:axId val="205969280"/>
        <c:axId val="205970816"/>
      </c:barChart>
      <c:catAx>
        <c:axId val="20596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05970816"/>
        <c:crosses val="autoZero"/>
        <c:auto val="1"/>
        <c:lblAlgn val="ctr"/>
        <c:lblOffset val="100"/>
        <c:noMultiLvlLbl val="0"/>
      </c:catAx>
      <c:valAx>
        <c:axId val="20597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0596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480"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sz="800"/>
            </a:pPr>
            <a:r>
              <a:rPr lang="en-US" sz="800"/>
              <a:t>Total Investments, Billion USD</a:t>
            </a:r>
          </a:p>
        </c:rich>
      </c:tx>
      <c:layout>
        <c:manualLayout>
          <c:xMode val="edge"/>
          <c:yMode val="edge"/>
          <c:x val="0.10457130358705199"/>
          <c:y val="0"/>
        </c:manualLayout>
      </c:layout>
      <c:overlay val="0"/>
      <c:spPr>
        <a:noFill/>
        <a:ln>
          <a:noFill/>
        </a:ln>
        <a:effectLst/>
      </c:spPr>
    </c:title>
    <c:autoTitleDeleted val="0"/>
    <c:plotArea>
      <c:layout>
        <c:manualLayout>
          <c:layoutTarget val="inner"/>
          <c:xMode val="edge"/>
          <c:yMode val="edge"/>
          <c:x val="9.4071523987930297E-2"/>
          <c:y val="2.1919008664360098E-2"/>
          <c:w val="0.90592847601207005"/>
          <c:h val="0.85635764756808896"/>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70C0"/>
              </a:solidFill>
              <a:ln>
                <a:noFill/>
              </a:ln>
              <a:effectLst/>
            </c:spPr>
            <c:extLst>
              <c:ext xmlns:c16="http://schemas.microsoft.com/office/drawing/2014/chart" uri="{C3380CC4-5D6E-409C-BE32-E72D297353CC}">
                <c16:uniqueId val="{00000001-03C8-451F-A545-3411D1EAA328}"/>
              </c:ext>
            </c:extLst>
          </c:dPt>
          <c:dPt>
            <c:idx val="1"/>
            <c:invertIfNegative val="0"/>
            <c:bubble3D val="0"/>
            <c:spPr>
              <a:solidFill>
                <a:srgbClr val="C00000"/>
              </a:solidFill>
              <a:ln>
                <a:noFill/>
              </a:ln>
              <a:effectLst/>
            </c:spPr>
            <c:extLst>
              <c:ext xmlns:c16="http://schemas.microsoft.com/office/drawing/2014/chart" uri="{C3380CC4-5D6E-409C-BE32-E72D297353CC}">
                <c16:uniqueId val="{00000003-03C8-451F-A545-3411D1EAA328}"/>
              </c:ext>
            </c:extLst>
          </c:dPt>
          <c:dPt>
            <c:idx val="2"/>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5-03C8-451F-A545-3411D1EAA328}"/>
              </c:ext>
            </c:extLst>
          </c:dPt>
          <c:dPt>
            <c:idx val="3"/>
            <c:invertIfNegative val="0"/>
            <c:bubble3D val="0"/>
            <c:spPr>
              <a:solidFill>
                <a:srgbClr val="FFFF00"/>
              </a:solidFill>
              <a:ln>
                <a:noFill/>
              </a:ln>
              <a:effectLst/>
            </c:spPr>
            <c:extLst>
              <c:ext xmlns:c16="http://schemas.microsoft.com/office/drawing/2014/chart" uri="{C3380CC4-5D6E-409C-BE32-E72D297353CC}">
                <c16:uniqueId val="{00000007-03C8-451F-A545-3411D1EAA328}"/>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9-03C8-451F-A545-3411D1EAA328}"/>
              </c:ext>
            </c:extLst>
          </c:dPt>
          <c:dLbls>
            <c:numFmt formatCode="#,##0.0" sourceLinked="0"/>
            <c:spPr>
              <a:noFill/>
              <a:ln>
                <a:noFill/>
              </a:ln>
              <a:effectLst/>
            </c:spPr>
            <c:txPr>
              <a:bodyPr rot="0" vert="horz"/>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'NATIONAL ELEC'!$C$445:$M$445</c:f>
              <c:strCache>
                <c:ptCount val="5"/>
                <c:pt idx="0">
                  <c:v>Base Case</c:v>
                </c:pt>
                <c:pt idx="1">
                  <c:v>National electrification</c:v>
                </c:pt>
                <c:pt idx="2">
                  <c:v>DAM Base Case</c:v>
                </c:pt>
                <c:pt idx="3">
                  <c:v>DAM National Electrification</c:v>
                </c:pt>
                <c:pt idx="4">
                  <c:v>Climate Resilent</c:v>
                </c:pt>
              </c:strCache>
              <c:extLst/>
            </c:strRef>
          </c:cat>
          <c:val>
            <c:numRef>
              <c:f>'NATIONAL ELEC'!$C$446:$M$446</c:f>
              <c:numCache>
                <c:formatCode>#,##0</c:formatCode>
                <c:ptCount val="5"/>
                <c:pt idx="0">
                  <c:v>4564.9619495090647</c:v>
                </c:pt>
                <c:pt idx="1">
                  <c:v>6766.5100923243381</c:v>
                </c:pt>
                <c:pt idx="2" formatCode="General">
                  <c:v>5028.7446815596841</c:v>
                </c:pt>
                <c:pt idx="3" formatCode="General">
                  <c:v>7369.3019632760306</c:v>
                </c:pt>
                <c:pt idx="4" formatCode="General">
                  <c:v>7943.8119208628204</c:v>
                </c:pt>
              </c:numCache>
              <c:extLst/>
            </c:numRef>
          </c:val>
          <c:extLst>
            <c:ext xmlns:c16="http://schemas.microsoft.com/office/drawing/2014/chart" uri="{C3380CC4-5D6E-409C-BE32-E72D297353CC}">
              <c16:uniqueId val="{0000000A-03C8-451F-A545-3411D1EAA328}"/>
            </c:ext>
          </c:extLst>
        </c:ser>
        <c:dLbls>
          <c:showLegendKey val="0"/>
          <c:showVal val="0"/>
          <c:showCatName val="0"/>
          <c:showSerName val="0"/>
          <c:showPercent val="0"/>
          <c:showBubbleSize val="0"/>
        </c:dLbls>
        <c:gapWidth val="219"/>
        <c:overlap val="-27"/>
        <c:axId val="210079744"/>
        <c:axId val="210081280"/>
      </c:barChart>
      <c:catAx>
        <c:axId val="21007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b="1"/>
            </a:pPr>
            <a:endParaRPr lang="en-US"/>
          </a:p>
        </c:txPr>
        <c:crossAx val="210081280"/>
        <c:crosses val="autoZero"/>
        <c:auto val="1"/>
        <c:lblAlgn val="ctr"/>
        <c:lblOffset val="100"/>
        <c:noMultiLvlLbl val="0"/>
      </c:catAx>
      <c:valAx>
        <c:axId val="210081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b="1"/>
            </a:pPr>
            <a:endParaRPr lang="en-US"/>
          </a:p>
        </c:txPr>
        <c:crossAx val="210079744"/>
        <c:crosses val="autoZero"/>
        <c:crossBetween val="between"/>
        <c:dispUnits>
          <c:builtInUnit val="thousands"/>
        </c:dispUnits>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48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7393862020001"/>
          <c:y val="3.9277894052590197E-2"/>
          <c:w val="0.59768831287639501"/>
          <c:h val="0.88223773219505197"/>
        </c:manualLayout>
      </c:layout>
      <c:lineChart>
        <c:grouping val="standard"/>
        <c:varyColors val="0"/>
        <c:ser>
          <c:idx val="0"/>
          <c:order val="0"/>
          <c:tx>
            <c:strRef>
              <c:f>Sheet1!$C$315</c:f>
              <c:strCache>
                <c:ptCount val="1"/>
                <c:pt idx="0">
                  <c:v>Base Case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Sheet1!$B$316:$B$351</c:f>
              <c:numCache>
                <c:formatCode>General</c:formatCode>
                <c:ptCount val="8"/>
                <c:pt idx="0">
                  <c:v>2015</c:v>
                </c:pt>
                <c:pt idx="1">
                  <c:v>2020</c:v>
                </c:pt>
                <c:pt idx="2">
                  <c:v>2025</c:v>
                </c:pt>
                <c:pt idx="3">
                  <c:v>2030</c:v>
                </c:pt>
                <c:pt idx="4">
                  <c:v>2035</c:v>
                </c:pt>
                <c:pt idx="5">
                  <c:v>2040</c:v>
                </c:pt>
                <c:pt idx="6">
                  <c:v>2045</c:v>
                </c:pt>
                <c:pt idx="7">
                  <c:v>2050</c:v>
                </c:pt>
              </c:numCache>
            </c:numRef>
          </c:cat>
          <c:val>
            <c:numRef>
              <c:f>Sheet1!$C$316:$C$351</c:f>
              <c:numCache>
                <c:formatCode>0.0</c:formatCode>
                <c:ptCount val="8"/>
                <c:pt idx="0">
                  <c:v>145.5723467919598</c:v>
                </c:pt>
                <c:pt idx="1">
                  <c:v>139.3913303997837</c:v>
                </c:pt>
                <c:pt idx="2">
                  <c:v>14.86682410903861</c:v>
                </c:pt>
                <c:pt idx="3">
                  <c:v>7.2696691832368598</c:v>
                </c:pt>
                <c:pt idx="4">
                  <c:v>9.9877115201023035</c:v>
                </c:pt>
                <c:pt idx="5">
                  <c:v>12.974645867280801</c:v>
                </c:pt>
                <c:pt idx="6">
                  <c:v>15.39933588933726</c:v>
                </c:pt>
                <c:pt idx="7">
                  <c:v>8.0443801936140442</c:v>
                </c:pt>
              </c:numCache>
            </c:numRef>
          </c:val>
          <c:smooth val="0"/>
          <c:extLst>
            <c:ext xmlns:c16="http://schemas.microsoft.com/office/drawing/2014/chart" uri="{C3380CC4-5D6E-409C-BE32-E72D297353CC}">
              <c16:uniqueId val="{00000000-427F-4B69-BDDF-30969DC6E160}"/>
            </c:ext>
          </c:extLst>
        </c:ser>
        <c:ser>
          <c:idx val="1"/>
          <c:order val="1"/>
          <c:tx>
            <c:strRef>
              <c:f>Sheet1!$D$315</c:f>
              <c:strCache>
                <c:ptCount val="1"/>
                <c:pt idx="0">
                  <c:v>Climate Resilent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Sheet1!$B$316:$B$351</c:f>
              <c:numCache>
                <c:formatCode>General</c:formatCode>
                <c:ptCount val="8"/>
                <c:pt idx="0">
                  <c:v>2015</c:v>
                </c:pt>
                <c:pt idx="1">
                  <c:v>2020</c:v>
                </c:pt>
                <c:pt idx="2">
                  <c:v>2025</c:v>
                </c:pt>
                <c:pt idx="3">
                  <c:v>2030</c:v>
                </c:pt>
                <c:pt idx="4">
                  <c:v>2035</c:v>
                </c:pt>
                <c:pt idx="5">
                  <c:v>2040</c:v>
                </c:pt>
                <c:pt idx="6">
                  <c:v>2045</c:v>
                </c:pt>
                <c:pt idx="7">
                  <c:v>2050</c:v>
                </c:pt>
              </c:numCache>
            </c:numRef>
          </c:cat>
          <c:val>
            <c:numRef>
              <c:f>Sheet1!$D$316:$D$351</c:f>
              <c:numCache>
                <c:formatCode>0.0</c:formatCode>
                <c:ptCount val="8"/>
                <c:pt idx="0">
                  <c:v>145.57244225634599</c:v>
                </c:pt>
                <c:pt idx="1">
                  <c:v>98.565707730435605</c:v>
                </c:pt>
                <c:pt idx="2">
                  <c:v>12.299278797345879</c:v>
                </c:pt>
                <c:pt idx="3">
                  <c:v>23.974895223455071</c:v>
                </c:pt>
                <c:pt idx="4">
                  <c:v>9.1254712982221857</c:v>
                </c:pt>
                <c:pt idx="5">
                  <c:v>13.137038120008491</c:v>
                </c:pt>
                <c:pt idx="6">
                  <c:v>17.007557433211801</c:v>
                </c:pt>
                <c:pt idx="7">
                  <c:v>10.49677607294571</c:v>
                </c:pt>
              </c:numCache>
            </c:numRef>
          </c:val>
          <c:smooth val="0"/>
          <c:extLst>
            <c:ext xmlns:c16="http://schemas.microsoft.com/office/drawing/2014/chart" uri="{C3380CC4-5D6E-409C-BE32-E72D297353CC}">
              <c16:uniqueId val="{00000003-427F-4B69-BDDF-30969DC6E160}"/>
            </c:ext>
          </c:extLst>
        </c:ser>
        <c:ser>
          <c:idx val="2"/>
          <c:order val="2"/>
          <c:tx>
            <c:strRef>
              <c:f>Sheet1!$E$315</c:f>
              <c:strCache>
                <c:ptCount val="1"/>
                <c:pt idx="0">
                  <c:v>National Electrification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Sheet1!$B$316:$B$351</c:f>
              <c:numCache>
                <c:formatCode>General</c:formatCode>
                <c:ptCount val="8"/>
                <c:pt idx="0">
                  <c:v>2015</c:v>
                </c:pt>
                <c:pt idx="1">
                  <c:v>2020</c:v>
                </c:pt>
                <c:pt idx="2">
                  <c:v>2025</c:v>
                </c:pt>
                <c:pt idx="3">
                  <c:v>2030</c:v>
                </c:pt>
                <c:pt idx="4">
                  <c:v>2035</c:v>
                </c:pt>
                <c:pt idx="5">
                  <c:v>2040</c:v>
                </c:pt>
                <c:pt idx="6">
                  <c:v>2045</c:v>
                </c:pt>
                <c:pt idx="7">
                  <c:v>2050</c:v>
                </c:pt>
              </c:numCache>
            </c:numRef>
          </c:cat>
          <c:val>
            <c:numRef>
              <c:f>Sheet1!$E$316:$E$351</c:f>
              <c:numCache>
                <c:formatCode>0.0</c:formatCode>
                <c:ptCount val="8"/>
                <c:pt idx="0">
                  <c:v>145.57244084239619</c:v>
                </c:pt>
                <c:pt idx="1">
                  <c:v>98.788350986917806</c:v>
                </c:pt>
                <c:pt idx="2">
                  <c:v>12.50849013617035</c:v>
                </c:pt>
                <c:pt idx="3">
                  <c:v>16.50363609671431</c:v>
                </c:pt>
                <c:pt idx="4">
                  <c:v>9.3548919983000545</c:v>
                </c:pt>
                <c:pt idx="5">
                  <c:v>12.194815434729961</c:v>
                </c:pt>
                <c:pt idx="6">
                  <c:v>12.44254655838798</c:v>
                </c:pt>
                <c:pt idx="7">
                  <c:v>10.388745421568411</c:v>
                </c:pt>
              </c:numCache>
            </c:numRef>
          </c:val>
          <c:smooth val="0"/>
          <c:extLst>
            <c:ext xmlns:c16="http://schemas.microsoft.com/office/drawing/2014/chart" uri="{C3380CC4-5D6E-409C-BE32-E72D297353CC}">
              <c16:uniqueId val="{00000004-427F-4B69-BDDF-30969DC6E160}"/>
            </c:ext>
          </c:extLst>
        </c:ser>
        <c:ser>
          <c:idx val="3"/>
          <c:order val="3"/>
          <c:tx>
            <c:strRef>
              <c:f>Sheet1!$F$315</c:f>
              <c:strCache>
                <c:ptCount val="1"/>
                <c:pt idx="0">
                  <c:v>Delay Hydro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Sheet1!$B$316:$B$351</c:f>
              <c:numCache>
                <c:formatCode>General</c:formatCode>
                <c:ptCount val="8"/>
                <c:pt idx="0">
                  <c:v>2015</c:v>
                </c:pt>
                <c:pt idx="1">
                  <c:v>2020</c:v>
                </c:pt>
                <c:pt idx="2">
                  <c:v>2025</c:v>
                </c:pt>
                <c:pt idx="3">
                  <c:v>2030</c:v>
                </c:pt>
                <c:pt idx="4">
                  <c:v>2035</c:v>
                </c:pt>
                <c:pt idx="5">
                  <c:v>2040</c:v>
                </c:pt>
                <c:pt idx="6">
                  <c:v>2045</c:v>
                </c:pt>
                <c:pt idx="7">
                  <c:v>2050</c:v>
                </c:pt>
              </c:numCache>
            </c:numRef>
          </c:cat>
          <c:val>
            <c:numRef>
              <c:f>Sheet1!$F$316:$F$351</c:f>
              <c:numCache>
                <c:formatCode>0.0</c:formatCode>
                <c:ptCount val="8"/>
                <c:pt idx="0">
                  <c:v>145.57244084239619</c:v>
                </c:pt>
                <c:pt idx="1">
                  <c:v>97.281968403265964</c:v>
                </c:pt>
                <c:pt idx="2">
                  <c:v>10.22457960441591</c:v>
                </c:pt>
                <c:pt idx="3">
                  <c:v>16.577495451128531</c:v>
                </c:pt>
                <c:pt idx="4">
                  <c:v>8.9992491277440951</c:v>
                </c:pt>
                <c:pt idx="5">
                  <c:v>12.755045119485249</c:v>
                </c:pt>
                <c:pt idx="6">
                  <c:v>14.330078962473269</c:v>
                </c:pt>
                <c:pt idx="7">
                  <c:v>12.92571480320867</c:v>
                </c:pt>
              </c:numCache>
            </c:numRef>
          </c:val>
          <c:smooth val="0"/>
          <c:extLst>
            <c:ext xmlns:c16="http://schemas.microsoft.com/office/drawing/2014/chart" uri="{C3380CC4-5D6E-409C-BE32-E72D297353CC}">
              <c16:uniqueId val="{00000005-427F-4B69-BDDF-30969DC6E160}"/>
            </c:ext>
          </c:extLst>
        </c:ser>
        <c:dLbls>
          <c:showLegendKey val="0"/>
          <c:showVal val="0"/>
          <c:showCatName val="0"/>
          <c:showSerName val="0"/>
          <c:showPercent val="0"/>
          <c:showBubbleSize val="0"/>
        </c:dLbls>
        <c:marker val="1"/>
        <c:smooth val="0"/>
        <c:axId val="210101760"/>
        <c:axId val="210103680"/>
        <c:extLst>
          <c:ext xmlns:c15="http://schemas.microsoft.com/office/drawing/2012/chart" uri="{02D57815-91ED-43cb-92C2-25804820EDAC}">
            <c15:filteredLineSeries>
              <c15:ser>
                <c:idx val="4"/>
                <c:order val="4"/>
                <c:tx>
                  <c:strRef>
                    <c:extLst>
                      <c:ext uri="{02D57815-91ED-43cb-92C2-25804820EDAC}">
                        <c15:formulaRef>
                          <c15:sqref>Sheet1!$G$315</c15:sqref>
                        </c15:formulaRef>
                      </c:ext>
                    </c:extLst>
                    <c:strCache>
                      <c:ptCount val="1"/>
                      <c:pt idx="0">
                        <c:v>Renewables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c:ext uri="{02D57815-91ED-43cb-92C2-25804820EDAC}">
                        <c15:formulaRef>
                          <c15:sqref>Sheet1!$B$316:$B$351</c15:sqref>
                        </c15:formulaRef>
                      </c:ext>
                    </c:extLst>
                    <c:numCache>
                      <c:formatCode>General</c:formatCode>
                      <c:ptCount val="8"/>
                      <c:pt idx="0">
                        <c:v>2015</c:v>
                      </c:pt>
                      <c:pt idx="1">
                        <c:v>2020</c:v>
                      </c:pt>
                      <c:pt idx="2">
                        <c:v>2025</c:v>
                      </c:pt>
                      <c:pt idx="3">
                        <c:v>2030</c:v>
                      </c:pt>
                      <c:pt idx="4">
                        <c:v>2035</c:v>
                      </c:pt>
                      <c:pt idx="5">
                        <c:v>2040</c:v>
                      </c:pt>
                      <c:pt idx="6">
                        <c:v>2045</c:v>
                      </c:pt>
                      <c:pt idx="7">
                        <c:v>2050</c:v>
                      </c:pt>
                    </c:numCache>
                  </c:numRef>
                </c:cat>
                <c:val>
                  <c:numRef>
                    <c:extLst>
                      <c:ext uri="{02D57815-91ED-43cb-92C2-25804820EDAC}">
                        <c15:formulaRef>
                          <c15:sqref>Sheet1!$G$316:$G$351</c15:sqref>
                        </c15:formulaRef>
                      </c:ext>
                    </c:extLst>
                    <c:numCache>
                      <c:formatCode>0.0</c:formatCode>
                      <c:ptCount val="8"/>
                      <c:pt idx="0">
                        <c:v>82.825206317759381</c:v>
                      </c:pt>
                      <c:pt idx="1">
                        <c:v>112.5049871471363</c:v>
                      </c:pt>
                      <c:pt idx="2">
                        <c:v>141.58759008081421</c:v>
                      </c:pt>
                      <c:pt idx="3">
                        <c:v>163.15248924427871</c:v>
                      </c:pt>
                      <c:pt idx="4">
                        <c:v>156.56493387440921</c:v>
                      </c:pt>
                      <c:pt idx="5">
                        <c:v>156.45181463136981</c:v>
                      </c:pt>
                      <c:pt idx="6">
                        <c:v>168.6481189999341</c:v>
                      </c:pt>
                      <c:pt idx="7">
                        <c:v>180.69518125857689</c:v>
                      </c:pt>
                    </c:numCache>
                  </c:numRef>
                </c:val>
                <c:smooth val="0"/>
                <c:extLst>
                  <c:ext xmlns:c16="http://schemas.microsoft.com/office/drawing/2014/chart" uri="{C3380CC4-5D6E-409C-BE32-E72D297353CC}">
                    <c16:uniqueId val="{00000006-427F-4B69-BDDF-30969DC6E16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Sheet1!$H$315</c15:sqref>
                        </c15:formulaRef>
                      </c:ext>
                    </c:extLst>
                    <c:strCache>
                      <c:ptCount val="1"/>
                      <c:pt idx="0">
                        <c:v>High fossil fuel prices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Sheet1!$B$316:$B$351</c15:sqref>
                        </c15:formulaRef>
                      </c:ext>
                    </c:extLst>
                    <c:numCache>
                      <c:formatCode>General</c:formatCode>
                      <c:ptCount val="8"/>
                      <c:pt idx="0">
                        <c:v>2015</c:v>
                      </c:pt>
                      <c:pt idx="1">
                        <c:v>2020</c:v>
                      </c:pt>
                      <c:pt idx="2">
                        <c:v>2025</c:v>
                      </c:pt>
                      <c:pt idx="3">
                        <c:v>2030</c:v>
                      </c:pt>
                      <c:pt idx="4">
                        <c:v>2035</c:v>
                      </c:pt>
                      <c:pt idx="5">
                        <c:v>2040</c:v>
                      </c:pt>
                      <c:pt idx="6">
                        <c:v>2045</c:v>
                      </c:pt>
                      <c:pt idx="7">
                        <c:v>2050</c:v>
                      </c:pt>
                    </c:numCache>
                  </c:numRef>
                </c:cat>
                <c:val>
                  <c:numRef>
                    <c:extLst xmlns:c15="http://schemas.microsoft.com/office/drawing/2012/chart">
                      <c:ext xmlns:c15="http://schemas.microsoft.com/office/drawing/2012/chart" uri="{02D57815-91ED-43cb-92C2-25804820EDAC}">
                        <c15:formulaRef>
                          <c15:sqref>Sheet1!$H$316:$H$351</c15:sqref>
                        </c15:formulaRef>
                      </c:ext>
                    </c:extLst>
                    <c:numCache>
                      <c:formatCode>0.0</c:formatCode>
                      <c:ptCount val="8"/>
                      <c:pt idx="0">
                        <c:v>82.810793176463875</c:v>
                      </c:pt>
                      <c:pt idx="1">
                        <c:v>114.34226270260559</c:v>
                      </c:pt>
                      <c:pt idx="2">
                        <c:v>145.41920866042571</c:v>
                      </c:pt>
                      <c:pt idx="3">
                        <c:v>183.20054422766961</c:v>
                      </c:pt>
                      <c:pt idx="4">
                        <c:v>187.0542859847983</c:v>
                      </c:pt>
                      <c:pt idx="5">
                        <c:v>194.2527680999188</c:v>
                      </c:pt>
                      <c:pt idx="6">
                        <c:v>200.30513088254239</c:v>
                      </c:pt>
                      <c:pt idx="7">
                        <c:v>211.20000471270069</c:v>
                      </c:pt>
                    </c:numCache>
                  </c:numRef>
                </c:val>
                <c:smooth val="0"/>
                <c:extLst xmlns:c15="http://schemas.microsoft.com/office/drawing/2012/chart">
                  <c:ext xmlns:c16="http://schemas.microsoft.com/office/drawing/2014/chart" uri="{C3380CC4-5D6E-409C-BE32-E72D297353CC}">
                    <c16:uniqueId val="{00000007-427F-4B69-BDDF-30969DC6E16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Sheet1!$I$315</c15:sqref>
                        </c15:formulaRef>
                      </c:ext>
                    </c:extLst>
                    <c:strCache>
                      <c:ptCount val="1"/>
                      <c:pt idx="0">
                        <c:v>Natural gas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Sheet1!$B$316:$B$351</c15:sqref>
                        </c15:formulaRef>
                      </c:ext>
                    </c:extLst>
                    <c:numCache>
                      <c:formatCode>General</c:formatCode>
                      <c:ptCount val="8"/>
                      <c:pt idx="0">
                        <c:v>2015</c:v>
                      </c:pt>
                      <c:pt idx="1">
                        <c:v>2020</c:v>
                      </c:pt>
                      <c:pt idx="2">
                        <c:v>2025</c:v>
                      </c:pt>
                      <c:pt idx="3">
                        <c:v>2030</c:v>
                      </c:pt>
                      <c:pt idx="4">
                        <c:v>2035</c:v>
                      </c:pt>
                      <c:pt idx="5">
                        <c:v>2040</c:v>
                      </c:pt>
                      <c:pt idx="6">
                        <c:v>2045</c:v>
                      </c:pt>
                      <c:pt idx="7">
                        <c:v>2050</c:v>
                      </c:pt>
                    </c:numCache>
                  </c:numRef>
                </c:cat>
                <c:val>
                  <c:numRef>
                    <c:extLst xmlns:c15="http://schemas.microsoft.com/office/drawing/2012/chart">
                      <c:ext xmlns:c15="http://schemas.microsoft.com/office/drawing/2012/chart" uri="{02D57815-91ED-43cb-92C2-25804820EDAC}">
                        <c15:formulaRef>
                          <c15:sqref>Sheet1!$I$316:$I$351</c15:sqref>
                        </c15:formulaRef>
                      </c:ext>
                    </c:extLst>
                    <c:numCache>
                      <c:formatCode>0.0</c:formatCode>
                      <c:ptCount val="8"/>
                      <c:pt idx="0">
                        <c:v>82.991631380620433</c:v>
                      </c:pt>
                      <c:pt idx="1">
                        <c:v>113.5068807272816</c:v>
                      </c:pt>
                      <c:pt idx="2">
                        <c:v>163.20070801906189</c:v>
                      </c:pt>
                      <c:pt idx="3">
                        <c:v>152.97719437400599</c:v>
                      </c:pt>
                      <c:pt idx="4">
                        <c:v>147.4354724087606</c:v>
                      </c:pt>
                      <c:pt idx="5">
                        <c:v>144.6489914223996</c:v>
                      </c:pt>
                      <c:pt idx="6">
                        <c:v>141.83469775310331</c:v>
                      </c:pt>
                      <c:pt idx="7">
                        <c:v>139.75534981239139</c:v>
                      </c:pt>
                    </c:numCache>
                  </c:numRef>
                </c:val>
                <c:smooth val="0"/>
                <c:extLst xmlns:c15="http://schemas.microsoft.com/office/drawing/2012/chart">
                  <c:ext xmlns:c16="http://schemas.microsoft.com/office/drawing/2014/chart" uri="{C3380CC4-5D6E-409C-BE32-E72D297353CC}">
                    <c16:uniqueId val="{00000008-427F-4B69-BDDF-30969DC6E160}"/>
                  </c:ext>
                </c:extLst>
              </c15:ser>
            </c15:filteredLineSeries>
          </c:ext>
        </c:extLst>
      </c:lineChart>
      <c:catAx>
        <c:axId val="21010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10103680"/>
        <c:crosses val="autoZero"/>
        <c:auto val="1"/>
        <c:lblAlgn val="ctr"/>
        <c:lblOffset val="100"/>
        <c:noMultiLvlLbl val="0"/>
      </c:catAx>
      <c:valAx>
        <c:axId val="210103680"/>
        <c:scaling>
          <c:orientation val="minMax"/>
        </c:scaling>
        <c:delete val="0"/>
        <c:axPos val="l"/>
        <c:majorGridlines>
          <c:spPr>
            <a:ln w="9525" cap="flat" cmpd="sng" algn="ctr">
              <a:solidFill>
                <a:schemeClr val="tx1">
                  <a:lumMod val="15000"/>
                  <a:lumOff val="85000"/>
                </a:schemeClr>
              </a:solidFill>
              <a:round/>
            </a:ln>
            <a:effectLst/>
          </c:spPr>
        </c:majorGridlines>
        <c:title>
          <c:tx>
            <c:strRef>
              <c:f>Sheet1!$B$314</c:f>
              <c:strCache>
                <c:ptCount val="1"/>
                <c:pt idx="0">
                  <c:v>USD/MWh</c:v>
                </c:pt>
              </c:strCache>
            </c:strRef>
          </c:tx>
          <c:layout>
            <c:manualLayout>
              <c:xMode val="edge"/>
              <c:yMode val="edge"/>
              <c:x val="2.1545342195683301E-2"/>
              <c:y val="0.406257785764923"/>
            </c:manualLayout>
          </c:layout>
          <c:overlay val="0"/>
          <c:spPr>
            <a:noFill/>
            <a:ln>
              <a:noFill/>
            </a:ln>
            <a:effectLst/>
          </c:spPr>
          <c:txPr>
            <a:bodyPr rot="-54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10101760"/>
        <c:crosses val="autoZero"/>
        <c:crossBetween val="between"/>
      </c:valAx>
      <c:spPr>
        <a:noFill/>
        <a:ln>
          <a:noFill/>
        </a:ln>
        <a:effectLst/>
      </c:spPr>
    </c:plotArea>
    <c:legend>
      <c:legendPos val="r"/>
      <c:layout>
        <c:manualLayout>
          <c:xMode val="edge"/>
          <c:yMode val="edge"/>
          <c:x val="0.68237516479398796"/>
          <c:y val="0.14996980508966601"/>
          <c:w val="0.31503144621657098"/>
          <c:h val="0.45322006108999202"/>
        </c:manualLayout>
      </c:layout>
      <c:overlay val="0"/>
      <c:spPr>
        <a:noFill/>
        <a:ln>
          <a:noFill/>
        </a:ln>
        <a:effectLst/>
      </c:spPr>
      <c:txPr>
        <a:bodyPr rot="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48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495" b="1" i="0" u="none" strike="noStrike" kern="1200" spc="0" baseline="0">
                <a:solidFill>
                  <a:schemeClr val="tx1">
                    <a:lumMod val="65000"/>
                    <a:lumOff val="35000"/>
                  </a:schemeClr>
                </a:solidFill>
                <a:latin typeface="+mn-lt"/>
                <a:ea typeface="+mn-ea"/>
                <a:cs typeface="+mn-cs"/>
              </a:defRPr>
            </a:pPr>
            <a:r>
              <a:rPr lang="en-US" sz="499" b="1"/>
              <a:t>% Increase in Cost VS % Decrease in Emission</a:t>
            </a:r>
          </a:p>
        </c:rich>
      </c:tx>
      <c:layout>
        <c:manualLayout>
          <c:xMode val="edge"/>
          <c:yMode val="edge"/>
          <c:x val="0.31064705453484998"/>
          <c:y val="5.4488311624598301E-2"/>
        </c:manualLayout>
      </c:layout>
      <c:overlay val="0"/>
      <c:spPr>
        <a:noFill/>
        <a:ln>
          <a:noFill/>
        </a:ln>
        <a:effectLst/>
      </c:spPr>
    </c:title>
    <c:autoTitleDeleted val="0"/>
    <c:plotArea>
      <c:layout/>
      <c:lineChart>
        <c:grouping val="standard"/>
        <c:varyColors val="0"/>
        <c:ser>
          <c:idx val="0"/>
          <c:order val="0"/>
          <c:spPr>
            <a:ln w="28575" cap="rnd">
              <a:solidFill>
                <a:schemeClr val="accent6"/>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48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Sheet18!$AR$8:$AR$18</c:f>
              <c:strCache>
                <c:ptCount val="6"/>
                <c:pt idx="0">
                  <c:v>80%</c:v>
                </c:pt>
                <c:pt idx="1">
                  <c:v>60%</c:v>
                </c:pt>
                <c:pt idx="2">
                  <c:v>40%</c:v>
                </c:pt>
                <c:pt idx="3">
                  <c:v>20%</c:v>
                </c:pt>
                <c:pt idx="4">
                  <c:v>8%</c:v>
                </c:pt>
                <c:pt idx="5">
                  <c:v>BAU</c:v>
                </c:pt>
              </c:strCache>
            </c:strRef>
          </c:cat>
          <c:val>
            <c:numRef>
              <c:f>Sheet18!$AS$8:$AS$18</c:f>
              <c:numCache>
                <c:formatCode>0.00</c:formatCode>
                <c:ptCount val="6"/>
                <c:pt idx="0">
                  <c:v>12.876666484316219</c:v>
                </c:pt>
                <c:pt idx="1">
                  <c:v>10.85720360707634</c:v>
                </c:pt>
                <c:pt idx="2">
                  <c:v>8.0832396635123178</c:v>
                </c:pt>
                <c:pt idx="3">
                  <c:v>4.7446769085449958</c:v>
                </c:pt>
                <c:pt idx="4">
                  <c:v>1.2589925526449079</c:v>
                </c:pt>
                <c:pt idx="5">
                  <c:v>0</c:v>
                </c:pt>
              </c:numCache>
            </c:numRef>
          </c:val>
          <c:smooth val="0"/>
          <c:extLst>
            <c:ext xmlns:c16="http://schemas.microsoft.com/office/drawing/2014/chart" uri="{C3380CC4-5D6E-409C-BE32-E72D297353CC}">
              <c16:uniqueId val="{00000000-F895-4BA5-9B56-25C258EC8BCA}"/>
            </c:ext>
          </c:extLst>
        </c:ser>
        <c:dLbls>
          <c:dLblPos val="t"/>
          <c:showLegendKey val="0"/>
          <c:showVal val="1"/>
          <c:showCatName val="0"/>
          <c:showSerName val="0"/>
          <c:showPercent val="0"/>
          <c:showBubbleSize val="0"/>
        </c:dLbls>
        <c:marker val="1"/>
        <c:smooth val="0"/>
        <c:axId val="210607104"/>
        <c:axId val="211904768"/>
      </c:lineChart>
      <c:catAx>
        <c:axId val="210607104"/>
        <c:scaling>
          <c:orientation val="minMax"/>
        </c:scaling>
        <c:delete val="0"/>
        <c:axPos val="b"/>
        <c:title>
          <c:tx>
            <c:rich>
              <a:bodyPr rot="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r>
                  <a:rPr lang="en-US" b="1"/>
                  <a:t>% Decrease in Emissions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11904768"/>
        <c:crosses val="autoZero"/>
        <c:auto val="1"/>
        <c:lblAlgn val="ctr"/>
        <c:lblOffset val="100"/>
        <c:noMultiLvlLbl val="0"/>
      </c:catAx>
      <c:valAx>
        <c:axId val="211904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r>
                  <a:rPr lang="en-US" sz="480" b="1"/>
                  <a:t>% Increase in Cost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480" b="1" i="0" u="none" strike="noStrike" kern="1200" baseline="0">
                <a:solidFill>
                  <a:schemeClr val="tx1">
                    <a:lumMod val="65000"/>
                    <a:lumOff val="35000"/>
                  </a:schemeClr>
                </a:solidFill>
                <a:latin typeface="+mn-lt"/>
                <a:ea typeface="+mn-ea"/>
                <a:cs typeface="+mn-cs"/>
              </a:defRPr>
            </a:pPr>
            <a:endParaRPr lang="en-US"/>
          </a:p>
        </c:txPr>
        <c:crossAx val="210607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48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SAMBA</dc:creator>
  <cp:lastModifiedBy>David Campling</cp:lastModifiedBy>
  <cp:revision>2</cp:revision>
  <dcterms:created xsi:type="dcterms:W3CDTF">2023-05-25T12:52:00Z</dcterms:created>
  <dcterms:modified xsi:type="dcterms:W3CDTF">2023-05-25T12:52:00Z</dcterms:modified>
</cp:coreProperties>
</file>