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4392"/>
      </w:tblGrid>
      <w:tr w:rsidR="002E1EE0" w:rsidRPr="00AA7420" w14:paraId="1C80644D" w14:textId="77777777" w:rsidTr="002A0A12">
        <w:trPr>
          <w:trHeight w:val="311"/>
        </w:trPr>
        <w:tc>
          <w:tcPr>
            <w:tcW w:w="8783" w:type="dxa"/>
            <w:gridSpan w:val="2"/>
            <w:tcBorders>
              <w:bottom w:val="single" w:sz="4" w:space="0" w:color="auto"/>
            </w:tcBorders>
          </w:tcPr>
          <w:p w14:paraId="7E0B8F2B" w14:textId="77777777" w:rsidR="002E1EE0" w:rsidRPr="00AA7420" w:rsidRDefault="002E1EE0" w:rsidP="002A0A12">
            <w:pPr>
              <w:spacing w:line="360" w:lineRule="auto"/>
              <w:rPr>
                <w:rFonts w:ascii="Helvetica Neue" w:hAnsi="Helvetica Neue"/>
                <w:sz w:val="22"/>
              </w:rPr>
            </w:pPr>
            <w:r w:rsidRPr="00AA7420">
              <w:rPr>
                <w:rFonts w:ascii="Helvetica Neue" w:hAnsi="Helvetica Neue"/>
                <w:b/>
                <w:bCs/>
                <w:sz w:val="22"/>
              </w:rPr>
              <w:t xml:space="preserve">Supplementary Table 1. </w:t>
            </w:r>
            <w:r w:rsidRPr="00AA7420">
              <w:rPr>
                <w:rFonts w:ascii="Helvetica Neue" w:hAnsi="Helvetica Neue"/>
                <w:sz w:val="22"/>
              </w:rPr>
              <w:t>Variables with missing data for the 471 590 UK Biobank participants alive as of March 16</w:t>
            </w:r>
            <w:r w:rsidRPr="00AA7420">
              <w:rPr>
                <w:rFonts w:ascii="Helvetica Neue" w:hAnsi="Helvetica Neue"/>
                <w:sz w:val="22"/>
                <w:vertAlign w:val="superscript"/>
              </w:rPr>
              <w:t>th</w:t>
            </w:r>
            <w:proofErr w:type="gramStart"/>
            <w:r w:rsidRPr="00AA7420">
              <w:rPr>
                <w:rFonts w:ascii="Helvetica Neue" w:hAnsi="Helvetica Neue"/>
                <w:sz w:val="22"/>
              </w:rPr>
              <w:t xml:space="preserve"> 2020</w:t>
            </w:r>
            <w:proofErr w:type="gramEnd"/>
            <w:r w:rsidRPr="00AA7420">
              <w:rPr>
                <w:rFonts w:ascii="Helvetica Neue" w:hAnsi="Helvetica Neue"/>
                <w:sz w:val="22"/>
              </w:rPr>
              <w:t xml:space="preserve"> and not lost to follow up.</w:t>
            </w:r>
          </w:p>
        </w:tc>
      </w:tr>
      <w:tr w:rsidR="002E1EE0" w:rsidRPr="00AA7420" w14:paraId="1A46DA4E" w14:textId="77777777" w:rsidTr="002A0A12">
        <w:trPr>
          <w:trHeight w:val="594"/>
        </w:trPr>
        <w:tc>
          <w:tcPr>
            <w:tcW w:w="4391" w:type="dxa"/>
            <w:vAlign w:val="center"/>
          </w:tcPr>
          <w:p w14:paraId="0494A53C" w14:textId="77777777" w:rsidR="002E1EE0" w:rsidRPr="00AA7420" w:rsidRDefault="002E1EE0" w:rsidP="002A0A12">
            <w:pPr>
              <w:jc w:val="center"/>
              <w:rPr>
                <w:rFonts w:ascii="Helvetica Neue" w:hAnsi="Helvetica Neue"/>
                <w:b/>
                <w:bCs/>
                <w:sz w:val="22"/>
              </w:rPr>
            </w:pPr>
            <w:r w:rsidRPr="00AA7420">
              <w:rPr>
                <w:rFonts w:ascii="Helvetica Neue" w:hAnsi="Helvetica Neue"/>
                <w:b/>
                <w:bCs/>
                <w:sz w:val="22"/>
              </w:rPr>
              <w:t>Variable</w:t>
            </w:r>
          </w:p>
        </w:tc>
        <w:tc>
          <w:tcPr>
            <w:tcW w:w="4392" w:type="dxa"/>
            <w:vAlign w:val="center"/>
          </w:tcPr>
          <w:p w14:paraId="5593984E" w14:textId="77777777" w:rsidR="002E1EE0" w:rsidRPr="00AA7420" w:rsidRDefault="002E1EE0" w:rsidP="002A0A12">
            <w:pPr>
              <w:jc w:val="center"/>
              <w:rPr>
                <w:rFonts w:ascii="Helvetica Neue" w:hAnsi="Helvetica Neue"/>
                <w:b/>
                <w:bCs/>
                <w:sz w:val="22"/>
              </w:rPr>
            </w:pPr>
            <w:r w:rsidRPr="00AA7420">
              <w:rPr>
                <w:rFonts w:ascii="Helvetica Neue" w:hAnsi="Helvetica Neue"/>
                <w:b/>
                <w:bCs/>
                <w:sz w:val="22"/>
              </w:rPr>
              <w:t>N missing (%)</w:t>
            </w:r>
          </w:p>
        </w:tc>
      </w:tr>
      <w:tr w:rsidR="002E1EE0" w:rsidRPr="00AA7420" w14:paraId="29E26C00" w14:textId="77777777" w:rsidTr="002A0A12">
        <w:trPr>
          <w:trHeight w:val="311"/>
        </w:trPr>
        <w:tc>
          <w:tcPr>
            <w:tcW w:w="8783" w:type="dxa"/>
            <w:gridSpan w:val="2"/>
            <w:tcBorders>
              <w:top w:val="single" w:sz="4" w:space="0" w:color="auto"/>
            </w:tcBorders>
          </w:tcPr>
          <w:p w14:paraId="2B31A061" w14:textId="77777777" w:rsidR="002E1EE0" w:rsidRPr="00AA7420" w:rsidRDefault="002E1EE0" w:rsidP="002A0A12">
            <w:pPr>
              <w:rPr>
                <w:rFonts w:ascii="Helvetica Neue" w:hAnsi="Helvetica Neue"/>
                <w:b/>
                <w:bCs/>
                <w:sz w:val="22"/>
              </w:rPr>
            </w:pPr>
            <w:r w:rsidRPr="00AA7420">
              <w:rPr>
                <w:rFonts w:ascii="Helvetica Neue" w:hAnsi="Helvetica Neue"/>
                <w:b/>
                <w:bCs/>
                <w:sz w:val="22"/>
              </w:rPr>
              <w:t>Continuous variables</w:t>
            </w:r>
          </w:p>
        </w:tc>
      </w:tr>
      <w:tr w:rsidR="002E1EE0" w:rsidRPr="00AA7420" w14:paraId="1FACEC9E" w14:textId="77777777" w:rsidTr="002A0A12">
        <w:trPr>
          <w:trHeight w:val="148"/>
        </w:trPr>
        <w:tc>
          <w:tcPr>
            <w:tcW w:w="4391" w:type="dxa"/>
          </w:tcPr>
          <w:p w14:paraId="6E560FC4" w14:textId="77777777" w:rsidR="002E1EE0" w:rsidRPr="00AA7420" w:rsidRDefault="002E1EE0" w:rsidP="002A0A12">
            <w:pPr>
              <w:rPr>
                <w:rFonts w:ascii="Helvetica Neue" w:hAnsi="Helvetica Neue"/>
                <w:b/>
                <w:bCs/>
                <w:sz w:val="22"/>
              </w:rPr>
            </w:pPr>
          </w:p>
        </w:tc>
        <w:tc>
          <w:tcPr>
            <w:tcW w:w="4392" w:type="dxa"/>
          </w:tcPr>
          <w:p w14:paraId="76A7D540" w14:textId="77777777" w:rsidR="002E1EE0" w:rsidRPr="00AA7420" w:rsidRDefault="002E1EE0" w:rsidP="002A0A12">
            <w:pPr>
              <w:rPr>
                <w:rFonts w:ascii="Helvetica Neue" w:hAnsi="Helvetica Neue"/>
                <w:b/>
                <w:bCs/>
                <w:sz w:val="22"/>
              </w:rPr>
            </w:pPr>
          </w:p>
        </w:tc>
      </w:tr>
      <w:tr w:rsidR="002E1EE0" w:rsidRPr="00AA7420" w14:paraId="33719FB8" w14:textId="77777777" w:rsidTr="002A0A12">
        <w:trPr>
          <w:trHeight w:val="311"/>
        </w:trPr>
        <w:tc>
          <w:tcPr>
            <w:tcW w:w="4391" w:type="dxa"/>
          </w:tcPr>
          <w:p w14:paraId="47FE2052" w14:textId="7FD801A5" w:rsidR="002E1EE0" w:rsidRPr="00AA7420" w:rsidRDefault="005A35D0" w:rsidP="002A0A12">
            <w:pPr>
              <w:jc w:val="center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Walking</w:t>
            </w:r>
            <w:r w:rsidR="00401740">
              <w:rPr>
                <w:rFonts w:ascii="Helvetica Neue" w:hAnsi="Helvetica Neue"/>
                <w:sz w:val="22"/>
              </w:rPr>
              <w:t xml:space="preserve">, MPA </w:t>
            </w:r>
            <w:r w:rsidR="006901E0">
              <w:rPr>
                <w:rFonts w:ascii="Helvetica Neue" w:hAnsi="Helvetica Neue"/>
                <w:sz w:val="22"/>
              </w:rPr>
              <w:t xml:space="preserve">or </w:t>
            </w:r>
            <w:r w:rsidR="00401740">
              <w:rPr>
                <w:rFonts w:ascii="Helvetica Neue" w:hAnsi="Helvetica Neue"/>
                <w:sz w:val="22"/>
              </w:rPr>
              <w:t>VPA</w:t>
            </w:r>
            <w:r>
              <w:rPr>
                <w:rFonts w:ascii="Helvetica Neue" w:hAnsi="Helvetica Neue"/>
                <w:sz w:val="22"/>
              </w:rPr>
              <w:t xml:space="preserve"> (h/day)</w:t>
            </w:r>
          </w:p>
        </w:tc>
        <w:tc>
          <w:tcPr>
            <w:tcW w:w="4392" w:type="dxa"/>
          </w:tcPr>
          <w:p w14:paraId="7B2AC918" w14:textId="39D42B4A" w:rsidR="002E1EE0" w:rsidRPr="00AA7420" w:rsidRDefault="00EB502F" w:rsidP="002A0A12">
            <w:pPr>
              <w:jc w:val="center"/>
              <w:rPr>
                <w:rFonts w:ascii="Helvetica Neue" w:hAnsi="Helvetica Neue"/>
                <w:sz w:val="22"/>
              </w:rPr>
            </w:pPr>
            <w:r w:rsidRPr="00EB502F">
              <w:rPr>
                <w:rFonts w:ascii="Helvetica Neue" w:hAnsi="Helvetica Neue"/>
                <w:sz w:val="22"/>
              </w:rPr>
              <w:t>107</w:t>
            </w:r>
            <w:r>
              <w:rPr>
                <w:rFonts w:ascii="Helvetica Neue" w:hAnsi="Helvetica Neue"/>
                <w:sz w:val="22"/>
              </w:rPr>
              <w:t xml:space="preserve"> </w:t>
            </w:r>
            <w:r w:rsidRPr="00EB502F">
              <w:rPr>
                <w:rFonts w:ascii="Helvetica Neue" w:hAnsi="Helvetica Neue"/>
                <w:sz w:val="22"/>
              </w:rPr>
              <w:t>965</w:t>
            </w:r>
            <w:r w:rsidR="00530042">
              <w:rPr>
                <w:rFonts w:ascii="Helvetica Neue" w:hAnsi="Helvetica Neue"/>
                <w:sz w:val="22"/>
              </w:rPr>
              <w:t xml:space="preserve"> (</w:t>
            </w:r>
            <w:r>
              <w:rPr>
                <w:rFonts w:ascii="Helvetica Neue" w:hAnsi="Helvetica Neue"/>
                <w:sz w:val="22"/>
              </w:rPr>
              <w:t>2</w:t>
            </w:r>
            <w:r w:rsidR="00530042">
              <w:rPr>
                <w:rFonts w:ascii="Helvetica Neue" w:hAnsi="Helvetica Neue"/>
                <w:sz w:val="22"/>
              </w:rPr>
              <w:t>3%)</w:t>
            </w:r>
          </w:p>
        </w:tc>
      </w:tr>
      <w:tr w:rsidR="00F70B60" w:rsidRPr="00AA7420" w14:paraId="477C1FC7" w14:textId="77777777" w:rsidTr="002A0A12">
        <w:trPr>
          <w:trHeight w:val="311"/>
        </w:trPr>
        <w:tc>
          <w:tcPr>
            <w:tcW w:w="4391" w:type="dxa"/>
          </w:tcPr>
          <w:p w14:paraId="456B948A" w14:textId="77777777" w:rsidR="00F70B60" w:rsidRDefault="00F70B60" w:rsidP="002A0A12">
            <w:pPr>
              <w:jc w:val="center"/>
              <w:rPr>
                <w:rFonts w:ascii="Helvetica Neue" w:hAnsi="Helvetica Neue"/>
                <w:sz w:val="22"/>
              </w:rPr>
            </w:pPr>
          </w:p>
        </w:tc>
        <w:tc>
          <w:tcPr>
            <w:tcW w:w="4392" w:type="dxa"/>
          </w:tcPr>
          <w:p w14:paraId="4B2E3A37" w14:textId="77777777" w:rsidR="00F70B60" w:rsidRPr="00AA7420" w:rsidRDefault="00F70B60" w:rsidP="002A0A12">
            <w:pPr>
              <w:jc w:val="center"/>
              <w:rPr>
                <w:rFonts w:ascii="Helvetica Neue" w:hAnsi="Helvetica Neue"/>
                <w:sz w:val="22"/>
              </w:rPr>
            </w:pPr>
          </w:p>
        </w:tc>
      </w:tr>
      <w:tr w:rsidR="00F70B60" w:rsidRPr="00AA7420" w14:paraId="018048DA" w14:textId="77777777" w:rsidTr="002A0A12">
        <w:trPr>
          <w:trHeight w:val="311"/>
        </w:trPr>
        <w:tc>
          <w:tcPr>
            <w:tcW w:w="4391" w:type="dxa"/>
          </w:tcPr>
          <w:p w14:paraId="526A219B" w14:textId="78321AA6" w:rsidR="00F70B60" w:rsidRDefault="00F70B60" w:rsidP="002A0A12">
            <w:pPr>
              <w:jc w:val="center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TV viewing</w:t>
            </w:r>
          </w:p>
        </w:tc>
        <w:tc>
          <w:tcPr>
            <w:tcW w:w="4392" w:type="dxa"/>
          </w:tcPr>
          <w:p w14:paraId="4C981591" w14:textId="364AE92C" w:rsidR="00F70B60" w:rsidRPr="00AA7420" w:rsidRDefault="00FF4380" w:rsidP="002A0A12">
            <w:pPr>
              <w:jc w:val="center"/>
              <w:rPr>
                <w:rFonts w:ascii="Helvetica Neue" w:hAnsi="Helvetica Neue"/>
                <w:sz w:val="22"/>
              </w:rPr>
            </w:pPr>
            <w:r w:rsidRPr="00FF4380">
              <w:rPr>
                <w:rFonts w:ascii="Helvetica Neue" w:hAnsi="Helvetica Neue"/>
                <w:sz w:val="22"/>
              </w:rPr>
              <w:t>4874</w:t>
            </w:r>
            <w:r>
              <w:rPr>
                <w:rFonts w:ascii="Helvetica Neue" w:hAnsi="Helvetica Neue"/>
                <w:sz w:val="22"/>
              </w:rPr>
              <w:t xml:space="preserve"> (1%)</w:t>
            </w:r>
          </w:p>
        </w:tc>
      </w:tr>
      <w:tr w:rsidR="002E1EE0" w:rsidRPr="00AA7420" w14:paraId="7A366004" w14:textId="77777777" w:rsidTr="002A0A12">
        <w:trPr>
          <w:trHeight w:val="297"/>
        </w:trPr>
        <w:tc>
          <w:tcPr>
            <w:tcW w:w="4391" w:type="dxa"/>
          </w:tcPr>
          <w:p w14:paraId="4596FDEA" w14:textId="77777777" w:rsidR="002E1EE0" w:rsidRPr="00AA7420" w:rsidRDefault="002E1EE0" w:rsidP="002A0A12">
            <w:pPr>
              <w:jc w:val="center"/>
              <w:rPr>
                <w:rFonts w:ascii="Helvetica Neue" w:hAnsi="Helvetica Neue"/>
                <w:sz w:val="22"/>
              </w:rPr>
            </w:pPr>
          </w:p>
        </w:tc>
        <w:tc>
          <w:tcPr>
            <w:tcW w:w="4392" w:type="dxa"/>
          </w:tcPr>
          <w:p w14:paraId="4C97E4EE" w14:textId="77777777" w:rsidR="002E1EE0" w:rsidRPr="00AA7420" w:rsidRDefault="002E1EE0" w:rsidP="002A0A12">
            <w:pPr>
              <w:jc w:val="center"/>
              <w:rPr>
                <w:rFonts w:ascii="Helvetica Neue" w:hAnsi="Helvetica Neue"/>
                <w:sz w:val="22"/>
              </w:rPr>
            </w:pPr>
          </w:p>
        </w:tc>
      </w:tr>
      <w:tr w:rsidR="009E6348" w:rsidRPr="00AA7420" w14:paraId="184CE8AA" w14:textId="77777777" w:rsidTr="002A0A12">
        <w:trPr>
          <w:trHeight w:val="297"/>
        </w:trPr>
        <w:tc>
          <w:tcPr>
            <w:tcW w:w="4391" w:type="dxa"/>
          </w:tcPr>
          <w:p w14:paraId="703107FF" w14:textId="248766FD" w:rsidR="009E6348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BMI</w:t>
            </w:r>
          </w:p>
        </w:tc>
        <w:tc>
          <w:tcPr>
            <w:tcW w:w="4392" w:type="dxa"/>
          </w:tcPr>
          <w:p w14:paraId="240CC0CB" w14:textId="7986B845" w:rsidR="009E6348" w:rsidRPr="00EF4DC4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  <w:r w:rsidRPr="00D36526">
              <w:rPr>
                <w:rFonts w:ascii="Helvetica Neue" w:hAnsi="Helvetica Neue"/>
                <w:sz w:val="22"/>
              </w:rPr>
              <w:t>2626</w:t>
            </w:r>
            <w:r>
              <w:rPr>
                <w:rFonts w:ascii="Helvetica Neue" w:hAnsi="Helvetica Neue"/>
                <w:sz w:val="22"/>
              </w:rPr>
              <w:t xml:space="preserve"> (&lt;1%)</w:t>
            </w:r>
          </w:p>
        </w:tc>
      </w:tr>
      <w:tr w:rsidR="009E6348" w:rsidRPr="00AA7420" w14:paraId="0E8D2F09" w14:textId="77777777" w:rsidTr="002A0A12">
        <w:trPr>
          <w:trHeight w:val="297"/>
        </w:trPr>
        <w:tc>
          <w:tcPr>
            <w:tcW w:w="4391" w:type="dxa"/>
          </w:tcPr>
          <w:p w14:paraId="74D24F92" w14:textId="77777777" w:rsidR="009E6348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  <w:tc>
          <w:tcPr>
            <w:tcW w:w="4392" w:type="dxa"/>
          </w:tcPr>
          <w:p w14:paraId="43437931" w14:textId="77777777" w:rsidR="009E6348" w:rsidRPr="00EF4DC4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</w:tr>
      <w:tr w:rsidR="009E6348" w:rsidRPr="00AA7420" w14:paraId="656741DC" w14:textId="77777777" w:rsidTr="002A0A12">
        <w:trPr>
          <w:trHeight w:val="297"/>
        </w:trPr>
        <w:tc>
          <w:tcPr>
            <w:tcW w:w="4391" w:type="dxa"/>
          </w:tcPr>
          <w:p w14:paraId="130E6654" w14:textId="64F73DF4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Number of cancer and noncancer illnesses</w:t>
            </w:r>
          </w:p>
        </w:tc>
        <w:tc>
          <w:tcPr>
            <w:tcW w:w="4392" w:type="dxa"/>
          </w:tcPr>
          <w:p w14:paraId="2A785525" w14:textId="2AE706F3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  <w:r w:rsidRPr="00EF4DC4">
              <w:rPr>
                <w:rFonts w:ascii="Helvetica Neue" w:hAnsi="Helvetica Neue"/>
                <w:sz w:val="22"/>
              </w:rPr>
              <w:t>769</w:t>
            </w:r>
            <w:r>
              <w:rPr>
                <w:rFonts w:ascii="Helvetica Neue" w:hAnsi="Helvetica Neue"/>
                <w:sz w:val="22"/>
              </w:rPr>
              <w:t xml:space="preserve"> (&lt;1%)</w:t>
            </w:r>
          </w:p>
        </w:tc>
      </w:tr>
      <w:tr w:rsidR="009E6348" w:rsidRPr="00AA7420" w14:paraId="0ADB5F0C" w14:textId="77777777" w:rsidTr="002A0A12">
        <w:trPr>
          <w:trHeight w:val="297"/>
        </w:trPr>
        <w:tc>
          <w:tcPr>
            <w:tcW w:w="4391" w:type="dxa"/>
          </w:tcPr>
          <w:p w14:paraId="45567175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  <w:tc>
          <w:tcPr>
            <w:tcW w:w="4392" w:type="dxa"/>
          </w:tcPr>
          <w:p w14:paraId="204B7BDC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</w:tr>
      <w:tr w:rsidR="009E6348" w:rsidRPr="00AA7420" w14:paraId="01A31C2B" w14:textId="77777777" w:rsidTr="002A0A12">
        <w:trPr>
          <w:trHeight w:val="311"/>
        </w:trPr>
        <w:tc>
          <w:tcPr>
            <w:tcW w:w="4391" w:type="dxa"/>
          </w:tcPr>
          <w:p w14:paraId="1CDA04B6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  <w:r w:rsidRPr="00AA7420">
              <w:rPr>
                <w:rFonts w:ascii="Helvetica Neue" w:hAnsi="Helvetica Neue"/>
                <w:sz w:val="22"/>
              </w:rPr>
              <w:t>Townsend index</w:t>
            </w:r>
          </w:p>
        </w:tc>
        <w:tc>
          <w:tcPr>
            <w:tcW w:w="4392" w:type="dxa"/>
          </w:tcPr>
          <w:p w14:paraId="72F37A2E" w14:textId="618C967E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  <w:r w:rsidRPr="00EF4DC4">
              <w:rPr>
                <w:rFonts w:ascii="Helvetica Neue" w:hAnsi="Helvetica Neue"/>
                <w:sz w:val="22"/>
              </w:rPr>
              <w:t>597</w:t>
            </w:r>
            <w:r>
              <w:rPr>
                <w:rFonts w:ascii="Helvetica Neue" w:hAnsi="Helvetica Neue"/>
                <w:sz w:val="22"/>
              </w:rPr>
              <w:t xml:space="preserve"> (&lt;1%)</w:t>
            </w:r>
          </w:p>
        </w:tc>
      </w:tr>
      <w:tr w:rsidR="009E6348" w:rsidRPr="00AA7420" w14:paraId="5F432507" w14:textId="77777777" w:rsidTr="002A0A12">
        <w:trPr>
          <w:trHeight w:val="297"/>
        </w:trPr>
        <w:tc>
          <w:tcPr>
            <w:tcW w:w="4391" w:type="dxa"/>
          </w:tcPr>
          <w:p w14:paraId="697C4EFF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  <w:tc>
          <w:tcPr>
            <w:tcW w:w="4392" w:type="dxa"/>
          </w:tcPr>
          <w:p w14:paraId="60EF8160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</w:tr>
      <w:tr w:rsidR="009E6348" w:rsidRPr="00AA7420" w14:paraId="566C02CB" w14:textId="77777777" w:rsidTr="002A0A12">
        <w:trPr>
          <w:trHeight w:val="297"/>
        </w:trPr>
        <w:tc>
          <w:tcPr>
            <w:tcW w:w="4391" w:type="dxa"/>
          </w:tcPr>
          <w:p w14:paraId="2DF05FA0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  <w:r w:rsidRPr="00AA7420">
              <w:rPr>
                <w:rFonts w:ascii="Helvetica Neue" w:hAnsi="Helvetica Neue"/>
                <w:sz w:val="22"/>
              </w:rPr>
              <w:t>Age at baseline</w:t>
            </w:r>
          </w:p>
        </w:tc>
        <w:tc>
          <w:tcPr>
            <w:tcW w:w="4392" w:type="dxa"/>
          </w:tcPr>
          <w:p w14:paraId="79914E0B" w14:textId="514FC336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3 (&lt;1%)</w:t>
            </w:r>
          </w:p>
        </w:tc>
      </w:tr>
      <w:tr w:rsidR="009E6348" w:rsidRPr="00AA7420" w14:paraId="41B3E44D" w14:textId="77777777" w:rsidTr="002A0A12">
        <w:trPr>
          <w:trHeight w:val="297"/>
        </w:trPr>
        <w:tc>
          <w:tcPr>
            <w:tcW w:w="4391" w:type="dxa"/>
          </w:tcPr>
          <w:p w14:paraId="58105CE1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  <w:tc>
          <w:tcPr>
            <w:tcW w:w="4392" w:type="dxa"/>
          </w:tcPr>
          <w:p w14:paraId="06C7FFFB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</w:tr>
      <w:tr w:rsidR="009E6348" w:rsidRPr="00AA7420" w14:paraId="73FE9B39" w14:textId="77777777" w:rsidTr="002A0A12">
        <w:trPr>
          <w:trHeight w:val="297"/>
        </w:trPr>
        <w:tc>
          <w:tcPr>
            <w:tcW w:w="8783" w:type="dxa"/>
            <w:gridSpan w:val="2"/>
          </w:tcPr>
          <w:p w14:paraId="536C1215" w14:textId="77777777" w:rsidR="009E6348" w:rsidRPr="00AA7420" w:rsidRDefault="009E6348" w:rsidP="009E6348">
            <w:pPr>
              <w:rPr>
                <w:rFonts w:ascii="Helvetica Neue" w:hAnsi="Helvetica Neue"/>
                <w:sz w:val="22"/>
              </w:rPr>
            </w:pPr>
            <w:r w:rsidRPr="00AA7420">
              <w:rPr>
                <w:rFonts w:ascii="Helvetica Neue" w:hAnsi="Helvetica Neue"/>
                <w:b/>
                <w:bCs/>
                <w:sz w:val="22"/>
              </w:rPr>
              <w:t>Categorical variables</w:t>
            </w:r>
          </w:p>
        </w:tc>
      </w:tr>
      <w:tr w:rsidR="009E6348" w:rsidRPr="00AA7420" w14:paraId="711CCADE" w14:textId="77777777" w:rsidTr="002A0A12">
        <w:trPr>
          <w:trHeight w:val="148"/>
        </w:trPr>
        <w:tc>
          <w:tcPr>
            <w:tcW w:w="4391" w:type="dxa"/>
          </w:tcPr>
          <w:p w14:paraId="0995D39E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  <w:tc>
          <w:tcPr>
            <w:tcW w:w="4392" w:type="dxa"/>
          </w:tcPr>
          <w:p w14:paraId="53E41C41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</w:tr>
      <w:tr w:rsidR="009E6348" w:rsidRPr="00AA7420" w14:paraId="4EE3F83E" w14:textId="77777777" w:rsidTr="002A0A12">
        <w:trPr>
          <w:trHeight w:val="297"/>
        </w:trPr>
        <w:tc>
          <w:tcPr>
            <w:tcW w:w="4391" w:type="dxa"/>
          </w:tcPr>
          <w:p w14:paraId="25B3FBBC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  <w:r w:rsidRPr="00AA7420">
              <w:rPr>
                <w:rFonts w:ascii="Helvetica Neue" w:hAnsi="Helvetica Neue"/>
                <w:sz w:val="22"/>
              </w:rPr>
              <w:t>Ethnicity</w:t>
            </w:r>
          </w:p>
        </w:tc>
        <w:tc>
          <w:tcPr>
            <w:tcW w:w="4392" w:type="dxa"/>
          </w:tcPr>
          <w:p w14:paraId="04CD312B" w14:textId="353CCBC7" w:rsidR="009E6348" w:rsidRPr="00AA7420" w:rsidRDefault="004C27C4" w:rsidP="009E6348">
            <w:pPr>
              <w:jc w:val="center"/>
              <w:rPr>
                <w:rFonts w:ascii="Helvetica Neue" w:hAnsi="Helvetica Neue"/>
                <w:sz w:val="22"/>
              </w:rPr>
            </w:pPr>
            <w:r w:rsidRPr="004C27C4">
              <w:rPr>
                <w:rFonts w:ascii="Helvetica Neue" w:hAnsi="Helvetica Neue"/>
                <w:sz w:val="22"/>
              </w:rPr>
              <w:t>2552</w:t>
            </w:r>
            <w:r>
              <w:rPr>
                <w:rFonts w:ascii="Helvetica Neue" w:hAnsi="Helvetica Neue"/>
                <w:sz w:val="22"/>
              </w:rPr>
              <w:t xml:space="preserve"> (&lt;1%)</w:t>
            </w:r>
          </w:p>
        </w:tc>
      </w:tr>
      <w:tr w:rsidR="009E6348" w:rsidRPr="00AA7420" w14:paraId="3AD12EB7" w14:textId="77777777" w:rsidTr="002A0A12">
        <w:trPr>
          <w:trHeight w:val="311"/>
        </w:trPr>
        <w:tc>
          <w:tcPr>
            <w:tcW w:w="4391" w:type="dxa"/>
          </w:tcPr>
          <w:p w14:paraId="1AB73027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  <w:tc>
          <w:tcPr>
            <w:tcW w:w="4392" w:type="dxa"/>
          </w:tcPr>
          <w:p w14:paraId="00BF028B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</w:tr>
      <w:tr w:rsidR="009E6348" w:rsidRPr="00AA7420" w14:paraId="36245591" w14:textId="77777777" w:rsidTr="002A0A12">
        <w:trPr>
          <w:trHeight w:val="297"/>
        </w:trPr>
        <w:tc>
          <w:tcPr>
            <w:tcW w:w="4391" w:type="dxa"/>
          </w:tcPr>
          <w:p w14:paraId="05FA005F" w14:textId="77777777" w:rsidR="009E6348" w:rsidRPr="00AA7420" w:rsidRDefault="009E6348" w:rsidP="009E6348">
            <w:pPr>
              <w:jc w:val="center"/>
              <w:rPr>
                <w:rFonts w:ascii="Helvetica Neue" w:hAnsi="Helvetica Neue"/>
                <w:sz w:val="22"/>
              </w:rPr>
            </w:pPr>
            <w:r w:rsidRPr="00AA7420">
              <w:rPr>
                <w:rFonts w:ascii="Helvetica Neue" w:hAnsi="Helvetica Neue"/>
                <w:sz w:val="22"/>
              </w:rPr>
              <w:t>Alcohol intake frequency</w:t>
            </w:r>
          </w:p>
        </w:tc>
        <w:tc>
          <w:tcPr>
            <w:tcW w:w="4392" w:type="dxa"/>
          </w:tcPr>
          <w:p w14:paraId="62ECEBF1" w14:textId="67EFFBFC" w:rsidR="009E6348" w:rsidRPr="00AA7420" w:rsidRDefault="00CD0CF4" w:rsidP="009E6348">
            <w:pPr>
              <w:jc w:val="center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1369 (&lt;1%)</w:t>
            </w:r>
          </w:p>
        </w:tc>
      </w:tr>
      <w:tr w:rsidR="00CD0CF4" w:rsidRPr="00AA7420" w14:paraId="5AAD9C47" w14:textId="77777777" w:rsidTr="002A0A12">
        <w:trPr>
          <w:trHeight w:val="297"/>
        </w:trPr>
        <w:tc>
          <w:tcPr>
            <w:tcW w:w="4391" w:type="dxa"/>
          </w:tcPr>
          <w:p w14:paraId="6D4EA2EA" w14:textId="77777777" w:rsidR="00CD0CF4" w:rsidRPr="00AA7420" w:rsidRDefault="00CD0CF4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  <w:tc>
          <w:tcPr>
            <w:tcW w:w="4392" w:type="dxa"/>
          </w:tcPr>
          <w:p w14:paraId="7CCCDFAB" w14:textId="77777777" w:rsidR="00CD0CF4" w:rsidRDefault="00CD0CF4" w:rsidP="009E6348">
            <w:pPr>
              <w:jc w:val="center"/>
              <w:rPr>
                <w:rFonts w:ascii="Helvetica Neue" w:hAnsi="Helvetica Neue"/>
                <w:sz w:val="22"/>
              </w:rPr>
            </w:pPr>
          </w:p>
        </w:tc>
      </w:tr>
      <w:tr w:rsidR="00CD0CF4" w:rsidRPr="00AA7420" w14:paraId="5A8B6328" w14:textId="77777777" w:rsidTr="002A0A12">
        <w:trPr>
          <w:trHeight w:val="297"/>
        </w:trPr>
        <w:tc>
          <w:tcPr>
            <w:tcW w:w="4391" w:type="dxa"/>
          </w:tcPr>
          <w:p w14:paraId="7CD43B0C" w14:textId="04998BF7" w:rsidR="00CD0CF4" w:rsidRPr="00AA7420" w:rsidRDefault="00CD0CF4" w:rsidP="00CD0CF4">
            <w:pPr>
              <w:jc w:val="center"/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Tobacco smoking frequency</w:t>
            </w:r>
          </w:p>
        </w:tc>
        <w:tc>
          <w:tcPr>
            <w:tcW w:w="4392" w:type="dxa"/>
          </w:tcPr>
          <w:p w14:paraId="74EA45F9" w14:textId="119B27C0" w:rsidR="00CD0CF4" w:rsidRDefault="00CD0CF4" w:rsidP="00CD0CF4">
            <w:pPr>
              <w:jc w:val="center"/>
              <w:rPr>
                <w:rFonts w:ascii="Helvetica Neue" w:hAnsi="Helvetica Neue"/>
                <w:sz w:val="22"/>
              </w:rPr>
            </w:pPr>
            <w:r w:rsidRPr="009F0EB9">
              <w:rPr>
                <w:rFonts w:ascii="Helvetica Neue" w:hAnsi="Helvetica Neue"/>
                <w:sz w:val="22"/>
              </w:rPr>
              <w:t>1198</w:t>
            </w:r>
            <w:r>
              <w:rPr>
                <w:rFonts w:ascii="Helvetica Neue" w:hAnsi="Helvetica Neue"/>
                <w:sz w:val="22"/>
              </w:rPr>
              <w:t xml:space="preserve"> (&lt;1%)</w:t>
            </w:r>
          </w:p>
        </w:tc>
      </w:tr>
      <w:tr w:rsidR="00CD0CF4" w:rsidRPr="00AA7420" w14:paraId="3C8F998A" w14:textId="77777777" w:rsidTr="002A0A12">
        <w:trPr>
          <w:trHeight w:val="297"/>
        </w:trPr>
        <w:tc>
          <w:tcPr>
            <w:tcW w:w="8783" w:type="dxa"/>
            <w:gridSpan w:val="2"/>
            <w:tcBorders>
              <w:top w:val="single" w:sz="4" w:space="0" w:color="auto"/>
            </w:tcBorders>
          </w:tcPr>
          <w:p w14:paraId="7DE7B174" w14:textId="281E1EA7" w:rsidR="00CD0CF4" w:rsidRPr="00AA7420" w:rsidRDefault="00CD0CF4" w:rsidP="00CD0CF4">
            <w:pPr>
              <w:spacing w:before="240" w:line="360" w:lineRule="auto"/>
              <w:rPr>
                <w:rFonts w:ascii="Helvetica Neue" w:hAnsi="Helvetica Neue"/>
                <w:sz w:val="22"/>
              </w:rPr>
            </w:pPr>
            <w:r w:rsidRPr="00734F3C">
              <w:rPr>
                <w:rFonts w:ascii="Helvetica Neue" w:hAnsi="Helvetica Neue"/>
                <w:sz w:val="22"/>
              </w:rPr>
              <w:t>MPA, moderate-intensity physical activity; VPA, vigorous-intensity physical activity</w:t>
            </w:r>
            <w:r w:rsidR="0097603B">
              <w:rPr>
                <w:rFonts w:ascii="Helvetica Neue" w:hAnsi="Helvetica Neue"/>
                <w:sz w:val="22"/>
              </w:rPr>
              <w:t xml:space="preserve">; </w:t>
            </w:r>
            <w:r w:rsidR="0097603B" w:rsidRPr="00734F3C">
              <w:rPr>
                <w:rFonts w:ascii="Helvetica Neue" w:hAnsi="Helvetica Neue"/>
                <w:sz w:val="22"/>
              </w:rPr>
              <w:t>BMI, body mass index</w:t>
            </w:r>
            <w:r w:rsidR="0097603B">
              <w:rPr>
                <w:rFonts w:ascii="Helvetica Neue" w:hAnsi="Helvetica Neue"/>
                <w:sz w:val="22"/>
              </w:rPr>
              <w:t>.</w:t>
            </w:r>
          </w:p>
        </w:tc>
      </w:tr>
    </w:tbl>
    <w:p w14:paraId="7ABD30AD" w14:textId="77777777" w:rsidR="006D4638" w:rsidRDefault="006D4638" w:rsidP="002E1EE0">
      <w:pPr>
        <w:jc w:val="both"/>
      </w:pPr>
      <w:r>
        <w:br w:type="page"/>
      </w:r>
    </w:p>
    <w:tbl>
      <w:tblPr>
        <w:tblStyle w:val="TableGrid"/>
        <w:tblpPr w:leftFromText="180" w:rightFromText="180" w:vertAnchor="text" w:horzAnchor="margin" w:tblpY="164"/>
        <w:tblOverlap w:val="never"/>
        <w:tblW w:w="8934" w:type="dxa"/>
        <w:tblLook w:val="04A0" w:firstRow="1" w:lastRow="0" w:firstColumn="1" w:lastColumn="0" w:noHBand="0" w:noVBand="1"/>
      </w:tblPr>
      <w:tblGrid>
        <w:gridCol w:w="3319"/>
        <w:gridCol w:w="2731"/>
        <w:gridCol w:w="2884"/>
      </w:tblGrid>
      <w:tr w:rsidR="002237E9" w:rsidRPr="00EE398A" w14:paraId="043CF3C3" w14:textId="77777777" w:rsidTr="00BD70A5">
        <w:trPr>
          <w:trHeight w:val="367"/>
        </w:trPr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FE690" w14:textId="196FD814" w:rsidR="002237E9" w:rsidRPr="00EE398A" w:rsidRDefault="002237E9" w:rsidP="00BD70A5">
            <w:pPr>
              <w:spacing w:line="360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000000" w:themeColor="text1"/>
                <w:sz w:val="22"/>
              </w:rPr>
              <w:lastRenderedPageBreak/>
              <w:t xml:space="preserve">Supplementary </w:t>
            </w:r>
            <w:r w:rsidRPr="00F70C9F">
              <w:rPr>
                <w:rFonts w:ascii="Helvetica Neue" w:hAnsi="Helvetica Neue"/>
                <w:b/>
                <w:bCs/>
                <w:color w:val="000000" w:themeColor="text1"/>
                <w:sz w:val="22"/>
              </w:rPr>
              <w:t xml:space="preserve">Table </w:t>
            </w:r>
            <w:r w:rsidR="006D4638">
              <w:rPr>
                <w:rFonts w:ascii="Helvetica Neue" w:hAnsi="Helvetica Neue"/>
                <w:b/>
                <w:bCs/>
                <w:color w:val="000000" w:themeColor="text1"/>
                <w:sz w:val="22"/>
              </w:rPr>
              <w:t>2</w:t>
            </w:r>
            <w:r w:rsidRPr="00F70C9F">
              <w:rPr>
                <w:rFonts w:ascii="Helvetica Neue" w:hAnsi="Helvetica Neue"/>
                <w:b/>
                <w:bCs/>
                <w:color w:val="000000" w:themeColor="text1"/>
                <w:sz w:val="22"/>
              </w:rPr>
              <w:t xml:space="preserve">. </w:t>
            </w:r>
            <w:r w:rsidRPr="00F70C9F">
              <w:rPr>
                <w:rFonts w:ascii="Helvetica Neue" w:hAnsi="Helvetica Neue"/>
                <w:color w:val="000000" w:themeColor="text1"/>
                <w:sz w:val="22"/>
              </w:rPr>
              <w:t>Participant characteristics for those who did and did not die from COVID-19.</w:t>
            </w:r>
          </w:p>
        </w:tc>
      </w:tr>
      <w:tr w:rsidR="002237E9" w:rsidRPr="00EE398A" w14:paraId="5DD646E7" w14:textId="77777777" w:rsidTr="00BD70A5">
        <w:trPr>
          <w:trHeight w:val="556"/>
        </w:trPr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04453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Characteristic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9FEBD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No COVID-19 mortality</w:t>
            </w:r>
          </w:p>
          <w:p w14:paraId="471E89A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(N = 358 877)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3A235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COVID-19 mortality</w:t>
            </w:r>
          </w:p>
          <w:p w14:paraId="2FC2C39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(N = 879)</w:t>
            </w:r>
          </w:p>
        </w:tc>
      </w:tr>
      <w:tr w:rsidR="002237E9" w:rsidRPr="00EE398A" w14:paraId="7BF28562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06AFDF7" w14:textId="77777777" w:rsidR="002237E9" w:rsidRPr="00142782" w:rsidRDefault="002237E9" w:rsidP="00BD70A5">
            <w:pPr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Continuous variables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239D8B61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DF8C6E1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340D17D2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1F3E88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252C5A7C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1981FEA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4F74953E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5579586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Baseline age (years)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3C102566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56 (8)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2778D4D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62 (6)</w:t>
            </w:r>
          </w:p>
        </w:tc>
      </w:tr>
      <w:tr w:rsidR="002237E9" w:rsidRPr="00EE398A" w14:paraId="4E2B0C3E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68E564C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5D91753A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04B272F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625A39A8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4817C04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Current age (years)*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567F88F5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67 (8)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5B6013B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74 (6)</w:t>
            </w:r>
          </w:p>
        </w:tc>
      </w:tr>
      <w:tr w:rsidR="002237E9" w:rsidRPr="00EE398A" w14:paraId="27B7DAFA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A62BA5F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7894AE44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AEE6C26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6F370CCE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3587552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i/>
                <w:iCs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BMI (kg/m</w:t>
            </w: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0399B61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27.2 (4.6)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AEB480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29.8 (5.7)</w:t>
            </w:r>
          </w:p>
        </w:tc>
      </w:tr>
      <w:tr w:rsidR="002237E9" w:rsidRPr="00EE398A" w14:paraId="236539D9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DF339FE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67048230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3035F21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2D584654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D6910E5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Townsend Index</w:t>
            </w:r>
            <w:r w:rsidRPr="00142782">
              <w:rPr>
                <w:rFonts w:ascii="Helvetica Neue" w:hAnsi="Helvetica Neue" w:cs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42BA23F1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-1.5 (3.0)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A01AD0A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-0.3 (3.5)</w:t>
            </w:r>
          </w:p>
        </w:tc>
      </w:tr>
      <w:tr w:rsidR="002237E9" w:rsidRPr="00EE398A" w14:paraId="61C32344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E8EDB5C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39821FE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00EC5B2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48537AF2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62CCD3C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Number of cancer and noncancer illnesses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4FCA2EFE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 (2)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A79A8F5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3 (2)</w:t>
            </w:r>
          </w:p>
        </w:tc>
      </w:tr>
      <w:tr w:rsidR="002237E9" w:rsidRPr="00EE398A" w14:paraId="416352D0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5A07BBE" w14:textId="77777777" w:rsidR="002237E9" w:rsidRPr="00142782" w:rsidRDefault="002237E9" w:rsidP="00BD70A5">
            <w:pPr>
              <w:rPr>
                <w:rFonts w:ascii="Helvetica Neue" w:hAnsi="Helvetica Neue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38B7FC18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54EF6EB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45E1FAEF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A6CCD4E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TV viewing (h/day)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5B0CF7B6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2.64 (1.62)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B87DACF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3.45 (1.97)</w:t>
            </w:r>
          </w:p>
        </w:tc>
      </w:tr>
      <w:tr w:rsidR="002237E9" w:rsidRPr="00EE398A" w14:paraId="15A71016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9648476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703A49FA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734F4FC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35A5F4B9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520D9BC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Walking (h/day)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184DCE8D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0.76 (0.79)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BF9B51C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0.71 (0.75)</w:t>
            </w:r>
          </w:p>
        </w:tc>
      </w:tr>
      <w:tr w:rsidR="002237E9" w:rsidRPr="00EE398A" w14:paraId="485714EB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AAA394B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2F64D52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A520A04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6EB9A915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FCA5090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i/>
                <w:iCs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MPA (h/day)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1F81924F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0.56 (0.73)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8D6AD0D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0.59 (0.77)</w:t>
            </w:r>
          </w:p>
        </w:tc>
      </w:tr>
      <w:tr w:rsidR="002237E9" w:rsidRPr="00EE398A" w14:paraId="574F5D7E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39870E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6A304BDF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9DB90D0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27B054A4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AC29420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VPA (h/day)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35B951F0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0.21 (0.36)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1893483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0.19 (0.38)</w:t>
            </w:r>
          </w:p>
        </w:tc>
      </w:tr>
      <w:tr w:rsidR="002237E9" w:rsidRPr="00EE398A" w14:paraId="37FE545E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2ABE342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073A1FFD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BE9EB8D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7F7855B7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2F77350" w14:textId="77777777" w:rsidR="002237E9" w:rsidRPr="00142782" w:rsidRDefault="002237E9" w:rsidP="00BD70A5">
            <w:pPr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Categorical variables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5A0FA3BF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509AE81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218783A3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67D38ED" w14:textId="77777777" w:rsidR="002237E9" w:rsidRPr="00142782" w:rsidRDefault="002237E9" w:rsidP="00BD70A5">
            <w:pPr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4CFDC838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EF6EA4E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69E3F25E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6D1BAC3" w14:textId="77777777" w:rsidR="002237E9" w:rsidRPr="00142782" w:rsidRDefault="002237E9" w:rsidP="00BD70A5">
            <w:pPr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16F6ADAC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071695E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37D68FEC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8D5FB54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Male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7417B70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168 827 (47%)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CD58EDD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596 (68%)</w:t>
            </w:r>
          </w:p>
        </w:tc>
      </w:tr>
      <w:tr w:rsidR="002237E9" w:rsidRPr="00EE398A" w14:paraId="7CC167AD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D5C3032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Female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14B1B161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190 050 (53%)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FEE871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283 (32%)</w:t>
            </w:r>
          </w:p>
        </w:tc>
      </w:tr>
      <w:tr w:rsidR="002237E9" w:rsidRPr="00EE398A" w14:paraId="174D6BCB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2B34E76" w14:textId="77777777" w:rsidR="002237E9" w:rsidRPr="00142782" w:rsidRDefault="002237E9" w:rsidP="00BD70A5">
            <w:pPr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53D5CD06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C2735F2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1990B379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02D0D49" w14:textId="77777777" w:rsidR="002237E9" w:rsidRPr="00142782" w:rsidRDefault="002237E9" w:rsidP="00BD70A5">
            <w:pPr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18"/>
                <w:szCs w:val="18"/>
              </w:rPr>
              <w:t>Ethnicity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2B636863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FA860A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3CE364C7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F41E366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7DBDB3F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341 352 (95%)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1AE0ADB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812 (92%)</w:t>
            </w:r>
          </w:p>
        </w:tc>
      </w:tr>
      <w:tr w:rsidR="002237E9" w:rsidRPr="00EE398A" w14:paraId="5123140B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A9DEB73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Non-white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175E8DB8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17 525 (5%)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16F97E6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67 (8%)</w:t>
            </w:r>
          </w:p>
        </w:tc>
      </w:tr>
      <w:tr w:rsidR="002237E9" w:rsidRPr="00EE398A" w14:paraId="51D6C53B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9C4BA65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1B2F8AB6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9E92FAD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5ECC2BB9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75949EB" w14:textId="77777777" w:rsidR="002237E9" w:rsidRPr="00142782" w:rsidRDefault="002237E9" w:rsidP="00BD70A5">
            <w:pPr>
              <w:jc w:val="both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18"/>
                <w:szCs w:val="18"/>
              </w:rPr>
              <w:t>Tobacco smoking frequency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77757BE8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11F74AE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3AE244E1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9B6436E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On most or all days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4045AA0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24 396 (7%)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B98AAEE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107 (12%)</w:t>
            </w:r>
          </w:p>
        </w:tc>
      </w:tr>
      <w:tr w:rsidR="002237E9" w:rsidRPr="00EE398A" w14:paraId="6788B28C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5792C1B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Only occasionally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649DBC68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9844 (3%)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251CF41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23 (3%)</w:t>
            </w:r>
          </w:p>
        </w:tc>
      </w:tr>
      <w:tr w:rsidR="002237E9" w:rsidRPr="00EE398A" w14:paraId="5689FBAF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2369F12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Non-smoker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048132D6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324 637 (90%)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B87DF2F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749 (85%)</w:t>
            </w:r>
          </w:p>
        </w:tc>
      </w:tr>
      <w:tr w:rsidR="002237E9" w:rsidRPr="00EE398A" w14:paraId="2C937B5C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6894F9B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5CBF976B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D20C0DC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08783892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0F03E2E" w14:textId="77777777" w:rsidR="002237E9" w:rsidRPr="00142782" w:rsidRDefault="002237E9" w:rsidP="00BD70A5">
            <w:pPr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18"/>
                <w:szCs w:val="18"/>
              </w:rPr>
              <w:t>Alcohol intake frequency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0B8E48AD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C86BFC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</w:p>
        </w:tc>
      </w:tr>
      <w:tr w:rsidR="002237E9" w:rsidRPr="00EE398A" w14:paraId="4F209282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71EF583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i/>
                <w:iCs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Daily/almost daily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49BD461B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76 516 (21%)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D375764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177 (20%)</w:t>
            </w:r>
          </w:p>
        </w:tc>
      </w:tr>
      <w:tr w:rsidR="002237E9" w:rsidRPr="00EE398A" w14:paraId="0FCF5F02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FA176BF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1-4x/week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605537FB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180 720 (50%)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05173AC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365 (42%)</w:t>
            </w:r>
          </w:p>
        </w:tc>
      </w:tr>
      <w:tr w:rsidR="002237E9" w:rsidRPr="00EE398A" w14:paraId="775CAC7F" w14:textId="77777777" w:rsidTr="00BD70A5">
        <w:trPr>
          <w:trHeight w:val="18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17C9B2E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1-3x/month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445A0A2E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39 642 (11%)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D4551B7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85 (10%)</w:t>
            </w:r>
          </w:p>
        </w:tc>
      </w:tr>
      <w:tr w:rsidR="002237E9" w:rsidRPr="00EE398A" w14:paraId="35828DF5" w14:textId="77777777" w:rsidTr="00BD70A5">
        <w:trPr>
          <w:trHeight w:val="9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9528E3B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Special occasions/never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2F273E48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61 999 (17%)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F8D29A0" w14:textId="77777777" w:rsidR="002237E9" w:rsidRPr="00142782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142782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252 (29%)</w:t>
            </w:r>
          </w:p>
        </w:tc>
      </w:tr>
      <w:tr w:rsidR="002237E9" w:rsidRPr="00EE398A" w14:paraId="4E38AB7E" w14:textId="77777777" w:rsidTr="00BD70A5">
        <w:trPr>
          <w:trHeight w:val="17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C8CB7A2" w14:textId="77777777" w:rsidR="002237E9" w:rsidRPr="00F70C9F" w:rsidRDefault="002237E9" w:rsidP="00BD70A5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6D6DB490" w14:textId="77777777" w:rsidR="002237E9" w:rsidRPr="00F70C9F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4B4FC1D" w14:textId="77777777" w:rsidR="002237E9" w:rsidRPr="00F70C9F" w:rsidRDefault="002237E9" w:rsidP="00BD70A5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2237E9" w:rsidRPr="00EE398A" w14:paraId="628F4CCF" w14:textId="77777777" w:rsidTr="00BD70A5">
        <w:trPr>
          <w:trHeight w:val="377"/>
        </w:trPr>
        <w:tc>
          <w:tcPr>
            <w:tcW w:w="8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7DB22" w14:textId="77777777" w:rsidR="002237E9" w:rsidRPr="00A6645F" w:rsidRDefault="002237E9" w:rsidP="00BD70A5">
            <w:pPr>
              <w:spacing w:before="240" w:line="360" w:lineRule="auto"/>
              <w:jc w:val="both"/>
              <w:rPr>
                <w:rFonts w:ascii="Helvetica Neue" w:hAnsi="Helvetica Neue"/>
                <w:color w:val="000000" w:themeColor="text1"/>
                <w:sz w:val="22"/>
              </w:rPr>
            </w:pPr>
            <w:r w:rsidRPr="00A6645F">
              <w:rPr>
                <w:rFonts w:ascii="Helvetica Neue" w:hAnsi="Helvetica Neue"/>
                <w:color w:val="000000" w:themeColor="text1"/>
                <w:sz w:val="22"/>
              </w:rPr>
              <w:t>Characteristics presented as mean (standard deviation) for continuous variables, and number (percentage) for categorical variables.</w:t>
            </w:r>
          </w:p>
          <w:p w14:paraId="013EA9CE" w14:textId="77777777" w:rsidR="002237E9" w:rsidRPr="00A6645F" w:rsidRDefault="002237E9" w:rsidP="00BD70A5">
            <w:pPr>
              <w:spacing w:line="360" w:lineRule="auto"/>
              <w:jc w:val="both"/>
              <w:rPr>
                <w:rFonts w:ascii="Helvetica Neue" w:hAnsi="Helvetica Neue"/>
                <w:color w:val="000000" w:themeColor="text1"/>
                <w:sz w:val="22"/>
              </w:rPr>
            </w:pPr>
            <w:r w:rsidRPr="00A6645F">
              <w:rPr>
                <w:rFonts w:ascii="Helvetica Neue" w:hAnsi="Helvetica Neue"/>
                <w:color w:val="000000" w:themeColor="text1"/>
                <w:sz w:val="22"/>
              </w:rPr>
              <w:t>*Age as of March 1</w:t>
            </w:r>
            <w:r w:rsidRPr="00A6645F">
              <w:rPr>
                <w:rFonts w:ascii="Helvetica Neue" w:hAnsi="Helvetica Neue"/>
                <w:color w:val="000000" w:themeColor="text1"/>
                <w:sz w:val="22"/>
                <w:vertAlign w:val="superscript"/>
              </w:rPr>
              <w:t>st</w:t>
            </w:r>
            <w:r w:rsidRPr="00A6645F">
              <w:rPr>
                <w:rFonts w:ascii="Helvetica Neue" w:hAnsi="Helvetica Neue"/>
                <w:color w:val="000000" w:themeColor="text1"/>
                <w:sz w:val="22"/>
              </w:rPr>
              <w:t>, 2020.</w:t>
            </w:r>
          </w:p>
          <w:p w14:paraId="5C050074" w14:textId="77777777" w:rsidR="002237E9" w:rsidRPr="00A6645F" w:rsidRDefault="002237E9" w:rsidP="00BD70A5">
            <w:pPr>
              <w:spacing w:line="360" w:lineRule="auto"/>
              <w:jc w:val="both"/>
              <w:rPr>
                <w:rFonts w:ascii="Helvetica Neue" w:hAnsi="Helvetica Neue" w:cs="Times New Roman"/>
                <w:color w:val="000000" w:themeColor="text1"/>
                <w:sz w:val="22"/>
              </w:rPr>
            </w:pPr>
            <w:r w:rsidRPr="00A6645F">
              <w:rPr>
                <w:rFonts w:ascii="Helvetica Neue" w:hAnsi="Helvetica Neue" w:cs="Times New Roman"/>
                <w:color w:val="000000" w:themeColor="text1"/>
                <w:sz w:val="22"/>
                <w:vertAlign w:val="superscript"/>
              </w:rPr>
              <w:t>†</w:t>
            </w:r>
            <w:r w:rsidRPr="00A6645F">
              <w:rPr>
                <w:rFonts w:ascii="Helvetica Neue" w:hAnsi="Helvetica Neue" w:cs="Times New Roman"/>
                <w:color w:val="000000" w:themeColor="text1"/>
                <w:sz w:val="22"/>
              </w:rPr>
              <w:t>Higher values for Townsend Index imply a greater degree of deprivation.</w:t>
            </w:r>
          </w:p>
          <w:p w14:paraId="46EF39F5" w14:textId="77777777" w:rsidR="002237E9" w:rsidRPr="00EE398A" w:rsidRDefault="002237E9" w:rsidP="00BD70A5">
            <w:pPr>
              <w:spacing w:line="360" w:lineRule="auto"/>
              <w:jc w:val="both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A6645F">
              <w:rPr>
                <w:rFonts w:ascii="Helvetica Neue" w:hAnsi="Helvetica Neue" w:cs="Times New Roman"/>
                <w:color w:val="000000" w:themeColor="text1"/>
                <w:sz w:val="22"/>
              </w:rPr>
              <w:lastRenderedPageBreak/>
              <w:t>BMI, body mass index; MPA, moderate-intensity physical activity; VPA, vigorous-intensity physical activity.</w:t>
            </w:r>
          </w:p>
        </w:tc>
      </w:tr>
    </w:tbl>
    <w:p w14:paraId="6300D2B2" w14:textId="3BD1EA88" w:rsidR="00883FB2" w:rsidRDefault="00883FB2"/>
    <w:tbl>
      <w:tblPr>
        <w:tblStyle w:val="TableGrid"/>
        <w:tblpPr w:leftFromText="180" w:rightFromText="180" w:vertAnchor="text" w:horzAnchor="margin" w:tblpY="115"/>
        <w:tblOverlap w:val="never"/>
        <w:tblW w:w="8926" w:type="dxa"/>
        <w:tblLook w:val="04A0" w:firstRow="1" w:lastRow="0" w:firstColumn="1" w:lastColumn="0" w:noHBand="0" w:noVBand="1"/>
      </w:tblPr>
      <w:tblGrid>
        <w:gridCol w:w="2322"/>
        <w:gridCol w:w="2278"/>
        <w:gridCol w:w="2163"/>
        <w:gridCol w:w="2163"/>
      </w:tblGrid>
      <w:tr w:rsidR="00DC55DF" w:rsidRPr="00014217" w14:paraId="3BE94CC7" w14:textId="77777777" w:rsidTr="009D1977">
        <w:trPr>
          <w:trHeight w:val="643"/>
        </w:trPr>
        <w:tc>
          <w:tcPr>
            <w:tcW w:w="8926" w:type="dxa"/>
            <w:gridSpan w:val="4"/>
            <w:tcBorders>
              <w:top w:val="nil"/>
              <w:left w:val="nil"/>
              <w:right w:val="nil"/>
            </w:tcBorders>
          </w:tcPr>
          <w:p w14:paraId="6E187910" w14:textId="7771EE1D" w:rsidR="00DC55DF" w:rsidRDefault="00DC55DF" w:rsidP="009D1977">
            <w:pPr>
              <w:spacing w:line="360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color w:val="000000" w:themeColor="text1"/>
                <w:sz w:val="22"/>
              </w:rPr>
              <w:t xml:space="preserve">Supplementary </w:t>
            </w:r>
            <w:r w:rsidRPr="005B72A5">
              <w:rPr>
                <w:rFonts w:ascii="Helvetica Neue" w:hAnsi="Helvetica Neue"/>
                <w:b/>
                <w:bCs/>
                <w:color w:val="000000" w:themeColor="text1"/>
                <w:sz w:val="22"/>
              </w:rPr>
              <w:t xml:space="preserve">Table </w:t>
            </w:r>
            <w:r w:rsidR="006D4638">
              <w:rPr>
                <w:rFonts w:ascii="Helvetica Neue" w:hAnsi="Helvetica Neue"/>
                <w:b/>
                <w:bCs/>
                <w:color w:val="000000" w:themeColor="text1"/>
                <w:sz w:val="22"/>
              </w:rPr>
              <w:t>3</w:t>
            </w:r>
            <w:r w:rsidRPr="005B72A5">
              <w:rPr>
                <w:rFonts w:ascii="Helvetica Neue" w:hAnsi="Helvetica Neue"/>
                <w:b/>
                <w:bCs/>
                <w:color w:val="000000" w:themeColor="text1"/>
                <w:sz w:val="22"/>
              </w:rPr>
              <w:t xml:space="preserve">. </w:t>
            </w:r>
            <w:r>
              <w:rPr>
                <w:rFonts w:ascii="Helvetica Neue" w:hAnsi="Helvetica Neue"/>
                <w:color w:val="000000" w:themeColor="text1"/>
                <w:sz w:val="22"/>
              </w:rPr>
              <w:t xml:space="preserve">Sensitivity analysis - </w:t>
            </w:r>
            <w:r w:rsidRPr="00F11DA8">
              <w:rPr>
                <w:rFonts w:ascii="Helvetica Neue" w:hAnsi="Helvetica Neue"/>
                <w:color w:val="000000" w:themeColor="text1"/>
                <w:sz w:val="22"/>
              </w:rPr>
              <w:t xml:space="preserve"> </w:t>
            </w:r>
            <w:r>
              <w:rPr>
                <w:rFonts w:ascii="Helvetica Neue" w:hAnsi="Helvetica Neue"/>
                <w:color w:val="000000" w:themeColor="text1"/>
                <w:sz w:val="22"/>
              </w:rPr>
              <w:t>isotemporal substitution models examining the effect of replacing TV viewing with walking, MPA and VPA on COVID-19 mortality risk, with additional adjustment for BMI.</w:t>
            </w:r>
          </w:p>
        </w:tc>
      </w:tr>
      <w:tr w:rsidR="00DC55DF" w:rsidRPr="00014217" w14:paraId="60D73E06" w14:textId="77777777" w:rsidTr="009D1977">
        <w:trPr>
          <w:trHeight w:val="643"/>
        </w:trPr>
        <w:tc>
          <w:tcPr>
            <w:tcW w:w="2322" w:type="dxa"/>
            <w:tcBorders>
              <w:top w:val="single" w:sz="4" w:space="0" w:color="auto"/>
              <w:left w:val="nil"/>
              <w:right w:val="nil"/>
            </w:tcBorders>
          </w:tcPr>
          <w:p w14:paraId="003352C7" w14:textId="77777777" w:rsidR="00DC55DF" w:rsidRPr="00014217" w:rsidRDefault="00DC55DF" w:rsidP="009D1977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FB3FA9" w14:textId="77777777" w:rsidR="00DC55DF" w:rsidRPr="00014217" w:rsidRDefault="00DC55DF" w:rsidP="009D1977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Walking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C6060D" w14:textId="77777777" w:rsidR="00DC55DF" w:rsidRPr="00014217" w:rsidRDefault="00DC55DF" w:rsidP="009D1977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MPA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E2BF71" w14:textId="77777777" w:rsidR="00DC55DF" w:rsidRPr="00014217" w:rsidRDefault="00DC55DF" w:rsidP="009D1977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color w:val="000000" w:themeColor="text1"/>
                <w:sz w:val="20"/>
                <w:szCs w:val="20"/>
              </w:rPr>
              <w:t>VPA</w:t>
            </w:r>
          </w:p>
        </w:tc>
      </w:tr>
      <w:tr w:rsidR="00DC55DF" w:rsidRPr="0086720E" w14:paraId="288EFDE6" w14:textId="77777777" w:rsidTr="009D1977">
        <w:trPr>
          <w:trHeight w:val="107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C7347AB" w14:textId="77777777" w:rsidR="00DC55DF" w:rsidRPr="00014217" w:rsidRDefault="00DC55DF" w:rsidP="009D1977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2D913CA5" w14:textId="77777777" w:rsidR="00DC55DF" w:rsidRPr="0086720E" w:rsidRDefault="00DC55DF" w:rsidP="009D1977">
            <w:pPr>
              <w:jc w:val="center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37D05165" w14:textId="77777777" w:rsidR="00DC55DF" w:rsidRPr="0086720E" w:rsidRDefault="00DC55DF" w:rsidP="009D1977">
            <w:pPr>
              <w:jc w:val="center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4DCF6628" w14:textId="77777777" w:rsidR="00DC55DF" w:rsidRPr="0086720E" w:rsidRDefault="00DC55DF" w:rsidP="009D1977">
            <w:pPr>
              <w:jc w:val="center"/>
              <w:rPr>
                <w:rFonts w:ascii="Helvetica Neue" w:hAnsi="Helvetica Neue"/>
                <w:color w:val="000000" w:themeColor="text1"/>
                <w:sz w:val="16"/>
                <w:szCs w:val="16"/>
              </w:rPr>
            </w:pPr>
          </w:p>
        </w:tc>
      </w:tr>
      <w:tr w:rsidR="00DC55DF" w:rsidRPr="007E6747" w14:paraId="5BD50F93" w14:textId="77777777" w:rsidTr="009D1977">
        <w:trPr>
          <w:trHeight w:val="107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0AF3394" w14:textId="77777777" w:rsidR="00DC55DF" w:rsidRPr="00BF180A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100464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Full sample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2C5A7222" w14:textId="3DD3F3F4" w:rsidR="00DC55DF" w:rsidRPr="00BE607A" w:rsidRDefault="00DC55DF" w:rsidP="00DC55DF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Helvetica Neue" w:hAnsi="Helvetica Neue"/>
                <w:b/>
                <w:bCs/>
                <w:color w:val="000000" w:themeColor="text1"/>
                <w:sz w:val="19"/>
                <w:szCs w:val="19"/>
              </w:rPr>
              <w:t>0.87 (0.78 – 0.97)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24D95320" w14:textId="2132D4CD" w:rsidR="00DC55DF" w:rsidRPr="00371DAE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  <w:r w:rsidRPr="00371DAE">
              <w:rPr>
                <w:rFonts w:ascii="Helvetica Neue" w:hAnsi="Helvetica Neue"/>
                <w:color w:val="000000" w:themeColor="text1"/>
                <w:sz w:val="19"/>
                <w:szCs w:val="19"/>
              </w:rPr>
              <w:t>0.9</w:t>
            </w:r>
            <w:r>
              <w:rPr>
                <w:rFonts w:ascii="Helvetica Neue" w:hAnsi="Helvetica Neue"/>
                <w:color w:val="000000" w:themeColor="text1"/>
                <w:sz w:val="19"/>
                <w:szCs w:val="19"/>
              </w:rPr>
              <w:t>5</w:t>
            </w:r>
            <w:r w:rsidRPr="00371DAE">
              <w:rPr>
                <w:rFonts w:ascii="Helvetica Neue" w:hAnsi="Helvetica Neue"/>
                <w:color w:val="000000" w:themeColor="text1"/>
                <w:sz w:val="19"/>
                <w:szCs w:val="19"/>
              </w:rPr>
              <w:t xml:space="preserve"> (0.8</w:t>
            </w:r>
            <w:r>
              <w:rPr>
                <w:rFonts w:ascii="Helvetica Neue" w:hAnsi="Helvetica Neue"/>
                <w:color w:val="000000" w:themeColor="text1"/>
                <w:sz w:val="19"/>
                <w:szCs w:val="19"/>
              </w:rPr>
              <w:t>5</w:t>
            </w:r>
            <w:r w:rsidRPr="00371DAE">
              <w:rPr>
                <w:rFonts w:ascii="Helvetica Neue" w:hAnsi="Helvetica Neue"/>
                <w:color w:val="000000" w:themeColor="text1"/>
                <w:sz w:val="19"/>
                <w:szCs w:val="19"/>
              </w:rPr>
              <w:t xml:space="preserve"> – 1.0</w:t>
            </w:r>
            <w:r>
              <w:rPr>
                <w:rFonts w:ascii="Helvetica Neue" w:hAnsi="Helvetica Neue"/>
                <w:color w:val="000000" w:themeColor="text1"/>
                <w:sz w:val="19"/>
                <w:szCs w:val="19"/>
              </w:rPr>
              <w:t>7</w:t>
            </w:r>
            <w:r w:rsidRPr="00371DAE">
              <w:rPr>
                <w:rFonts w:ascii="Helvetica Neue" w:hAnsi="Helvetica Neue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4056C51F" w14:textId="33983D29" w:rsidR="00DC55DF" w:rsidRPr="007E6747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  <w:r>
              <w:rPr>
                <w:rFonts w:ascii="Helvetica Neue" w:hAnsi="Helvetica Neue"/>
                <w:color w:val="000000" w:themeColor="text1"/>
                <w:sz w:val="19"/>
                <w:szCs w:val="19"/>
              </w:rPr>
              <w:t>0.91 (0.74 – 1.12)</w:t>
            </w:r>
          </w:p>
        </w:tc>
      </w:tr>
      <w:tr w:rsidR="00DC55DF" w:rsidRPr="007E6747" w14:paraId="6A4F20BA" w14:textId="77777777" w:rsidTr="009D1977">
        <w:trPr>
          <w:trHeight w:val="107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7C36806" w14:textId="77777777" w:rsidR="00DC55DF" w:rsidRDefault="00DC55DF" w:rsidP="00DC55DF">
            <w:pPr>
              <w:jc w:val="center"/>
              <w:rPr>
                <w:rFonts w:ascii="Helvetica Neue" w:hAnsi="Helvetica Neue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3E7A7E0E" w14:textId="77777777" w:rsidR="00DC55DF" w:rsidRPr="007E6747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7C42AAAF" w14:textId="77777777" w:rsidR="00DC55DF" w:rsidRPr="007E6747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249B0658" w14:textId="77777777" w:rsidR="00DC55DF" w:rsidRPr="007E6747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</w:p>
        </w:tc>
      </w:tr>
      <w:tr w:rsidR="00DC55DF" w:rsidRPr="007E6747" w14:paraId="469E8E59" w14:textId="77777777" w:rsidTr="009D1977">
        <w:trPr>
          <w:trHeight w:val="107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A779B3" w14:textId="77777777" w:rsidR="00DC55DF" w:rsidRDefault="00DC55DF" w:rsidP="00DC55DF">
            <w:pPr>
              <w:jc w:val="center"/>
              <w:rPr>
                <w:rFonts w:ascii="Helvetica Neue" w:hAnsi="Helvetica Neue"/>
                <w:i/>
                <w:iCs/>
                <w:color w:val="000000" w:themeColor="text1"/>
                <w:sz w:val="20"/>
                <w:szCs w:val="20"/>
              </w:rPr>
            </w:pPr>
            <w:r w:rsidRPr="00100464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Males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4BF4CB14" w14:textId="2B34E16A" w:rsidR="00DC55DF" w:rsidRPr="00AD052C" w:rsidRDefault="00DC55DF" w:rsidP="00DC55DF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9"/>
                <w:szCs w:val="19"/>
              </w:rPr>
            </w:pPr>
            <w:r w:rsidRPr="005376BA">
              <w:rPr>
                <w:rFonts w:ascii="Helvetica Neue" w:hAnsi="Helvetica Neue"/>
                <w:color w:val="000000" w:themeColor="text1"/>
                <w:sz w:val="19"/>
                <w:szCs w:val="19"/>
              </w:rPr>
              <w:t>0.89 (0.7</w:t>
            </w:r>
            <w:r>
              <w:rPr>
                <w:rFonts w:ascii="Helvetica Neue" w:hAnsi="Helvetica Neue"/>
                <w:color w:val="000000" w:themeColor="text1"/>
                <w:sz w:val="19"/>
                <w:szCs w:val="19"/>
              </w:rPr>
              <w:t>8</w:t>
            </w:r>
            <w:r w:rsidRPr="005376BA">
              <w:rPr>
                <w:rFonts w:ascii="Helvetica Neue" w:hAnsi="Helvetica Neue"/>
                <w:color w:val="000000" w:themeColor="text1"/>
                <w:sz w:val="19"/>
                <w:szCs w:val="19"/>
              </w:rPr>
              <w:t xml:space="preserve"> – </w:t>
            </w:r>
            <w:r>
              <w:rPr>
                <w:rFonts w:ascii="Helvetica Neue" w:hAnsi="Helvetica Neue"/>
                <w:color w:val="000000" w:themeColor="text1"/>
                <w:sz w:val="19"/>
                <w:szCs w:val="19"/>
              </w:rPr>
              <w:t>1</w:t>
            </w:r>
            <w:r w:rsidRPr="005376BA">
              <w:rPr>
                <w:rFonts w:ascii="Helvetica Neue" w:hAnsi="Helvetica Neue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Helvetica Neue" w:hAnsi="Helvetica Neue"/>
                <w:color w:val="000000" w:themeColor="text1"/>
                <w:sz w:val="19"/>
                <w:szCs w:val="19"/>
              </w:rPr>
              <w:t>01</w:t>
            </w:r>
            <w:r w:rsidRPr="005376BA">
              <w:rPr>
                <w:rFonts w:ascii="Helvetica Neue" w:hAnsi="Helvetica Neue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091F8C45" w14:textId="0A038BD3" w:rsidR="00DC55DF" w:rsidRPr="007E6747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  <w:r>
              <w:rPr>
                <w:rFonts w:ascii="Helvetica Neue" w:hAnsi="Helvetica Neue"/>
                <w:color w:val="000000" w:themeColor="text1"/>
                <w:sz w:val="19"/>
                <w:szCs w:val="19"/>
              </w:rPr>
              <w:t>1.00 (0.88 – 1.15)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1A54E9EB" w14:textId="3D06B8F0" w:rsidR="00DC55DF" w:rsidRPr="007E6747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  <w:r>
              <w:rPr>
                <w:rFonts w:ascii="Helvetica Neue" w:hAnsi="Helvetica Neue"/>
                <w:color w:val="000000" w:themeColor="text1"/>
                <w:sz w:val="19"/>
                <w:szCs w:val="19"/>
              </w:rPr>
              <w:t>0.87 (0.69 – 1.11)</w:t>
            </w:r>
          </w:p>
        </w:tc>
      </w:tr>
      <w:tr w:rsidR="00DC55DF" w:rsidRPr="007E6747" w14:paraId="664B42C5" w14:textId="77777777" w:rsidTr="009D1977">
        <w:trPr>
          <w:trHeight w:val="107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BC7CC17" w14:textId="77777777" w:rsidR="00DC55DF" w:rsidRDefault="00DC55DF" w:rsidP="00DC55DF">
            <w:pPr>
              <w:jc w:val="center"/>
              <w:rPr>
                <w:rFonts w:ascii="Helvetica Neue" w:hAnsi="Helvetica Neue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4AED6D70" w14:textId="77777777" w:rsidR="00DC55DF" w:rsidRPr="00FD195A" w:rsidRDefault="00DC55DF" w:rsidP="00DC55DF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118C4EC9" w14:textId="77777777" w:rsidR="00DC55DF" w:rsidRPr="007E6747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4EB73A7A" w14:textId="77777777" w:rsidR="00DC55DF" w:rsidRPr="007E6747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</w:p>
        </w:tc>
      </w:tr>
      <w:tr w:rsidR="00DC55DF" w:rsidRPr="00321D07" w14:paraId="4E0C51B8" w14:textId="77777777" w:rsidTr="009D1977">
        <w:trPr>
          <w:trHeight w:val="107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04D6158" w14:textId="77777777" w:rsidR="00DC55DF" w:rsidRDefault="00DC55DF" w:rsidP="00DC55DF">
            <w:pPr>
              <w:jc w:val="center"/>
              <w:rPr>
                <w:rFonts w:ascii="Helvetica Neue" w:hAnsi="Helvetica Neue"/>
                <w:i/>
                <w:iCs/>
                <w:color w:val="000000" w:themeColor="text1"/>
                <w:sz w:val="20"/>
                <w:szCs w:val="20"/>
              </w:rPr>
            </w:pPr>
            <w:r w:rsidRPr="00100464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Females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639C6EBE" w14:textId="62250C44" w:rsidR="00DC55DF" w:rsidRPr="000A7FD8" w:rsidRDefault="00DC55DF" w:rsidP="00DC55DF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9"/>
                <w:szCs w:val="19"/>
              </w:rPr>
            </w:pPr>
            <w:r w:rsidRPr="005376BA">
              <w:rPr>
                <w:rFonts w:ascii="Helvetica Neue" w:hAnsi="Helvetica Neue"/>
                <w:color w:val="000000" w:themeColor="text1"/>
                <w:sz w:val="19"/>
                <w:szCs w:val="19"/>
              </w:rPr>
              <w:t>0.84 (0.69 – 1.01)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03515FF2" w14:textId="3DDA128B" w:rsidR="00DC55DF" w:rsidRPr="00BD3116" w:rsidRDefault="00DC55DF" w:rsidP="00DC55DF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9"/>
                <w:szCs w:val="19"/>
              </w:rPr>
            </w:pPr>
            <w:r w:rsidRPr="005376BA">
              <w:rPr>
                <w:rFonts w:ascii="Helvetica Neue" w:hAnsi="Helvetica Neue"/>
                <w:color w:val="000000" w:themeColor="text1"/>
                <w:sz w:val="19"/>
                <w:szCs w:val="19"/>
              </w:rPr>
              <w:t>0.85 (0.70 – 1.05)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63DA701F" w14:textId="74024908" w:rsidR="00DC55DF" w:rsidRPr="00321D07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  <w:r>
              <w:rPr>
                <w:rFonts w:ascii="Helvetica Neue" w:hAnsi="Helvetica Neue"/>
                <w:color w:val="000000" w:themeColor="text1"/>
                <w:sz w:val="19"/>
                <w:szCs w:val="19"/>
              </w:rPr>
              <w:t>1.02 (0.68 – 1.55)</w:t>
            </w:r>
          </w:p>
        </w:tc>
      </w:tr>
      <w:tr w:rsidR="00DC55DF" w:rsidRPr="00321D07" w14:paraId="4A55AD22" w14:textId="77777777" w:rsidTr="009D1977">
        <w:trPr>
          <w:trHeight w:val="107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7E55F" w14:textId="77777777" w:rsidR="00DC55DF" w:rsidRPr="00100464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74C12" w14:textId="77777777" w:rsidR="00DC55DF" w:rsidRDefault="00DC55DF" w:rsidP="00DC55DF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E3139" w14:textId="77777777" w:rsidR="00DC55DF" w:rsidRPr="00BD3116" w:rsidRDefault="00DC55DF" w:rsidP="00DC55DF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13A7" w14:textId="77777777" w:rsidR="00DC55DF" w:rsidRDefault="00DC55DF" w:rsidP="00DC55DF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</w:p>
        </w:tc>
      </w:tr>
      <w:tr w:rsidR="00DC55DF" w:rsidRPr="00321D07" w14:paraId="224EED93" w14:textId="77777777" w:rsidTr="009D1977">
        <w:trPr>
          <w:trHeight w:val="107"/>
        </w:trPr>
        <w:tc>
          <w:tcPr>
            <w:tcW w:w="8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EFA4B" w14:textId="5BA90934" w:rsidR="005A6585" w:rsidRDefault="005A6585" w:rsidP="005A6585">
            <w:pPr>
              <w:spacing w:before="240" w:line="360" w:lineRule="auto"/>
              <w:jc w:val="both"/>
              <w:rPr>
                <w:rFonts w:ascii="Helvetica Neue" w:hAnsi="Helvetica Neue"/>
                <w:color w:val="000000" w:themeColor="text1"/>
                <w:sz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</w:rPr>
              <w:t>OR (95% CI) for COVID-19 mortality when replacing 1h of TV viewing with 1h of each physical activity.</w:t>
            </w:r>
          </w:p>
          <w:p w14:paraId="7ED300BB" w14:textId="766E4CCE" w:rsidR="00320737" w:rsidRDefault="00320737" w:rsidP="00320737">
            <w:pPr>
              <w:spacing w:line="360" w:lineRule="auto"/>
              <w:jc w:val="both"/>
              <w:rPr>
                <w:rFonts w:ascii="Helvetica Neue" w:hAnsi="Helvetica Neue"/>
                <w:color w:val="000000" w:themeColor="text1"/>
                <w:sz w:val="22"/>
              </w:rPr>
            </w:pPr>
            <w:r>
              <w:rPr>
                <w:rFonts w:ascii="Helvetica Neue" w:hAnsi="Helvetica Neue" w:cs="Times New Roman"/>
                <w:color w:val="000000" w:themeColor="text1"/>
                <w:sz w:val="21"/>
                <w:szCs w:val="21"/>
              </w:rPr>
              <w:t xml:space="preserve">All physical behaviours except for TV viewing </w:t>
            </w:r>
            <w:r w:rsidR="004D6A13">
              <w:rPr>
                <w:rFonts w:ascii="Helvetica Neue" w:hAnsi="Helvetica Neue" w:cs="Times New Roman"/>
                <w:color w:val="000000" w:themeColor="text1"/>
                <w:sz w:val="21"/>
                <w:szCs w:val="21"/>
              </w:rPr>
              <w:t xml:space="preserve">were </w:t>
            </w:r>
            <w:r>
              <w:rPr>
                <w:rFonts w:ascii="Helvetica Neue" w:hAnsi="Helvetica Neue" w:cs="Times New Roman"/>
                <w:color w:val="000000" w:themeColor="text1"/>
                <w:sz w:val="21"/>
                <w:szCs w:val="21"/>
              </w:rPr>
              <w:t>entered into</w:t>
            </w:r>
            <w:r w:rsidR="004D6A13">
              <w:rPr>
                <w:rFonts w:ascii="Helvetica Neue" w:hAnsi="Helvetica Neue" w:cs="Times New Roman"/>
                <w:color w:val="000000" w:themeColor="text1"/>
                <w:sz w:val="21"/>
                <w:szCs w:val="21"/>
              </w:rPr>
              <w:t xml:space="preserve"> the</w:t>
            </w:r>
            <w:r>
              <w:rPr>
                <w:rFonts w:ascii="Helvetica Neue" w:hAnsi="Helvetica Neue" w:cs="Times New Roman"/>
                <w:color w:val="000000" w:themeColor="text1"/>
                <w:sz w:val="21"/>
                <w:szCs w:val="21"/>
              </w:rPr>
              <w:t xml:space="preserve"> model with adjustment for total time in all behaviours (i.e., TV viewing + walking + MPA + VPA).</w:t>
            </w:r>
          </w:p>
          <w:p w14:paraId="34B4FD64" w14:textId="77777777" w:rsidR="005A6585" w:rsidRDefault="005A6585" w:rsidP="005A6585">
            <w:pPr>
              <w:spacing w:line="360" w:lineRule="auto"/>
              <w:jc w:val="both"/>
              <w:rPr>
                <w:rFonts w:ascii="Helvetica Neue" w:hAnsi="Helvetica Neue"/>
                <w:color w:val="000000" w:themeColor="text1"/>
                <w:sz w:val="22"/>
              </w:rPr>
            </w:pPr>
            <w:r>
              <w:rPr>
                <w:rFonts w:ascii="Helvetica Neue" w:hAnsi="Helvetica Neue"/>
                <w:color w:val="000000" w:themeColor="text1"/>
                <w:sz w:val="22"/>
              </w:rPr>
              <w:t>All models were adjusted for baseline age, sex (except when performing sex-specific analyses), BMI, ethnicity, tobacco smoking and alcohol intake frequency, Townsend Index, and number of cancer and noncancer illnesses.</w:t>
            </w:r>
          </w:p>
          <w:p w14:paraId="59EEA542" w14:textId="4692A17F" w:rsidR="005A6585" w:rsidRDefault="005A6585" w:rsidP="005A6585">
            <w:pPr>
              <w:spacing w:line="360" w:lineRule="auto"/>
              <w:jc w:val="both"/>
              <w:rPr>
                <w:rFonts w:ascii="Helvetica Neue" w:hAnsi="Helvetica Neue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Helvetica Neue" w:hAnsi="Helvetica Neue" w:cs="Times New Roman"/>
                <w:color w:val="000000" w:themeColor="text1"/>
                <w:sz w:val="21"/>
                <w:szCs w:val="21"/>
              </w:rPr>
              <w:t xml:space="preserve">BMI, body mass index; </w:t>
            </w:r>
            <w:proofErr w:type="gramStart"/>
            <w:r>
              <w:rPr>
                <w:rFonts w:ascii="Helvetica Neue" w:hAnsi="Helvetica Neue" w:cs="Times New Roman"/>
                <w:color w:val="000000" w:themeColor="text1"/>
                <w:sz w:val="21"/>
                <w:szCs w:val="21"/>
              </w:rPr>
              <w:t>OR,</w:t>
            </w:r>
            <w:proofErr w:type="gramEnd"/>
            <w:r>
              <w:rPr>
                <w:rFonts w:ascii="Helvetica Neue" w:hAnsi="Helvetica Neue" w:cs="Times New Roman"/>
                <w:color w:val="000000" w:themeColor="text1"/>
                <w:sz w:val="21"/>
                <w:szCs w:val="21"/>
              </w:rPr>
              <w:t xml:space="preserve"> odds ratio; CI, confidence interval; MPA, moderate-intensity physical activity; VPA, vigorous-intensity physical activity.</w:t>
            </w:r>
          </w:p>
          <w:p w14:paraId="3D09214A" w14:textId="3346B3C3" w:rsidR="00DC55DF" w:rsidRDefault="005A6585" w:rsidP="005A6585">
            <w:pPr>
              <w:spacing w:line="360" w:lineRule="auto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  <w:r>
              <w:rPr>
                <w:rFonts w:ascii="Helvetica Neue" w:hAnsi="Helvetica Neue" w:cs="Times New Roman"/>
                <w:color w:val="000000" w:themeColor="text1"/>
                <w:sz w:val="21"/>
                <w:szCs w:val="21"/>
              </w:rPr>
              <w:t>Significant associations (p&lt;0.05) are highlighted in bold.</w:t>
            </w:r>
          </w:p>
        </w:tc>
      </w:tr>
      <w:tr w:rsidR="00DC55DF" w:rsidRPr="007E6747" w14:paraId="12F35F77" w14:textId="77777777" w:rsidTr="009D1977">
        <w:trPr>
          <w:trHeight w:val="107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8FCE423" w14:textId="77777777" w:rsidR="00DC55DF" w:rsidRPr="00014217" w:rsidRDefault="00DC55DF" w:rsidP="009D1977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28C8F459" w14:textId="77777777" w:rsidR="00DC55DF" w:rsidRPr="007E6747" w:rsidRDefault="00DC55DF" w:rsidP="009D1977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4052C7CF" w14:textId="77777777" w:rsidR="00DC55DF" w:rsidRPr="007E6747" w:rsidRDefault="00DC55DF" w:rsidP="009D1977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42C822FF" w14:textId="77777777" w:rsidR="00DC55DF" w:rsidRPr="007E6747" w:rsidRDefault="00DC55DF" w:rsidP="009D1977">
            <w:pPr>
              <w:jc w:val="center"/>
              <w:rPr>
                <w:rFonts w:ascii="Helvetica Neue" w:hAnsi="Helvetica Neue"/>
                <w:color w:val="000000" w:themeColor="text1"/>
                <w:sz w:val="19"/>
                <w:szCs w:val="19"/>
              </w:rPr>
            </w:pPr>
          </w:p>
        </w:tc>
      </w:tr>
    </w:tbl>
    <w:p w14:paraId="7F1F47F5" w14:textId="77777777" w:rsidR="00DC55DF" w:rsidRDefault="00DC55DF"/>
    <w:sectPr w:rsidR="00DC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7EA5"/>
    <w:multiLevelType w:val="hybridMultilevel"/>
    <w:tmpl w:val="7248A5FE"/>
    <w:lvl w:ilvl="0" w:tplc="5E8EE44A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23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16"/>
    <w:rsid w:val="00021289"/>
    <w:rsid w:val="00142782"/>
    <w:rsid w:val="001D55B7"/>
    <w:rsid w:val="002237E9"/>
    <w:rsid w:val="0025794B"/>
    <w:rsid w:val="002D1553"/>
    <w:rsid w:val="002E1EE0"/>
    <w:rsid w:val="00300816"/>
    <w:rsid w:val="00320737"/>
    <w:rsid w:val="003824D0"/>
    <w:rsid w:val="003827AF"/>
    <w:rsid w:val="003843B2"/>
    <w:rsid w:val="003B56E5"/>
    <w:rsid w:val="00401740"/>
    <w:rsid w:val="004C27C4"/>
    <w:rsid w:val="004D6A13"/>
    <w:rsid w:val="00530042"/>
    <w:rsid w:val="005376BA"/>
    <w:rsid w:val="005A35D0"/>
    <w:rsid w:val="005A6585"/>
    <w:rsid w:val="0064232C"/>
    <w:rsid w:val="006901E0"/>
    <w:rsid w:val="006D4638"/>
    <w:rsid w:val="00734F3C"/>
    <w:rsid w:val="00832F4B"/>
    <w:rsid w:val="00883FB2"/>
    <w:rsid w:val="00904935"/>
    <w:rsid w:val="0097603B"/>
    <w:rsid w:val="009871B8"/>
    <w:rsid w:val="009E6348"/>
    <w:rsid w:val="009F0EB9"/>
    <w:rsid w:val="00B0063B"/>
    <w:rsid w:val="00BF5D89"/>
    <w:rsid w:val="00C81A14"/>
    <w:rsid w:val="00CD0CF4"/>
    <w:rsid w:val="00D36526"/>
    <w:rsid w:val="00D460EA"/>
    <w:rsid w:val="00DC55DF"/>
    <w:rsid w:val="00DE7F8D"/>
    <w:rsid w:val="00E57638"/>
    <w:rsid w:val="00EB502F"/>
    <w:rsid w:val="00EF4DC4"/>
    <w:rsid w:val="00EF6E78"/>
    <w:rsid w:val="00EF7E44"/>
    <w:rsid w:val="00F70B60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14D5"/>
  <w15:chartTrackingRefBased/>
  <w15:docId w15:val="{7FD0D622-0BBA-9D45-89E3-B1688BA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16"/>
    <w:pPr>
      <w:spacing w:line="240" w:lineRule="auto"/>
    </w:pPr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Hamrouni</dc:creator>
  <cp:keywords/>
  <dc:description/>
  <cp:lastModifiedBy>David Campling</cp:lastModifiedBy>
  <cp:revision>2</cp:revision>
  <dcterms:created xsi:type="dcterms:W3CDTF">2023-08-16T12:08:00Z</dcterms:created>
  <dcterms:modified xsi:type="dcterms:W3CDTF">2023-08-16T12:08:00Z</dcterms:modified>
</cp:coreProperties>
</file>